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653" w:rsidRDefault="001449D6" w:rsidP="001449D6">
      <w:pPr>
        <w:jc w:val="center"/>
        <w:rPr>
          <w:b/>
        </w:rPr>
      </w:pPr>
      <w:bookmarkStart w:id="0" w:name="_GoBack"/>
      <w:bookmarkEnd w:id="0"/>
      <w:r>
        <w:rPr>
          <w:b/>
          <w:sz w:val="24"/>
          <w:lang w:val="en-US"/>
        </w:rPr>
        <w:t>FREQUENCY SPECTRUM</w:t>
      </w:r>
      <w:r w:rsidR="00B024A3">
        <w:rPr>
          <w:b/>
        </w:rPr>
        <w:t xml:space="preserve"> MANAGEMENT </w:t>
      </w:r>
      <w:r>
        <w:rPr>
          <w:b/>
        </w:rPr>
        <w:t>PANEL (FS</w:t>
      </w:r>
      <w:r w:rsidR="00C62653">
        <w:rPr>
          <w:b/>
        </w:rPr>
        <w:t>MP)</w:t>
      </w:r>
    </w:p>
    <w:p w:rsidR="00C62653" w:rsidRDefault="00C62653" w:rsidP="00C62653">
      <w:pPr>
        <w:tabs>
          <w:tab w:val="left" w:pos="6972"/>
        </w:tabs>
        <w:jc w:val="center"/>
        <w:rPr>
          <w:b/>
        </w:rPr>
      </w:pPr>
    </w:p>
    <w:p w:rsidR="0095751F" w:rsidRDefault="0095751F" w:rsidP="0095751F">
      <w:pPr>
        <w:pStyle w:val="Maintitle"/>
      </w:pPr>
      <w:r>
        <w:t>Fourth Working Group meeting</w:t>
      </w:r>
    </w:p>
    <w:p w:rsidR="0095751F" w:rsidRDefault="0095751F" w:rsidP="0095751F"/>
    <w:p w:rsidR="0095751F" w:rsidRDefault="0095751F" w:rsidP="0095751F">
      <w:pPr>
        <w:pStyle w:val="Maintitle"/>
      </w:pPr>
      <w:r>
        <w:t>Bangkok, Thailand, 29 March – 7 April 2017</w:t>
      </w:r>
    </w:p>
    <w:p w:rsidR="00770160" w:rsidRDefault="00770160" w:rsidP="00C62653">
      <w:pPr>
        <w:jc w:val="center"/>
      </w:pPr>
    </w:p>
    <w:p w:rsidR="00770160" w:rsidRDefault="00770160">
      <w:pPr>
        <w:tabs>
          <w:tab w:val="left" w:pos="0"/>
          <w:tab w:val="left" w:pos="1570"/>
          <w:tab w:val="left" w:pos="1857"/>
        </w:tabs>
      </w:pPr>
      <w:bookmarkStart w:id="1" w:name="agenda_item"/>
      <w:bookmarkEnd w:id="1"/>
    </w:p>
    <w:p w:rsidR="00770160" w:rsidRDefault="00770160">
      <w:pPr>
        <w:tabs>
          <w:tab w:val="left" w:pos="0"/>
          <w:tab w:val="left" w:pos="1570"/>
          <w:tab w:val="left" w:pos="1857"/>
        </w:tabs>
      </w:pPr>
    </w:p>
    <w:p w:rsidR="00770160" w:rsidRDefault="00770160">
      <w:pPr>
        <w:pStyle w:val="Agendaitemtitle"/>
        <w:rPr>
          <w:lang w:val="sv-SE"/>
        </w:rPr>
      </w:pPr>
      <w:r>
        <w:rPr>
          <w:lang w:val="sv-SE"/>
        </w:rPr>
        <w:t>Agenda Item </w:t>
      </w:r>
      <w:r w:rsidR="00300EB5">
        <w:rPr>
          <w:lang w:val="sv-SE"/>
        </w:rPr>
        <w:t>3</w:t>
      </w:r>
      <w:r>
        <w:rPr>
          <w:lang w:val="sv-SE"/>
        </w:rPr>
        <w:t>:</w:t>
      </w:r>
      <w:r>
        <w:rPr>
          <w:lang w:val="sv-SE"/>
        </w:rPr>
        <w:tab/>
      </w:r>
      <w:r w:rsidR="00300EB5" w:rsidRPr="00300EB5">
        <w:rPr>
          <w:lang w:val="sv-SE"/>
        </w:rPr>
        <w:t xml:space="preserve">Updates to the Frequency Spectrum </w:t>
      </w:r>
      <w:r w:rsidR="00A35447">
        <w:rPr>
          <w:lang w:val="sv-SE"/>
        </w:rPr>
        <w:t xml:space="preserve">Strategy and </w:t>
      </w:r>
      <w:r w:rsidR="00300EB5" w:rsidRPr="00300EB5">
        <w:rPr>
          <w:lang w:val="sv-SE"/>
        </w:rPr>
        <w:t>Policy Statements (Chapter 7)</w:t>
      </w:r>
    </w:p>
    <w:p w:rsidR="00770160" w:rsidRDefault="00770160">
      <w:pPr>
        <w:pStyle w:val="Agendaitemtitle"/>
        <w:rPr>
          <w:b w:val="0"/>
          <w:lang w:val="sv-SE"/>
        </w:rPr>
      </w:pPr>
    </w:p>
    <w:p w:rsidR="00770160" w:rsidRDefault="00770160">
      <w:pPr>
        <w:tabs>
          <w:tab w:val="left" w:pos="6972"/>
        </w:tabs>
        <w:rPr>
          <w:b/>
          <w:lang w:val="sv-SE"/>
        </w:rPr>
      </w:pPr>
    </w:p>
    <w:p w:rsidR="00770160" w:rsidRDefault="00A35447">
      <w:pPr>
        <w:pStyle w:val="Maintitle"/>
      </w:pPr>
      <w:r>
        <w:t>VSAT for Aeronautical usage</w:t>
      </w:r>
    </w:p>
    <w:p w:rsidR="00770160" w:rsidRDefault="00770160">
      <w:pPr>
        <w:tabs>
          <w:tab w:val="left" w:pos="6972"/>
        </w:tabs>
      </w:pPr>
    </w:p>
    <w:p w:rsidR="00770160" w:rsidRDefault="00770160">
      <w:pPr>
        <w:tabs>
          <w:tab w:val="left" w:pos="6972"/>
        </w:tabs>
      </w:pPr>
    </w:p>
    <w:p w:rsidR="00770160" w:rsidRDefault="00770160">
      <w:pPr>
        <w:jc w:val="center"/>
      </w:pPr>
      <w:r>
        <w:t>(</w:t>
      </w:r>
      <w:bookmarkStart w:id="2" w:name="presented_by"/>
      <w:bookmarkEnd w:id="2"/>
      <w:r w:rsidR="00A35447">
        <w:t>By</w:t>
      </w:r>
      <w:r>
        <w:t xml:space="preserve"> </w:t>
      </w:r>
      <w:r w:rsidR="00A35447">
        <w:t>Lisa Tele,</w:t>
      </w:r>
      <w:r w:rsidR="00BE0401">
        <w:t xml:space="preserve"> A</w:t>
      </w:r>
      <w:r w:rsidR="00A35447">
        <w:t>TNS</w:t>
      </w:r>
      <w:r>
        <w:t>)</w:t>
      </w:r>
    </w:p>
    <w:p w:rsidR="00770160" w:rsidRDefault="00770160"/>
    <w:p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trPr>
          <w:cantSplit/>
          <w:trHeight w:hRule="exact" w:val="480"/>
          <w:jc w:val="center"/>
        </w:trPr>
        <w:tc>
          <w:tcPr>
            <w:tcW w:w="7200" w:type="dxa"/>
            <w:vAlign w:val="center"/>
          </w:tcPr>
          <w:p w:rsidR="00770160" w:rsidRDefault="00770160">
            <w:pPr>
              <w:jc w:val="center"/>
              <w:rPr>
                <w:sz w:val="24"/>
                <w:lang w:val="en-US"/>
              </w:rPr>
            </w:pPr>
            <w:r>
              <w:rPr>
                <w:b/>
              </w:rPr>
              <w:t>SUMMARY</w:t>
            </w:r>
          </w:p>
        </w:tc>
      </w:tr>
      <w:tr w:rsidR="00770160">
        <w:trPr>
          <w:cantSplit/>
          <w:jc w:val="center"/>
        </w:trPr>
        <w:tc>
          <w:tcPr>
            <w:tcW w:w="7200" w:type="dxa"/>
          </w:tcPr>
          <w:p w:rsidR="00770160" w:rsidRDefault="00BE0401" w:rsidP="00A35447">
            <w:pPr>
              <w:rPr>
                <w:lang w:val="en-US"/>
              </w:rPr>
            </w:pPr>
            <w:r>
              <w:rPr>
                <w:lang w:val="en-US"/>
              </w:rPr>
              <w:t>A</w:t>
            </w:r>
            <w:r w:rsidR="00A35447">
              <w:rPr>
                <w:lang w:val="en-US"/>
              </w:rPr>
              <w:t xml:space="preserve">n </w:t>
            </w:r>
            <w:r>
              <w:rPr>
                <w:lang w:val="en-US"/>
              </w:rPr>
              <w:t>edit</w:t>
            </w:r>
            <w:r w:rsidR="00A35447">
              <w:rPr>
                <w:lang w:val="en-US"/>
              </w:rPr>
              <w:t xml:space="preserve">orial text </w:t>
            </w:r>
            <w:r>
              <w:rPr>
                <w:lang w:val="en-US"/>
              </w:rPr>
              <w:t xml:space="preserve">to the </w:t>
            </w:r>
            <w:r w:rsidR="00A35447">
              <w:rPr>
                <w:lang w:val="en-US"/>
              </w:rPr>
              <w:t>VSAT s</w:t>
            </w:r>
            <w:r>
              <w:rPr>
                <w:lang w:val="en-US"/>
              </w:rPr>
              <w:t>ection in Chapter 7</w:t>
            </w:r>
            <w:r w:rsidR="00770160">
              <w:rPr>
                <w:lang w:val="en-US"/>
              </w:rPr>
              <w:t xml:space="preserve"> </w:t>
            </w:r>
            <w:r w:rsidR="00A35447">
              <w:rPr>
                <w:lang w:val="en-US"/>
              </w:rPr>
              <w:t>of the DOC 9718, Frequency Spectrum Strategy and Policy Statements</w:t>
            </w:r>
            <w:r w:rsidR="00047B08">
              <w:rPr>
                <w:lang w:val="en-US"/>
              </w:rPr>
              <w:t>.</w:t>
            </w:r>
          </w:p>
        </w:tc>
      </w:tr>
    </w:tbl>
    <w:p w:rsidR="00770160" w:rsidRDefault="00770160"/>
    <w:p w:rsidR="00770160" w:rsidRDefault="00770160"/>
    <w:p w:rsidR="00770160" w:rsidRDefault="00770160">
      <w:pPr>
        <w:pStyle w:val="1Heading"/>
      </w:pPr>
      <w:r>
        <w:t>INTRODUCTION</w:t>
      </w:r>
    </w:p>
    <w:p w:rsidR="00E34AED" w:rsidRPr="009B05B9" w:rsidRDefault="00A35447" w:rsidP="001C3BCC">
      <w:pPr>
        <w:pStyle w:val="2Heading"/>
        <w:ind w:right="-33"/>
        <w:rPr>
          <w:b w:val="0"/>
        </w:rPr>
      </w:pPr>
      <w:r w:rsidRPr="009B05B9">
        <w:rPr>
          <w:b w:val="0"/>
        </w:rPr>
        <w:t xml:space="preserve">During the </w:t>
      </w:r>
      <w:r w:rsidR="00BC1361" w:rsidRPr="009B05B9">
        <w:rPr>
          <w:b w:val="0"/>
        </w:rPr>
        <w:t>FSMP</w:t>
      </w:r>
      <w:r w:rsidRPr="009B05B9">
        <w:rPr>
          <w:b w:val="0"/>
        </w:rPr>
        <w:t xml:space="preserve"> working group meeting which was held in Montreal, Sept</w:t>
      </w:r>
      <w:r w:rsidR="001C3BCC">
        <w:rPr>
          <w:b w:val="0"/>
        </w:rPr>
        <w:t>ember</w:t>
      </w:r>
      <w:r w:rsidRPr="009B05B9">
        <w:rPr>
          <w:b w:val="0"/>
        </w:rPr>
        <w:t xml:space="preserve"> 2016,</w:t>
      </w:r>
      <w:r w:rsidR="00BC1361" w:rsidRPr="009B05B9">
        <w:rPr>
          <w:b w:val="0"/>
        </w:rPr>
        <w:t xml:space="preserve"> it was noted that the ICAO Spectrum Management Handbook (Doc 9718) </w:t>
      </w:r>
      <w:r w:rsidRPr="009B05B9">
        <w:rPr>
          <w:b w:val="0"/>
        </w:rPr>
        <w:t>need to be updated</w:t>
      </w:r>
      <w:r w:rsidR="00BC1361" w:rsidRPr="009B05B9">
        <w:rPr>
          <w:b w:val="0"/>
        </w:rPr>
        <w:t>.</w:t>
      </w:r>
      <w:r w:rsidRPr="009B05B9">
        <w:rPr>
          <w:b w:val="0"/>
        </w:rPr>
        <w:t xml:space="preserve"> An action item list was drafted and VSAT for Aeronautical usage was identified as one of the sections to be added</w:t>
      </w:r>
      <w:r w:rsidR="00BA4CDB" w:rsidRPr="009B05B9">
        <w:rPr>
          <w:b w:val="0"/>
        </w:rPr>
        <w:t xml:space="preserve"> in the handbook</w:t>
      </w:r>
      <w:r w:rsidRPr="009B05B9">
        <w:rPr>
          <w:b w:val="0"/>
        </w:rPr>
        <w:t>.</w:t>
      </w:r>
    </w:p>
    <w:p w:rsidR="00770160" w:rsidRDefault="00770160" w:rsidP="00BC1361">
      <w:pPr>
        <w:pStyle w:val="1Heading"/>
      </w:pPr>
      <w:r w:rsidRPr="00C32FA3">
        <w:t>DISCUSSION</w:t>
      </w:r>
    </w:p>
    <w:p w:rsidR="00BE0401" w:rsidRPr="009B05B9" w:rsidRDefault="00BA4CDB" w:rsidP="001C3BCC">
      <w:pPr>
        <w:pStyle w:val="2Heading"/>
        <w:ind w:right="-33"/>
        <w:rPr>
          <w:b w:val="0"/>
        </w:rPr>
      </w:pPr>
      <w:r w:rsidRPr="009B05B9">
        <w:rPr>
          <w:b w:val="0"/>
        </w:rPr>
        <w:t>The points below provide the background of VSAT networks in AFI and the usage for Aeronautical purposes in the region</w:t>
      </w:r>
      <w:r w:rsidR="00BE0401" w:rsidRPr="009B05B9">
        <w:rPr>
          <w:b w:val="0"/>
        </w:rPr>
        <w:t>:</w:t>
      </w:r>
    </w:p>
    <w:p w:rsidR="009B05B9" w:rsidRDefault="009B05B9" w:rsidP="009B05B9">
      <w:pPr>
        <w:ind w:left="720"/>
      </w:pPr>
    </w:p>
    <w:p w:rsidR="00BA4CDB" w:rsidRDefault="00BA4CDB" w:rsidP="00B7576E">
      <w:pPr>
        <w:pStyle w:val="ListParagraph"/>
        <w:numPr>
          <w:ilvl w:val="0"/>
          <w:numId w:val="10"/>
        </w:numPr>
      </w:pPr>
      <w:r w:rsidRPr="009227E7">
        <w:t>Aviation safety across the African Continent has been compromised by a lack of reliable fixed aeronautical telecommunications infrastructure used for providing Air Traffic Services/Direct Speech (“ATS/DS”) and Aeronautical Fixed Telecommunications Network (“AFTN”) voice and data services</w:t>
      </w:r>
      <w:r w:rsidR="00E936BF">
        <w:t xml:space="preserve"> as well as extended VH</w:t>
      </w:r>
      <w:r w:rsidR="00A4614A">
        <w:t>F</w:t>
      </w:r>
      <w:r w:rsidR="00E936BF">
        <w:t xml:space="preserve"> for aeronautical mobile service</w:t>
      </w:r>
      <w:r w:rsidR="009B05B9">
        <w:t>.</w:t>
      </w:r>
    </w:p>
    <w:p w:rsidR="00BE0401" w:rsidRDefault="00BE0401" w:rsidP="00B7576E">
      <w:pPr>
        <w:pStyle w:val="ListParagraph"/>
        <w:tabs>
          <w:tab w:val="left" w:pos="6377"/>
        </w:tabs>
        <w:ind w:firstLine="5655"/>
      </w:pPr>
    </w:p>
    <w:p w:rsidR="00BE0401" w:rsidRDefault="00E936BF" w:rsidP="00B7576E">
      <w:pPr>
        <w:pStyle w:val="ListParagraph"/>
        <w:numPr>
          <w:ilvl w:val="0"/>
          <w:numId w:val="10"/>
        </w:numPr>
      </w:pPr>
      <w:r>
        <w:t xml:space="preserve">AFI States and </w:t>
      </w:r>
      <w:r w:rsidR="009B05B9">
        <w:t xml:space="preserve">Service Providers, </w:t>
      </w:r>
      <w:r>
        <w:t>agree</w:t>
      </w:r>
      <w:r w:rsidR="00805E0B">
        <w:t>d</w:t>
      </w:r>
      <w:r>
        <w:t xml:space="preserve"> to </w:t>
      </w:r>
      <w:r w:rsidR="009B05B9">
        <w:t xml:space="preserve">introduce Very Small Aperture Terminal (VSAT) networks </w:t>
      </w:r>
      <w:r>
        <w:t xml:space="preserve">technology </w:t>
      </w:r>
      <w:r w:rsidR="009B05B9">
        <w:t xml:space="preserve">to resolve the lack of communications. The basic networks evolved with improving technology became available networks supporting the Southern African </w:t>
      </w:r>
      <w:r w:rsidR="009B05B9">
        <w:lastRenderedPageBreak/>
        <w:t xml:space="preserve">Development Community (SADC), the North East Africa-Indian Ocean Region (NAFISAT), to address the ATS/DS and AFTN deficiencies within this region. </w:t>
      </w:r>
    </w:p>
    <w:p w:rsidR="009B05B9" w:rsidRDefault="009B05B9" w:rsidP="009B05B9">
      <w:pPr>
        <w:pStyle w:val="ListParagraph"/>
      </w:pPr>
    </w:p>
    <w:p w:rsidR="00582278" w:rsidRPr="00D22253" w:rsidRDefault="009B05B9" w:rsidP="00D22253">
      <w:pPr>
        <w:pStyle w:val="ListParagraph"/>
        <w:numPr>
          <w:ilvl w:val="0"/>
          <w:numId w:val="10"/>
        </w:numPr>
        <w:rPr>
          <w:lang w:val="en-ZA"/>
        </w:rPr>
      </w:pPr>
      <w:r w:rsidRPr="00D22253">
        <w:rPr>
          <w:lang w:val="en-ZA"/>
        </w:rPr>
        <w:t>In West</w:t>
      </w:r>
      <w:r w:rsidR="00E936BF" w:rsidRPr="00D22253">
        <w:rPr>
          <w:lang w:val="en-ZA"/>
        </w:rPr>
        <w:t>ern and Central Africa</w:t>
      </w:r>
      <w:r w:rsidRPr="00D22253">
        <w:rPr>
          <w:lang w:val="en-ZA"/>
        </w:rPr>
        <w:t xml:space="preserve"> </w:t>
      </w:r>
      <w:r w:rsidR="0040061C" w:rsidRPr="00D22253">
        <w:rPr>
          <w:lang w:val="en-ZA"/>
        </w:rPr>
        <w:t>Region,</w:t>
      </w:r>
      <w:r w:rsidR="00E936BF" w:rsidRPr="00D22253">
        <w:rPr>
          <w:lang w:val="en-ZA"/>
        </w:rPr>
        <w:t xml:space="preserve"> ICAO in collaboration with the European Commission and the </w:t>
      </w:r>
      <w:r w:rsidR="0040061C" w:rsidRPr="00D22253">
        <w:rPr>
          <w:lang w:val="en-ZA"/>
        </w:rPr>
        <w:t xml:space="preserve">ANSP of ASECNA, NAMA, GCAA </w:t>
      </w:r>
      <w:r w:rsidR="00E936BF" w:rsidRPr="00D22253">
        <w:rPr>
          <w:lang w:val="en-ZA"/>
        </w:rPr>
        <w:t xml:space="preserve">developed </w:t>
      </w:r>
      <w:r w:rsidR="0040061C" w:rsidRPr="00D22253">
        <w:rPr>
          <w:lang w:val="en-ZA"/>
        </w:rPr>
        <w:t xml:space="preserve">the </w:t>
      </w:r>
      <w:r w:rsidR="00582278" w:rsidRPr="00D22253">
        <w:rPr>
          <w:lang w:val="en-ZA"/>
        </w:rPr>
        <w:t>AEROSATEL network</w:t>
      </w:r>
      <w:r w:rsidR="0040061C" w:rsidRPr="00D22253">
        <w:rPr>
          <w:lang w:val="en-ZA"/>
        </w:rPr>
        <w:t xml:space="preserve"> </w:t>
      </w:r>
      <w:r w:rsidR="0057715F" w:rsidRPr="00D22253">
        <w:rPr>
          <w:lang w:val="en-ZA"/>
        </w:rPr>
        <w:t xml:space="preserve">which </w:t>
      </w:r>
      <w:r w:rsidR="0040061C" w:rsidRPr="00D22253">
        <w:rPr>
          <w:lang w:val="en-ZA"/>
        </w:rPr>
        <w:t>provide</w:t>
      </w:r>
      <w:r w:rsidR="0057715F" w:rsidRPr="00D22253">
        <w:rPr>
          <w:lang w:val="en-ZA"/>
        </w:rPr>
        <w:t>d</w:t>
      </w:r>
      <w:r w:rsidR="0040061C" w:rsidRPr="00D22253">
        <w:rPr>
          <w:lang w:val="en-ZA"/>
        </w:rPr>
        <w:t xml:space="preserve"> Reliable Aeronautical Fixed and mobile services</w:t>
      </w:r>
      <w:r w:rsidR="0057715F" w:rsidRPr="00D22253">
        <w:rPr>
          <w:lang w:val="en-ZA"/>
        </w:rPr>
        <w:t xml:space="preserve">. </w:t>
      </w:r>
      <w:r w:rsidR="00805E0B" w:rsidRPr="00D22253">
        <w:rPr>
          <w:lang w:val="en-ZA"/>
        </w:rPr>
        <w:t xml:space="preserve">VSAT terminals in the following </w:t>
      </w:r>
      <w:r w:rsidRPr="00D22253">
        <w:rPr>
          <w:lang w:val="en-ZA"/>
        </w:rPr>
        <w:t>ACCRA, KANO, N`DJAMENA and NIAMEY FIR. This network was expanded and became (AFISNET</w:t>
      </w:r>
      <w:r w:rsidR="00582278" w:rsidRPr="00D22253">
        <w:rPr>
          <w:lang w:val="en-ZA"/>
        </w:rPr>
        <w:t xml:space="preserve"> and</w:t>
      </w:r>
      <w:r w:rsidRPr="00D22253">
        <w:rPr>
          <w:lang w:val="en-ZA"/>
        </w:rPr>
        <w:t xml:space="preserve"> covers </w:t>
      </w:r>
      <w:r w:rsidR="00582278" w:rsidRPr="00D22253">
        <w:rPr>
          <w:lang w:val="en-ZA"/>
        </w:rPr>
        <w:t xml:space="preserve">all </w:t>
      </w:r>
      <w:r w:rsidRPr="00D22253">
        <w:rPr>
          <w:lang w:val="en-ZA"/>
        </w:rPr>
        <w:t>the ASECNA area</w:t>
      </w:r>
      <w:r w:rsidR="00582278" w:rsidRPr="00D22253">
        <w:rPr>
          <w:lang w:val="en-ZA"/>
        </w:rPr>
        <w:t xml:space="preserve"> in the Western and Cen</w:t>
      </w:r>
      <w:r w:rsidR="00805E0B" w:rsidRPr="00D22253">
        <w:rPr>
          <w:lang w:val="en-ZA"/>
        </w:rPr>
        <w:t>t</w:t>
      </w:r>
      <w:r w:rsidR="00582278" w:rsidRPr="00D22253">
        <w:rPr>
          <w:lang w:val="en-ZA"/>
        </w:rPr>
        <w:t xml:space="preserve">ral Africa, and the Indian Ocean  (Madagascar, Comoros  and Mauritius) The expansion continued  to </w:t>
      </w:r>
      <w:r w:rsidR="0069570C" w:rsidRPr="00D22253">
        <w:rPr>
          <w:lang w:val="en-ZA"/>
        </w:rPr>
        <w:t>include</w:t>
      </w:r>
      <w:r w:rsidR="00582278" w:rsidRPr="00D22253">
        <w:rPr>
          <w:lang w:val="en-ZA"/>
        </w:rPr>
        <w:t xml:space="preserve">  </w:t>
      </w:r>
      <w:r w:rsidRPr="00D22253">
        <w:rPr>
          <w:lang w:val="en-ZA"/>
        </w:rPr>
        <w:t xml:space="preserve"> Roberts FIR,  Reunion and Mayotte, , Algeria, Sao Tome &amp; Principe</w:t>
      </w:r>
      <w:r w:rsidR="0069570C" w:rsidRPr="00D22253">
        <w:rPr>
          <w:lang w:val="en-ZA"/>
        </w:rPr>
        <w:t xml:space="preserve">, </w:t>
      </w:r>
      <w:r w:rsidRPr="00D22253">
        <w:rPr>
          <w:lang w:val="en-ZA"/>
        </w:rPr>
        <w:t xml:space="preserve"> South Africa</w:t>
      </w:r>
      <w:r w:rsidR="0069570C" w:rsidRPr="00D22253">
        <w:rPr>
          <w:lang w:val="en-ZA"/>
        </w:rPr>
        <w:t xml:space="preserve">, </w:t>
      </w:r>
      <w:r w:rsidRPr="00D22253">
        <w:rPr>
          <w:lang w:val="en-ZA"/>
        </w:rPr>
        <w:t xml:space="preserve"> France</w:t>
      </w:r>
      <w:r w:rsidR="0069570C" w:rsidRPr="00D22253">
        <w:rPr>
          <w:lang w:val="en-ZA"/>
        </w:rPr>
        <w:t xml:space="preserve"> and Spain</w:t>
      </w:r>
      <w:r w:rsidRPr="00D22253">
        <w:rPr>
          <w:lang w:val="en-ZA"/>
        </w:rPr>
        <w:t>.</w:t>
      </w:r>
      <w:r w:rsidR="00805E0B" w:rsidRPr="00D22253">
        <w:rPr>
          <w:lang w:val="en-ZA"/>
        </w:rPr>
        <w:t xml:space="preserve"> </w:t>
      </w:r>
      <w:r w:rsidR="0069570C" w:rsidRPr="00D22253">
        <w:rPr>
          <w:lang w:val="en-ZA"/>
        </w:rPr>
        <w:t xml:space="preserve">Up today, AFISNET is expanded to SAM </w:t>
      </w:r>
      <w:r w:rsidR="00E82F3D" w:rsidRPr="00D22253">
        <w:rPr>
          <w:lang w:val="en-ZA"/>
        </w:rPr>
        <w:t xml:space="preserve">and to CAR regions with AFISNET </w:t>
      </w:r>
      <w:r w:rsidR="0069570C" w:rsidRPr="00D22253">
        <w:rPr>
          <w:lang w:val="en-ZA"/>
        </w:rPr>
        <w:t>node</w:t>
      </w:r>
      <w:r w:rsidR="00E82F3D" w:rsidRPr="00D22253">
        <w:rPr>
          <w:lang w:val="en-ZA"/>
        </w:rPr>
        <w:t>s</w:t>
      </w:r>
      <w:r w:rsidR="0069570C" w:rsidRPr="00D22253">
        <w:rPr>
          <w:lang w:val="en-ZA"/>
        </w:rPr>
        <w:t xml:space="preserve"> in Recife (</w:t>
      </w:r>
      <w:proofErr w:type="spellStart"/>
      <w:r w:rsidR="0069570C" w:rsidRPr="00D22253">
        <w:rPr>
          <w:lang w:val="en-ZA"/>
        </w:rPr>
        <w:t>Br</w:t>
      </w:r>
      <w:r w:rsidR="00E82F3D" w:rsidRPr="00D22253">
        <w:rPr>
          <w:lang w:val="en-ZA"/>
        </w:rPr>
        <w:t>a</w:t>
      </w:r>
      <w:r w:rsidR="0069570C" w:rsidRPr="00D22253">
        <w:rPr>
          <w:lang w:val="en-ZA"/>
        </w:rPr>
        <w:t>sil</w:t>
      </w:r>
      <w:proofErr w:type="spellEnd"/>
      <w:r w:rsidR="0069570C" w:rsidRPr="00D22253">
        <w:rPr>
          <w:lang w:val="en-ZA"/>
        </w:rPr>
        <w:t xml:space="preserve">) </w:t>
      </w:r>
      <w:r w:rsidR="00E82F3D" w:rsidRPr="00D22253">
        <w:rPr>
          <w:lang w:val="en-ZA"/>
        </w:rPr>
        <w:t>and</w:t>
      </w:r>
      <w:r w:rsidR="0069570C" w:rsidRPr="00D22253">
        <w:rPr>
          <w:lang w:val="en-ZA"/>
        </w:rPr>
        <w:t xml:space="preserve"> in Cayenne (French Guyan</w:t>
      </w:r>
      <w:r w:rsidR="00E82F3D" w:rsidRPr="00D22253">
        <w:rPr>
          <w:lang w:val="en-ZA"/>
        </w:rPr>
        <w:t>a) and</w:t>
      </w:r>
      <w:r w:rsidR="0069570C" w:rsidRPr="00D22253">
        <w:rPr>
          <w:lang w:val="en-ZA"/>
        </w:rPr>
        <w:t xml:space="preserve"> </w:t>
      </w:r>
      <w:proofErr w:type="spellStart"/>
      <w:r w:rsidR="0069570C" w:rsidRPr="00D22253">
        <w:rPr>
          <w:lang w:val="en-ZA"/>
        </w:rPr>
        <w:t>Piarco</w:t>
      </w:r>
      <w:proofErr w:type="spellEnd"/>
      <w:r w:rsidR="0069570C" w:rsidRPr="00D22253">
        <w:rPr>
          <w:lang w:val="en-ZA"/>
        </w:rPr>
        <w:t xml:space="preserve"> (Trinidad and Tobago)</w:t>
      </w:r>
      <w:r w:rsidR="00E82F3D" w:rsidRPr="00D22253">
        <w:rPr>
          <w:lang w:val="en-ZA"/>
        </w:rPr>
        <w:t xml:space="preserve"> offering the opportunity of its</w:t>
      </w:r>
      <w:r w:rsidR="0069570C" w:rsidRPr="00D22253">
        <w:rPr>
          <w:lang w:val="en-ZA"/>
        </w:rPr>
        <w:t xml:space="preserve"> interconnecti</w:t>
      </w:r>
      <w:r w:rsidR="00E82F3D" w:rsidRPr="00D22253">
        <w:rPr>
          <w:lang w:val="en-ZA"/>
        </w:rPr>
        <w:t xml:space="preserve">on </w:t>
      </w:r>
      <w:r w:rsidR="0069570C" w:rsidRPr="00D22253">
        <w:rPr>
          <w:lang w:val="en-ZA"/>
        </w:rPr>
        <w:t>the South American digital network</w:t>
      </w:r>
      <w:r w:rsidR="00E82F3D" w:rsidRPr="00D22253">
        <w:rPr>
          <w:lang w:val="en-ZA"/>
        </w:rPr>
        <w:t xml:space="preserve"> REDDIG.</w:t>
      </w:r>
    </w:p>
    <w:p w:rsidR="00BE0401" w:rsidRDefault="00BE0401" w:rsidP="00BE0401">
      <w:pPr>
        <w:pStyle w:val="ListParagraph"/>
      </w:pPr>
    </w:p>
    <w:p w:rsidR="00BE0401" w:rsidRPr="00D22253" w:rsidRDefault="00E82F3D" w:rsidP="00805E0B">
      <w:pPr>
        <w:pStyle w:val="ListParagraph"/>
        <w:numPr>
          <w:ilvl w:val="0"/>
          <w:numId w:val="10"/>
        </w:numPr>
      </w:pPr>
      <w:r>
        <w:rPr>
          <w:lang w:val="en-ZA"/>
        </w:rPr>
        <w:t>AFISNET trough a</w:t>
      </w:r>
      <w:r w:rsidR="009B05B9" w:rsidRPr="009B05B9">
        <w:rPr>
          <w:lang w:val="en-ZA"/>
        </w:rPr>
        <w:t xml:space="preserve">dditional Multi-Channel per Carrier (“MCPC”) point-to-point links </w:t>
      </w:r>
      <w:r>
        <w:rPr>
          <w:lang w:val="en-ZA"/>
        </w:rPr>
        <w:t>is</w:t>
      </w:r>
      <w:r w:rsidRPr="009B05B9">
        <w:rPr>
          <w:lang w:val="en-ZA"/>
        </w:rPr>
        <w:t xml:space="preserve"> </w:t>
      </w:r>
      <w:r>
        <w:rPr>
          <w:lang w:val="en-ZA"/>
        </w:rPr>
        <w:t>interconnected to</w:t>
      </w:r>
      <w:r w:rsidR="009B05B9" w:rsidRPr="009B05B9">
        <w:rPr>
          <w:lang w:val="en-ZA"/>
        </w:rPr>
        <w:t xml:space="preserve"> the SADC and NAFISAT VSAT network</w:t>
      </w:r>
      <w:r>
        <w:rPr>
          <w:lang w:val="en-ZA"/>
        </w:rPr>
        <w:t>s as well as to t</w:t>
      </w:r>
      <w:r w:rsidRPr="009B05B9">
        <w:rPr>
          <w:lang w:val="en-ZA"/>
        </w:rPr>
        <w:t xml:space="preserve">he </w:t>
      </w:r>
      <w:r w:rsidR="009B05B9" w:rsidRPr="009B05B9">
        <w:rPr>
          <w:lang w:val="en-ZA"/>
        </w:rPr>
        <w:t xml:space="preserve">CAFSAT (Central Atlantic Firs VSAT) Network </w:t>
      </w:r>
      <w:r>
        <w:rPr>
          <w:lang w:val="en-ZA"/>
        </w:rPr>
        <w:t>whi</w:t>
      </w:r>
      <w:r w:rsidR="0090780F">
        <w:rPr>
          <w:lang w:val="en-ZA"/>
        </w:rPr>
        <w:t xml:space="preserve">ch </w:t>
      </w:r>
      <w:r w:rsidR="009B05B9" w:rsidRPr="009B05B9">
        <w:rPr>
          <w:lang w:val="en-ZA"/>
        </w:rPr>
        <w:t>links the SAM, EUR and AFI regions and provides interconnectivity between the AFI networks and the South American digital network (REDDIG)</w:t>
      </w:r>
      <w:r w:rsidR="005078AB">
        <w:rPr>
          <w:lang w:val="en-ZA"/>
        </w:rPr>
        <w:t>.</w:t>
      </w:r>
    </w:p>
    <w:p w:rsidR="00D22253" w:rsidRDefault="00D22253" w:rsidP="00D22253">
      <w:pPr>
        <w:pStyle w:val="ListParagraph"/>
      </w:pPr>
    </w:p>
    <w:p w:rsidR="00D22253" w:rsidRDefault="00D22253" w:rsidP="00D22253">
      <w:pPr>
        <w:pStyle w:val="ListParagraph"/>
        <w:ind w:left="1440"/>
      </w:pPr>
    </w:p>
    <w:p w:rsidR="00B7576E" w:rsidRPr="00762E25" w:rsidRDefault="0090780F" w:rsidP="00762E25">
      <w:pPr>
        <w:pStyle w:val="ListParagraph"/>
        <w:numPr>
          <w:ilvl w:val="0"/>
          <w:numId w:val="10"/>
        </w:numPr>
        <w:rPr>
          <w:lang w:val="en-ZA"/>
        </w:rPr>
      </w:pPr>
      <w:r>
        <w:rPr>
          <w:lang w:val="en-ZA"/>
        </w:rPr>
        <w:t xml:space="preserve">The current aeronautical VSAT infrastructures cover all the Africa and Ocean Indian Region and interconnect it to the other Regions notably SAM, EUR and CAR Regions. </w:t>
      </w:r>
      <w:r w:rsidRPr="00762E25">
        <w:rPr>
          <w:lang w:val="en-ZA"/>
        </w:rPr>
        <w:t xml:space="preserve"> </w:t>
      </w:r>
      <w:r w:rsidR="00B7576E" w:rsidRPr="00762E25">
        <w:rPr>
          <w:lang w:val="en-ZA"/>
        </w:rPr>
        <w:t>These VSAT networks support all aeronautical communications services including the extension of VHF aeronautical mobile, navigation and surveillance.</w:t>
      </w:r>
      <w:r w:rsidR="00740CE5" w:rsidRPr="00762E25">
        <w:rPr>
          <w:lang w:val="en-ZA"/>
        </w:rPr>
        <w:t xml:space="preserve"> </w:t>
      </w:r>
      <w:r w:rsidR="00B7576E" w:rsidRPr="00762E25">
        <w:rPr>
          <w:lang w:val="en-ZA"/>
        </w:rPr>
        <w:t>VSAT networks are also used for data links for the meteorological services in Africa.</w:t>
      </w:r>
      <w:r w:rsidR="00740CE5" w:rsidRPr="00762E25">
        <w:rPr>
          <w:lang w:val="en-ZA"/>
        </w:rPr>
        <w:t xml:space="preserve"> </w:t>
      </w:r>
      <w:r w:rsidR="00B7576E" w:rsidRPr="00762E25">
        <w:rPr>
          <w:lang w:val="en-ZA"/>
        </w:rPr>
        <w:t>Today, VSAT networks constitute a real infrastructure, spanning the entire African continent and beyond. The availability of the entire 34</w:t>
      </w:r>
      <w:r w:rsidR="00762E25" w:rsidRPr="00762E25">
        <w:rPr>
          <w:lang w:val="en-ZA"/>
        </w:rPr>
        <w:t>00 MHz</w:t>
      </w:r>
      <w:r w:rsidR="00B7576E" w:rsidRPr="00762E25">
        <w:rPr>
          <w:lang w:val="en-ZA"/>
        </w:rPr>
        <w:t xml:space="preserve"> to 42</w:t>
      </w:r>
      <w:r w:rsidR="00762E25" w:rsidRPr="00762E25">
        <w:rPr>
          <w:lang w:val="en-ZA"/>
        </w:rPr>
        <w:t xml:space="preserve">00 </w:t>
      </w:r>
      <w:r w:rsidR="00E936BF" w:rsidRPr="00762E25">
        <w:rPr>
          <w:lang w:val="en-ZA"/>
        </w:rPr>
        <w:t xml:space="preserve">MHz </w:t>
      </w:r>
      <w:r>
        <w:rPr>
          <w:lang w:val="en-ZA"/>
        </w:rPr>
        <w:t>and 5625</w:t>
      </w:r>
      <w:r w:rsidR="00E936BF">
        <w:rPr>
          <w:lang w:val="en-ZA"/>
        </w:rPr>
        <w:t xml:space="preserve"> MHz to 6425 MHz </w:t>
      </w:r>
      <w:r w:rsidR="00B7576E" w:rsidRPr="00762E25">
        <w:rPr>
          <w:lang w:val="en-ZA"/>
        </w:rPr>
        <w:t xml:space="preserve">FSS </w:t>
      </w:r>
      <w:r>
        <w:rPr>
          <w:lang w:val="en-ZA"/>
        </w:rPr>
        <w:t>C-</w:t>
      </w:r>
      <w:r w:rsidR="00B7576E" w:rsidRPr="00762E25">
        <w:rPr>
          <w:lang w:val="en-ZA"/>
        </w:rPr>
        <w:t>band is crucial for the AFI Region to ensure the continued growth of traffic while maintaining the required level of safety in this region.</w:t>
      </w:r>
    </w:p>
    <w:p w:rsidR="00B7576E" w:rsidRDefault="00B7576E" w:rsidP="00B7576E"/>
    <w:p w:rsidR="00740CE5" w:rsidRPr="00762E25" w:rsidRDefault="00762E25" w:rsidP="005078AB">
      <w:pPr>
        <w:pStyle w:val="2Heading"/>
        <w:ind w:right="-33"/>
        <w:rPr>
          <w:b w:val="0"/>
        </w:rPr>
      </w:pPr>
      <w:r>
        <w:rPr>
          <w:b w:val="0"/>
        </w:rPr>
        <w:t xml:space="preserve">During </w:t>
      </w:r>
      <w:r w:rsidR="00740CE5" w:rsidRPr="00762E25">
        <w:rPr>
          <w:b w:val="0"/>
        </w:rPr>
        <w:t>WRC-07</w:t>
      </w:r>
      <w:r>
        <w:rPr>
          <w:b w:val="0"/>
        </w:rPr>
        <w:t xml:space="preserve"> </w:t>
      </w:r>
      <w:r w:rsidR="00740CE5" w:rsidRPr="00762E25">
        <w:rPr>
          <w:b w:val="0"/>
        </w:rPr>
        <w:t>the issue</w:t>
      </w:r>
      <w:r>
        <w:rPr>
          <w:b w:val="0"/>
        </w:rPr>
        <w:t xml:space="preserve"> was addressed</w:t>
      </w:r>
      <w:r w:rsidR="00740CE5" w:rsidRPr="00762E25">
        <w:rPr>
          <w:b w:val="0"/>
        </w:rPr>
        <w:t xml:space="preserve"> whether the band 3400 MHz to 4200 </w:t>
      </w:r>
      <w:r>
        <w:rPr>
          <w:b w:val="0"/>
        </w:rPr>
        <w:t>M</w:t>
      </w:r>
      <w:r w:rsidR="00740CE5" w:rsidRPr="00762E25">
        <w:rPr>
          <w:b w:val="0"/>
        </w:rPr>
        <w:t>Hz (“C-band”) should be identified for the International Mobile Telecommunications (IMT) on a global basis with the longstanding primary allocation to the fixed satellite service (FSS) and rejected the global identification for IMT in the C-band because of the recognised need to protect FSS communications from harmful interference evidenced in studies by the ITU</w:t>
      </w:r>
      <w:r>
        <w:rPr>
          <w:b w:val="0"/>
        </w:rPr>
        <w:t>.</w:t>
      </w:r>
    </w:p>
    <w:p w:rsidR="00740CE5" w:rsidRDefault="00740CE5" w:rsidP="00EA4B9D">
      <w:pPr>
        <w:ind w:left="720"/>
      </w:pPr>
    </w:p>
    <w:p w:rsidR="00740CE5" w:rsidRPr="00762E25" w:rsidRDefault="00740CE5" w:rsidP="00762E25">
      <w:pPr>
        <w:pStyle w:val="ListParagraph"/>
        <w:numPr>
          <w:ilvl w:val="0"/>
          <w:numId w:val="14"/>
        </w:numPr>
        <w:rPr>
          <w:lang w:val="en-ZA"/>
        </w:rPr>
      </w:pPr>
      <w:r w:rsidRPr="00762E25">
        <w:rPr>
          <w:lang w:val="en-ZA"/>
        </w:rPr>
        <w:t>WRC-07, subject to certain restrictions, adopted new footnotes to Radio Regulations to allow the band 3400MHz to 3600MHz for use by the IMT, but only by countries listed in the foot notes (opt-in countries). The restrictions established additional protection for the C-band earth stations by the opt-in countries in each of the three ITU regions.</w:t>
      </w:r>
    </w:p>
    <w:p w:rsidR="00740CE5" w:rsidRDefault="00740CE5" w:rsidP="00762E25">
      <w:pPr>
        <w:ind w:left="720"/>
      </w:pPr>
    </w:p>
    <w:p w:rsidR="00740CE5" w:rsidRPr="00762E25" w:rsidRDefault="00740CE5" w:rsidP="00762E25">
      <w:pPr>
        <w:pStyle w:val="ListParagraph"/>
        <w:numPr>
          <w:ilvl w:val="0"/>
          <w:numId w:val="14"/>
        </w:numPr>
        <w:rPr>
          <w:lang w:val="en-ZA"/>
        </w:rPr>
      </w:pPr>
      <w:r w:rsidRPr="00762E25">
        <w:rPr>
          <w:lang w:val="en-ZA"/>
        </w:rPr>
        <w:t xml:space="preserve">81 Countries in Region 1 opt-in and the band 3400- 3600MHz was allocated and became effective in November 2010 on a co-primary basis for the mobile (including IMT) with PFD limit restrictions and coordination requirements in the 14 opt-in countries in Region 2, the 3400 MHz – 3500 MHz band was allocated by footnote to mobile services (which includes IMT) on a co-primary basis subject to coordination with affected administrations. The 3500 MHz – 3600 MHz band has also been identified for IMT in opt-in countries in Region 3. </w:t>
      </w:r>
    </w:p>
    <w:p w:rsidR="00740CE5" w:rsidRDefault="00740CE5" w:rsidP="00740CE5">
      <w:pPr>
        <w:pStyle w:val="ListParagraph"/>
      </w:pPr>
    </w:p>
    <w:p w:rsidR="00740CE5" w:rsidRDefault="00740CE5" w:rsidP="00740CE5"/>
    <w:p w:rsidR="00F25F4F" w:rsidRDefault="00F25F4F" w:rsidP="00AA3C07">
      <w:pPr>
        <w:tabs>
          <w:tab w:val="left" w:pos="7371"/>
        </w:tabs>
      </w:pPr>
    </w:p>
    <w:p w:rsidR="005A7888" w:rsidRPr="00D22253" w:rsidRDefault="00F25F4F" w:rsidP="00D22253">
      <w:pPr>
        <w:pStyle w:val="2Heading"/>
        <w:numPr>
          <w:ilvl w:val="0"/>
          <w:numId w:val="0"/>
        </w:numPr>
        <w:tabs>
          <w:tab w:val="left" w:pos="7371"/>
        </w:tabs>
        <w:ind w:left="567" w:right="109" w:hanging="567"/>
        <w:rPr>
          <w:b w:val="0"/>
        </w:rPr>
      </w:pPr>
      <w:r>
        <w:rPr>
          <w:b w:val="0"/>
        </w:rPr>
        <w:t xml:space="preserve">2.3 </w:t>
      </w:r>
      <w:r w:rsidR="00BD2C17">
        <w:rPr>
          <w:b w:val="0"/>
        </w:rPr>
        <w:t xml:space="preserve">    </w:t>
      </w:r>
      <w:r w:rsidRPr="00F25F4F">
        <w:rPr>
          <w:b w:val="0"/>
        </w:rPr>
        <w:t>Interference cases were experienced after the WRC 07 allocation of 3400 MHz to 3600 MHz to IMT.</w:t>
      </w:r>
      <w:r w:rsidR="00AA3C07">
        <w:rPr>
          <w:b w:val="0"/>
        </w:rPr>
        <w:t xml:space="preserve"> </w:t>
      </w:r>
      <w:r w:rsidRPr="00BD2C17">
        <w:rPr>
          <w:b w:val="0"/>
        </w:rPr>
        <w:t>Tests indicated that interference was not caused by co-channel Assignments, but by the harmonic content in the side lobes of the radiated signal Instance of Interference recorded/continued.</w:t>
      </w:r>
      <w:r w:rsidR="00D22253">
        <w:rPr>
          <w:b w:val="0"/>
        </w:rPr>
        <w:t xml:space="preserve"> </w:t>
      </w:r>
      <w:r w:rsidR="005A7888" w:rsidRPr="00D22253">
        <w:rPr>
          <w:b w:val="0"/>
        </w:rPr>
        <w:t>S</w:t>
      </w:r>
      <w:r w:rsidR="00A4614A" w:rsidRPr="00D22253">
        <w:rPr>
          <w:b w:val="0"/>
        </w:rPr>
        <w:t>ince then, s</w:t>
      </w:r>
      <w:r w:rsidR="005A7888" w:rsidRPr="00D22253">
        <w:rPr>
          <w:b w:val="0"/>
        </w:rPr>
        <w:t>everal interferences cases were recorded trough the AFI region including</w:t>
      </w:r>
      <w:r w:rsidR="00A4614A" w:rsidRPr="00D22253">
        <w:rPr>
          <w:b w:val="0"/>
        </w:rPr>
        <w:t>;</w:t>
      </w:r>
    </w:p>
    <w:p w:rsidR="00F25F4F" w:rsidRPr="00F25F4F" w:rsidRDefault="00F25F4F" w:rsidP="00AA3C07">
      <w:pPr>
        <w:pStyle w:val="2Heading"/>
        <w:numPr>
          <w:ilvl w:val="0"/>
          <w:numId w:val="15"/>
        </w:numPr>
        <w:ind w:right="109"/>
        <w:rPr>
          <w:b w:val="0"/>
          <w:lang w:val="en-ZA"/>
        </w:rPr>
      </w:pPr>
      <w:r w:rsidRPr="00F25F4F">
        <w:rPr>
          <w:b w:val="0"/>
          <w:lang w:val="en-ZA"/>
        </w:rPr>
        <w:t xml:space="preserve">Interference </w:t>
      </w:r>
      <w:r w:rsidR="00BD2C17">
        <w:rPr>
          <w:b w:val="0"/>
          <w:lang w:val="en-ZA"/>
        </w:rPr>
        <w:t xml:space="preserve">caused to Tanzania Earth Station </w:t>
      </w:r>
      <w:r w:rsidR="00AE11AE">
        <w:rPr>
          <w:b w:val="0"/>
          <w:lang w:val="en-ZA"/>
        </w:rPr>
        <w:t>where t</w:t>
      </w:r>
      <w:r w:rsidR="00AE11AE" w:rsidRPr="00F25F4F">
        <w:rPr>
          <w:b w:val="0"/>
          <w:lang w:val="en-ZA"/>
        </w:rPr>
        <w:t xml:space="preserve">he </w:t>
      </w:r>
      <w:r w:rsidRPr="00F25F4F">
        <w:rPr>
          <w:b w:val="0"/>
          <w:lang w:val="en-ZA"/>
        </w:rPr>
        <w:t xml:space="preserve">fault that developed on the particular terminal </w:t>
      </w:r>
      <w:r w:rsidR="00BD2C17">
        <w:rPr>
          <w:b w:val="0"/>
          <w:lang w:val="en-ZA"/>
        </w:rPr>
        <w:t>was</w:t>
      </w:r>
      <w:r w:rsidRPr="00F25F4F">
        <w:rPr>
          <w:b w:val="0"/>
          <w:lang w:val="en-ZA"/>
        </w:rPr>
        <w:t xml:space="preserve"> caused by local interference</w:t>
      </w:r>
      <w:r w:rsidR="00BD2C17">
        <w:rPr>
          <w:b w:val="0"/>
          <w:lang w:val="en-ZA"/>
        </w:rPr>
        <w:t>.</w:t>
      </w:r>
      <w:r w:rsidRPr="00F25F4F">
        <w:rPr>
          <w:b w:val="0"/>
          <w:lang w:val="en-ZA"/>
        </w:rPr>
        <w:t xml:space="preserve"> It was concluded that local WiMAX transmissions could be the most likely source of the interference</w:t>
      </w:r>
      <w:r w:rsidR="00BD2C17">
        <w:rPr>
          <w:b w:val="0"/>
          <w:lang w:val="en-ZA"/>
        </w:rPr>
        <w:t xml:space="preserve"> and i</w:t>
      </w:r>
      <w:r w:rsidRPr="00F25F4F">
        <w:rPr>
          <w:b w:val="0"/>
          <w:lang w:val="en-ZA"/>
        </w:rPr>
        <w:t>t was decided to change the home channel of the terminal to a channel with less interference</w:t>
      </w:r>
      <w:r w:rsidR="00BD2C17">
        <w:rPr>
          <w:b w:val="0"/>
          <w:lang w:val="en-ZA"/>
        </w:rPr>
        <w:t>.</w:t>
      </w:r>
    </w:p>
    <w:p w:rsidR="00F25F4F" w:rsidRPr="005A7888" w:rsidRDefault="00F25F4F" w:rsidP="005A7888">
      <w:pPr>
        <w:pStyle w:val="2Heading"/>
        <w:numPr>
          <w:ilvl w:val="0"/>
          <w:numId w:val="15"/>
        </w:numPr>
        <w:ind w:right="109"/>
        <w:rPr>
          <w:b w:val="0"/>
          <w:lang w:val="en-ZA"/>
        </w:rPr>
      </w:pPr>
      <w:r w:rsidRPr="005A7888">
        <w:rPr>
          <w:b w:val="0"/>
          <w:lang w:val="en-ZA"/>
        </w:rPr>
        <w:t>Interference caused to Ouagadougou Earth Station (Burkina Faso) by WIMAX Interference caused to Lima Earth Station (Peru) by WIMAX from 31 August to 07 September 2012</w:t>
      </w:r>
      <w:r w:rsidR="00BD2C17" w:rsidRPr="005A7888">
        <w:rPr>
          <w:b w:val="0"/>
          <w:lang w:val="en-ZA"/>
        </w:rPr>
        <w:t xml:space="preserve">. </w:t>
      </w:r>
      <w:r w:rsidRPr="005A7888">
        <w:rPr>
          <w:b w:val="0"/>
          <w:lang w:val="en-ZA"/>
        </w:rPr>
        <w:t>Spectrum Analysis of Frequency Band 3.513 – 3.533 GHz with WIMAX signal – 06 September 2012</w:t>
      </w:r>
      <w:r w:rsidR="00AA3C07" w:rsidRPr="005A7888">
        <w:rPr>
          <w:b w:val="0"/>
          <w:lang w:val="en-ZA"/>
        </w:rPr>
        <w:t>.</w:t>
      </w:r>
    </w:p>
    <w:p w:rsidR="005A7888" w:rsidRPr="005A7888" w:rsidRDefault="005A7888" w:rsidP="00805E0B">
      <w:pPr>
        <w:pStyle w:val="3para"/>
        <w:numPr>
          <w:ilvl w:val="0"/>
          <w:numId w:val="0"/>
        </w:numPr>
        <w:ind w:left="1440"/>
        <w:rPr>
          <w:lang w:val="en-ZA"/>
        </w:rPr>
      </w:pPr>
    </w:p>
    <w:p w:rsidR="00BB5625" w:rsidRDefault="00BB5625" w:rsidP="00805E0B">
      <w:pPr>
        <w:pStyle w:val="Default"/>
        <w:ind w:left="720"/>
        <w:rPr>
          <w:sz w:val="23"/>
          <w:szCs w:val="23"/>
        </w:rPr>
      </w:pPr>
    </w:p>
    <w:p w:rsidR="00B024A3" w:rsidRDefault="00A459F8" w:rsidP="00B024A3">
      <w:pPr>
        <w:pStyle w:val="1Heading"/>
      </w:pPr>
      <w:r>
        <w:t>CONCLUSION</w:t>
      </w:r>
    </w:p>
    <w:p w:rsidR="005A7888" w:rsidRDefault="005A7888" w:rsidP="005A7888">
      <w:pPr>
        <w:pStyle w:val="2para"/>
        <w:ind w:left="720" w:hanging="720"/>
      </w:pPr>
      <w:r w:rsidRPr="005A7888">
        <w:rPr>
          <w:lang w:val="en-ZA"/>
        </w:rPr>
        <w:t xml:space="preserve">WRC 2012  resolved by resolution 154 WRC-12 </w:t>
      </w:r>
      <w:r w:rsidRPr="005A7888">
        <w:rPr>
          <w:i/>
          <w:iCs/>
        </w:rPr>
        <w:t xml:space="preserve">to invite ITU-R  </w:t>
      </w:r>
      <w:r>
        <w:t>to study possible technical and regulatory measures in some countries in Region 1 to support the existing and future FSS earth stations in the 3 400-4 200 MHz band used for satellite communications related to safe operation of aircraft and reliable distribution of meteorological information</w:t>
      </w:r>
    </w:p>
    <w:p w:rsidR="00B024A3" w:rsidRPr="00B024A3" w:rsidRDefault="00740CE5" w:rsidP="00AA3C07">
      <w:pPr>
        <w:pStyle w:val="2para"/>
        <w:ind w:left="720" w:hanging="720"/>
      </w:pPr>
      <w:r>
        <w:t xml:space="preserve">WRC 15 </w:t>
      </w:r>
      <w:r w:rsidR="00EA4B9D">
        <w:t xml:space="preserve">Resolved </w:t>
      </w:r>
      <w:r w:rsidR="0075379E">
        <w:t xml:space="preserve">to support technical and regulatory actions in order to support existing and future operations of fixed satellite service earth stations within the frequency bands 3400 MHz – 4200 MHz as an aid for safe operation of aircraft. </w:t>
      </w:r>
    </w:p>
    <w:p w:rsidR="00B024A3" w:rsidRPr="00B024A3" w:rsidRDefault="00B024A3" w:rsidP="00B024A3">
      <w:pPr>
        <w:pStyle w:val="1Heading"/>
      </w:pPr>
      <w:r w:rsidRPr="00B024A3">
        <w:t>ACTION BY THE MEETING</w:t>
      </w:r>
    </w:p>
    <w:p w:rsidR="00B024A3" w:rsidRPr="00B024A3" w:rsidRDefault="00B024A3" w:rsidP="00AA3C07">
      <w:pPr>
        <w:numPr>
          <w:ilvl w:val="1"/>
          <w:numId w:val="1"/>
        </w:numPr>
        <w:tabs>
          <w:tab w:val="clear" w:pos="720"/>
          <w:tab w:val="left" w:pos="709"/>
        </w:tabs>
        <w:spacing w:after="240"/>
        <w:ind w:left="0" w:firstLine="0"/>
        <w:outlineLvl w:val="1"/>
      </w:pPr>
      <w:r w:rsidRPr="00B024A3">
        <w:t>The meeting is invited to:</w:t>
      </w:r>
    </w:p>
    <w:p w:rsidR="00B024A3" w:rsidRDefault="00B024A3" w:rsidP="00AA3C07">
      <w:pPr>
        <w:numPr>
          <w:ilvl w:val="0"/>
          <w:numId w:val="2"/>
        </w:numPr>
        <w:spacing w:after="240"/>
        <w:ind w:left="1560" w:hanging="426"/>
        <w:jc w:val="left"/>
        <w:rPr>
          <w:noProof/>
          <w:lang w:val="en-AU"/>
        </w:rPr>
      </w:pPr>
      <w:r w:rsidRPr="00B024A3">
        <w:rPr>
          <w:noProof/>
        </w:rPr>
        <w:t>n</w:t>
      </w:r>
      <w:r w:rsidRPr="00B024A3">
        <w:rPr>
          <w:noProof/>
          <w:lang w:val="en-AU"/>
        </w:rPr>
        <w:t>ote the contents of this working paper;</w:t>
      </w:r>
      <w:r w:rsidR="0075379E">
        <w:rPr>
          <w:noProof/>
          <w:lang w:val="en-AU"/>
        </w:rPr>
        <w:t xml:space="preserve"> and </w:t>
      </w:r>
    </w:p>
    <w:p w:rsidR="00B024A3" w:rsidRPr="00B024A3" w:rsidRDefault="00FD610F" w:rsidP="00AA3C07">
      <w:pPr>
        <w:numPr>
          <w:ilvl w:val="0"/>
          <w:numId w:val="2"/>
        </w:numPr>
        <w:spacing w:after="240"/>
        <w:ind w:left="1560" w:hanging="426"/>
        <w:jc w:val="left"/>
        <w:rPr>
          <w:noProof/>
          <w:lang w:val="en-AU"/>
        </w:rPr>
      </w:pPr>
      <w:r>
        <w:rPr>
          <w:noProof/>
          <w:lang w:val="en-AU"/>
        </w:rPr>
        <w:t xml:space="preserve">use text to make suitable </w:t>
      </w:r>
      <w:r w:rsidR="00B024A3">
        <w:rPr>
          <w:noProof/>
          <w:lang w:val="en-AU"/>
        </w:rPr>
        <w:t>recommendations to replace the relevant text in Chapter 7 of ICAO Doc 9718</w:t>
      </w:r>
      <w:r w:rsidR="0075379E">
        <w:rPr>
          <w:noProof/>
          <w:lang w:val="en-AU"/>
        </w:rPr>
        <w:t>.</w:t>
      </w:r>
    </w:p>
    <w:p w:rsidR="00770160" w:rsidRDefault="00770160">
      <w:pPr>
        <w:spacing w:before="600"/>
        <w:jc w:val="center"/>
      </w:pPr>
      <w:r>
        <w:t>— END —</w:t>
      </w:r>
    </w:p>
    <w:sectPr w:rsidR="00770160">
      <w:headerReference w:type="even" r:id="rId12"/>
      <w:headerReference w:type="default" r:id="rId13"/>
      <w:headerReference w:type="first" r:id="rId14"/>
      <w:footerReference w:type="first" r:id="rId15"/>
      <w:pgSz w:w="12242" w:h="15842" w:code="1"/>
      <w:pgMar w:top="1627" w:right="1247" w:bottom="1440" w:left="1247" w:header="1009"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05F" w:rsidRDefault="00E2605F">
      <w:r>
        <w:separator/>
      </w:r>
    </w:p>
  </w:endnote>
  <w:endnote w:type="continuationSeparator" w:id="0">
    <w:p w:rsidR="00E2605F" w:rsidRDefault="00E26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等线">
    <w:panose1 w:val="00000000000000000000"/>
    <w:charset w:val="8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160" w:rsidRDefault="00770160">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487431">
      <w:rPr>
        <w:noProof/>
        <w:sz w:val="18"/>
        <w:lang w:val="fr-FR"/>
      </w:rPr>
      <w:t>3</w:t>
    </w:r>
    <w:r>
      <w:rPr>
        <w:sz w:val="18"/>
        <w:lang w:val="en-US"/>
      </w:rPr>
      <w:fldChar w:fldCharType="end"/>
    </w:r>
    <w:r>
      <w:rPr>
        <w:sz w:val="18"/>
        <w:lang w:val="fr-FR"/>
      </w:rPr>
      <w:t xml:space="preserve"> pages)</w:t>
    </w:r>
  </w:p>
  <w:p w:rsidR="00770160" w:rsidRDefault="00770160">
    <w:pPr>
      <w:pStyle w:val="Footer"/>
      <w:rPr>
        <w:lang w:val="en-US"/>
      </w:rPr>
    </w:pPr>
    <w:r>
      <w:rPr>
        <w:sz w:val="18"/>
        <w:lang w:val="en-US"/>
      </w:rPr>
      <w:fldChar w:fldCharType="begin"/>
    </w:r>
    <w:r>
      <w:rPr>
        <w:sz w:val="18"/>
        <w:lang w:val="en-US"/>
      </w:rPr>
      <w:instrText xml:space="preserve"> FILENAME  \* MERGEFORMAT </w:instrText>
    </w:r>
    <w:r>
      <w:rPr>
        <w:sz w:val="18"/>
        <w:lang w:val="en-US"/>
      </w:rPr>
      <w:fldChar w:fldCharType="separate"/>
    </w:r>
    <w:r w:rsidR="00487431">
      <w:rPr>
        <w:noProof/>
        <w:sz w:val="18"/>
        <w:lang w:val="en-US"/>
      </w:rPr>
      <w:t>FSMP-WG04-WP25_Review of Doc 9718 _VSAT Final.docx</w:t>
    </w:r>
    <w:r>
      <w:rPr>
        <w:sz w:val="18"/>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05F" w:rsidRDefault="00E2605F">
      <w:r>
        <w:separator/>
      </w:r>
    </w:p>
  </w:footnote>
  <w:footnote w:type="continuationSeparator" w:id="0">
    <w:p w:rsidR="00E2605F" w:rsidRDefault="00E260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160" w:rsidRDefault="001449D6" w:rsidP="001377D4">
    <w:pPr>
      <w:tabs>
        <w:tab w:val="center" w:pos="4876"/>
      </w:tabs>
      <w:spacing w:after="600"/>
    </w:pPr>
    <w:r>
      <w:t>FS</w:t>
    </w:r>
    <w:r w:rsidR="00C62653">
      <w:t>MP</w:t>
    </w:r>
    <w:r w:rsidR="0095751F">
      <w:t>-WG</w:t>
    </w:r>
    <w:r w:rsidR="00C62653">
      <w:t>/</w:t>
    </w:r>
    <w:r w:rsidR="0095751F">
      <w:t xml:space="preserve">4 </w:t>
    </w:r>
    <w:r w:rsidR="00DD5CD0">
      <w:t>W</w:t>
    </w:r>
    <w:r w:rsidR="00770160">
      <w:t>P/</w:t>
    </w:r>
    <w:r w:rsidR="00487431">
      <w:t>25</w:t>
    </w:r>
    <w:r w:rsidR="00770160">
      <w:tab/>
      <w:t xml:space="preserve">- </w:t>
    </w:r>
    <w:r w:rsidR="00770160">
      <w:rPr>
        <w:rStyle w:val="PageNumber"/>
      </w:rPr>
      <w:fldChar w:fldCharType="begin"/>
    </w:r>
    <w:r w:rsidR="00770160">
      <w:rPr>
        <w:rStyle w:val="PageNumber"/>
      </w:rPr>
      <w:instrText xml:space="preserve"> PAGE </w:instrText>
    </w:r>
    <w:r w:rsidR="00770160">
      <w:rPr>
        <w:rStyle w:val="PageNumber"/>
      </w:rPr>
      <w:fldChar w:fldCharType="separate"/>
    </w:r>
    <w:r w:rsidR="00487431">
      <w:rPr>
        <w:rStyle w:val="PageNumber"/>
        <w:noProof/>
      </w:rPr>
      <w:t>2</w:t>
    </w:r>
    <w:r w:rsidR="00770160">
      <w:rPr>
        <w:rStyle w:val="PageNumber"/>
      </w:rPr>
      <w:fldChar w:fldCharType="end"/>
    </w:r>
    <w:r w:rsidR="00770160">
      <w:rPr>
        <w:rStyle w:val="PageNumbe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160" w:rsidRDefault="00770160" w:rsidP="001377D4">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487431">
      <w:rPr>
        <w:rStyle w:val="PageNumber"/>
        <w:noProof/>
      </w:rPr>
      <w:t>3</w:t>
    </w:r>
    <w:r>
      <w:rPr>
        <w:rStyle w:val="PageNumber"/>
      </w:rPr>
      <w:fldChar w:fldCharType="end"/>
    </w:r>
    <w:r>
      <w:rPr>
        <w:rStyle w:val="PageNumber"/>
      </w:rPr>
      <w:t xml:space="preserve"> -</w:t>
    </w:r>
    <w:r>
      <w:rPr>
        <w:rStyle w:val="PageNumber"/>
      </w:rPr>
      <w:tab/>
    </w:r>
    <w:r w:rsidR="001449D6">
      <w:t>FS</w:t>
    </w:r>
    <w:r w:rsidR="00C62653">
      <w:t>MP</w:t>
    </w:r>
    <w:r w:rsidR="0095751F">
      <w:t xml:space="preserve">-WG/4 </w:t>
    </w:r>
    <w:r w:rsidR="00DD5CD0">
      <w:t>W</w:t>
    </w:r>
    <w:r>
      <w:t>P/</w:t>
    </w:r>
    <w:r w:rsidR="00487431">
      <w:t>25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1742AF" w:rsidTr="001742AF">
      <w:trPr>
        <w:trHeight w:val="1790"/>
      </w:trPr>
      <w:tc>
        <w:tcPr>
          <w:tcW w:w="1915" w:type="dxa"/>
          <w:tcBorders>
            <w:top w:val="single" w:sz="2" w:space="0" w:color="FFFFFF"/>
            <w:left w:val="single" w:sz="2" w:space="0" w:color="FFFFFF"/>
            <w:bottom w:val="single" w:sz="2" w:space="0" w:color="FFFFFF"/>
            <w:right w:val="single" w:sz="2" w:space="0" w:color="FFFFFF"/>
          </w:tcBorders>
          <w:shd w:val="clear" w:color="auto" w:fill="FFFFFF"/>
          <w:hideMark/>
        </w:tcPr>
        <w:p w:rsidR="001742AF" w:rsidRDefault="009556E2">
          <w:pPr>
            <w:autoSpaceDE w:val="0"/>
            <w:autoSpaceDN w:val="0"/>
            <w:adjustRightInd w:val="0"/>
            <w:rPr>
              <w:szCs w:val="24"/>
            </w:rPr>
          </w:pPr>
          <w:bookmarkStart w:id="3" w:name="logo"/>
          <w:r>
            <w:rPr>
              <w:noProof/>
              <w:lang w:eastAsia="zh-CN"/>
            </w:rPr>
            <w:drawing>
              <wp:inline distT="0" distB="0" distL="0" distR="0" wp14:anchorId="05E43238" wp14:editId="1E673BC1">
                <wp:extent cx="1085850" cy="875030"/>
                <wp:effectExtent l="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875030"/>
                        </a:xfrm>
                        <a:prstGeom prst="rect">
                          <a:avLst/>
                        </a:prstGeom>
                        <a:noFill/>
                        <a:ln>
                          <a:noFill/>
                        </a:ln>
                      </pic:spPr>
                    </pic:pic>
                  </a:graphicData>
                </a:graphic>
              </wp:inline>
            </w:drawing>
          </w:r>
          <w:bookmarkEnd w:id="3"/>
        </w:p>
      </w:tc>
      <w:tc>
        <w:tcPr>
          <w:tcW w:w="3895" w:type="dxa"/>
          <w:tcBorders>
            <w:top w:val="single" w:sz="2" w:space="0" w:color="FFFFFF"/>
            <w:left w:val="single" w:sz="2" w:space="0" w:color="FFFFFF"/>
            <w:bottom w:val="single" w:sz="2" w:space="0" w:color="FFFFFF"/>
            <w:right w:val="single" w:sz="2" w:space="0" w:color="FFFFFF"/>
          </w:tcBorders>
          <w:shd w:val="clear" w:color="auto" w:fill="FFFFFF"/>
          <w:tcMar>
            <w:top w:w="0" w:type="dxa"/>
            <w:left w:w="0" w:type="dxa"/>
            <w:bottom w:w="0" w:type="dxa"/>
            <w:right w:w="0" w:type="dxa"/>
          </w:tcMar>
        </w:tcPr>
        <w:p w:rsidR="001742AF" w:rsidRDefault="009556E2">
          <w:pPr>
            <w:rPr>
              <w:rFonts w:ascii="Arial" w:hAnsi="Arial" w:cs="Arial"/>
              <w:szCs w:val="22"/>
            </w:rPr>
          </w:pPr>
          <w:r>
            <w:rPr>
              <w:noProof/>
              <w:szCs w:val="24"/>
              <w:lang w:eastAsia="zh-CN"/>
            </w:rPr>
            <mc:AlternateContent>
              <mc:Choice Requires="wps">
                <w:drawing>
                  <wp:anchor distT="0" distB="0" distL="114300" distR="114300" simplePos="0" relativeHeight="251661824" behindDoc="0" locked="0" layoutInCell="1" allowOverlap="1" wp14:anchorId="796C116F" wp14:editId="41E5C39D">
                    <wp:simplePos x="0" y="0"/>
                    <wp:positionH relativeFrom="column">
                      <wp:posOffset>12700</wp:posOffset>
                    </wp:positionH>
                    <wp:positionV relativeFrom="paragraph">
                      <wp:posOffset>342900</wp:posOffset>
                    </wp:positionV>
                    <wp:extent cx="24003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B36CC06" id="Line 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T7WEgIAACg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5kWaPqVgGr2dJaS8BRrr/AeuexQmFZagORKT48Z5kA7QGyTco/RaSBnN&#10;lgoNFZ5P8kkMcFoKFg4DzNn9rpYWHUlol/iFOgDZA8zqg2KRrOOEra5zT4S8zAEvVeCDVEDOdXbp&#10;h2/zdL6arWbFqMinq1GRNs3o/bouRtN19m7SPDV13WTfg7SsKDvBGFdB3a03s+LvvL++kktX3bvz&#10;XobkkT2mCGJv/yg6ehnsuzTCTrPz1oZqBFuhHSP4+nRCv/+6jqifD3z5Aw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KfVPtYS&#10;AgAAKAQAAA4AAAAAAAAAAAAAAAAALgIAAGRycy9lMm9Eb2MueG1sUEsBAi0AFAAGAAgAAAAhABes&#10;0mLbAAAABwEAAA8AAAAAAAAAAAAAAAAAbAQAAGRycy9kb3ducmV2LnhtbFBLBQYAAAAABAAEAPMA&#10;AAB0BQAAAAA=&#10;"/>
                </w:pict>
              </mc:Fallback>
            </mc:AlternateContent>
          </w:r>
        </w:p>
        <w:p w:rsidR="001742AF" w:rsidRDefault="001742AF">
          <w:pPr>
            <w:rPr>
              <w:rFonts w:ascii="Arial" w:hAnsi="Arial" w:cs="Arial"/>
              <w:szCs w:val="22"/>
            </w:rPr>
          </w:pPr>
          <w:r>
            <w:rPr>
              <w:rFonts w:ascii="Arial" w:hAnsi="Arial" w:cs="Arial"/>
              <w:szCs w:val="22"/>
            </w:rPr>
            <w:t>International Civil Aviation Organization</w:t>
          </w:r>
        </w:p>
        <w:p w:rsidR="001742AF" w:rsidRDefault="001742AF">
          <w:pPr>
            <w:rPr>
              <w:rFonts w:ascii="Arial" w:hAnsi="Arial" w:cs="Arial"/>
              <w:szCs w:val="22"/>
            </w:rPr>
          </w:pPr>
        </w:p>
        <w:p w:rsidR="001742AF" w:rsidRDefault="00300EB5">
          <w:pPr>
            <w:autoSpaceDE w:val="0"/>
            <w:autoSpaceDN w:val="0"/>
            <w:adjustRightInd w:val="0"/>
            <w:rPr>
              <w:rFonts w:ascii="Arial" w:hAnsi="Arial" w:cs="Arial"/>
              <w:b/>
              <w:sz w:val="24"/>
              <w:szCs w:val="22"/>
            </w:rPr>
          </w:pPr>
          <w:r>
            <w:rPr>
              <w:rFonts w:ascii="Arial" w:hAnsi="Arial" w:cs="Arial"/>
              <w:b/>
              <w:sz w:val="24"/>
              <w:szCs w:val="22"/>
            </w:rPr>
            <w:t>WORKING</w:t>
          </w:r>
          <w:r w:rsidR="001742AF">
            <w:rPr>
              <w:rFonts w:ascii="Arial" w:hAnsi="Arial" w:cs="Arial"/>
              <w:b/>
              <w:sz w:val="24"/>
              <w:szCs w:val="22"/>
            </w:rPr>
            <w:t xml:space="preserve"> PAPER</w:t>
          </w:r>
        </w:p>
      </w:tc>
      <w:tc>
        <w:tcPr>
          <w:tcW w:w="3766" w:type="dxa"/>
          <w:tcBorders>
            <w:top w:val="single" w:sz="2" w:space="0" w:color="FFFFFF"/>
            <w:left w:val="single" w:sz="2" w:space="0" w:color="FFFFFF"/>
            <w:bottom w:val="single" w:sz="2" w:space="0" w:color="FFFFFF"/>
            <w:right w:val="single" w:sz="2" w:space="0" w:color="FFFFFF"/>
          </w:tcBorders>
          <w:shd w:val="clear" w:color="auto" w:fill="FFFFFF"/>
          <w:hideMark/>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056"/>
          </w:tblGrid>
          <w:tr w:rsidR="001742AF">
            <w:trPr>
              <w:jc w:val="right"/>
            </w:trPr>
            <w:tc>
              <w:tcPr>
                <w:tcW w:w="0" w:type="auto"/>
                <w:tcBorders>
                  <w:top w:val="single" w:sz="4" w:space="0" w:color="FFFFFF"/>
                  <w:left w:val="single" w:sz="4" w:space="0" w:color="FFFFFF"/>
                  <w:bottom w:val="single" w:sz="4" w:space="0" w:color="FFFFFF"/>
                  <w:right w:val="single" w:sz="4" w:space="0" w:color="FFFFFF"/>
                </w:tcBorders>
                <w:hideMark/>
              </w:tcPr>
              <w:p w:rsidR="00A35447" w:rsidRDefault="001449D6" w:rsidP="00487431">
                <w:pPr>
                  <w:framePr w:hSpace="180" w:wrap="around" w:vAnchor="text" w:hAnchor="text" w:y="1"/>
                  <w:suppressOverlap/>
                  <w:jc w:val="left"/>
                  <w:rPr>
                    <w:szCs w:val="22"/>
                  </w:rPr>
                </w:pPr>
                <w:bookmarkStart w:id="4" w:name="document_no"/>
                <w:r>
                  <w:rPr>
                    <w:szCs w:val="22"/>
                  </w:rPr>
                  <w:t>FS</w:t>
                </w:r>
                <w:r w:rsidR="00C62653">
                  <w:rPr>
                    <w:szCs w:val="22"/>
                  </w:rPr>
                  <w:t>MP</w:t>
                </w:r>
                <w:r w:rsidR="0095751F">
                  <w:rPr>
                    <w:szCs w:val="22"/>
                  </w:rPr>
                  <w:t>-WG/4</w:t>
                </w:r>
                <w:bookmarkStart w:id="5" w:name="related_to"/>
                <w:bookmarkStart w:id="6" w:name="revision_date"/>
                <w:bookmarkStart w:id="7" w:name="revision_no"/>
                <w:bookmarkStart w:id="8" w:name="addendum_corrigendum_appendix"/>
                <w:bookmarkStart w:id="9" w:name="restricted"/>
                <w:bookmarkStart w:id="10" w:name="date"/>
                <w:bookmarkEnd w:id="4"/>
                <w:bookmarkEnd w:id="5"/>
                <w:bookmarkEnd w:id="6"/>
                <w:bookmarkEnd w:id="7"/>
                <w:bookmarkEnd w:id="8"/>
                <w:bookmarkEnd w:id="9"/>
                <w:r w:rsidR="00487431">
                  <w:rPr>
                    <w:szCs w:val="22"/>
                  </w:rPr>
                  <w:t xml:space="preserve"> WP/25</w:t>
                </w:r>
              </w:p>
              <w:p w:rsidR="001742AF" w:rsidRDefault="001377D4" w:rsidP="00487431">
                <w:pPr>
                  <w:framePr w:hSpace="180" w:wrap="around" w:vAnchor="text" w:hAnchor="text" w:y="1"/>
                  <w:suppressOverlap/>
                  <w:jc w:val="left"/>
                  <w:rPr>
                    <w:b/>
                    <w:szCs w:val="24"/>
                  </w:rPr>
                </w:pPr>
                <w:r>
                  <w:rPr>
                    <w:sz w:val="18"/>
                    <w:szCs w:val="18"/>
                  </w:rPr>
                  <w:t>2017-03-</w:t>
                </w:r>
                <w:r w:rsidR="00A35447">
                  <w:rPr>
                    <w:sz w:val="18"/>
                    <w:szCs w:val="18"/>
                  </w:rPr>
                  <w:t>31</w:t>
                </w:r>
                <w:bookmarkEnd w:id="10"/>
                <w:r w:rsidR="001742AF">
                  <w:rPr>
                    <w:b/>
                    <w:sz w:val="18"/>
                    <w:szCs w:val="18"/>
                  </w:rPr>
                  <w:t xml:space="preserve"> </w:t>
                </w:r>
                <w:bookmarkStart w:id="11" w:name="info_paper"/>
                <w:bookmarkEnd w:id="11"/>
              </w:p>
            </w:tc>
          </w:tr>
          <w:tr w:rsidR="001742AF">
            <w:trPr>
              <w:jc w:val="right"/>
            </w:trPr>
            <w:tc>
              <w:tcPr>
                <w:tcW w:w="0" w:type="auto"/>
                <w:tcBorders>
                  <w:top w:val="single" w:sz="4" w:space="0" w:color="FFFFFF"/>
                  <w:left w:val="single" w:sz="4" w:space="0" w:color="FFFFFF"/>
                  <w:bottom w:val="single" w:sz="4" w:space="0" w:color="FFFFFF"/>
                  <w:right w:val="single" w:sz="4" w:space="0" w:color="FFFFFF"/>
                </w:tcBorders>
                <w:hideMark/>
              </w:tcPr>
              <w:p w:rsidR="001742AF" w:rsidRDefault="001742AF" w:rsidP="00487431">
                <w:pPr>
                  <w:framePr w:hSpace="180" w:wrap="around" w:vAnchor="text" w:hAnchor="text" w:y="1"/>
                  <w:autoSpaceDE w:val="0"/>
                  <w:autoSpaceDN w:val="0"/>
                  <w:adjustRightInd w:val="0"/>
                  <w:suppressOverlap/>
                  <w:jc w:val="left"/>
                  <w:rPr>
                    <w:szCs w:val="22"/>
                  </w:rPr>
                </w:pPr>
              </w:p>
            </w:tc>
          </w:tr>
        </w:tbl>
        <w:p w:rsidR="001742AF" w:rsidRDefault="001742AF">
          <w:pPr>
            <w:tabs>
              <w:tab w:val="left" w:pos="720"/>
              <w:tab w:val="left" w:pos="1440"/>
              <w:tab w:val="left" w:pos="1800"/>
              <w:tab w:val="left" w:pos="2160"/>
              <w:tab w:val="left" w:pos="2520"/>
              <w:tab w:val="left" w:pos="2880"/>
            </w:tabs>
            <w:autoSpaceDE w:val="0"/>
            <w:autoSpaceDN w:val="0"/>
            <w:adjustRightInd w:val="0"/>
            <w:ind w:left="4320"/>
            <w:rPr>
              <w:b/>
              <w:sz w:val="18"/>
              <w:szCs w:val="18"/>
            </w:rPr>
          </w:pPr>
        </w:p>
      </w:tc>
    </w:tr>
  </w:tbl>
  <w:p w:rsidR="00770160" w:rsidRDefault="00A459F8" w:rsidP="00B024A3">
    <w:pPr>
      <w:pStyle w:val="3para"/>
      <w:numPr>
        <w:ilvl w:val="0"/>
        <w:numId w:val="0"/>
      </w:numPr>
      <w:tabs>
        <w:tab w:val="left" w:pos="6480"/>
      </w:tabs>
      <w:spacing w:after="0"/>
      <w:outlineLvl w:val="9"/>
      <w:rPr>
        <w:b/>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nsid w:val="131E1883"/>
    <w:multiLevelType w:val="hybridMultilevel"/>
    <w:tmpl w:val="43F6C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F96BB7"/>
    <w:multiLevelType w:val="hybridMultilevel"/>
    <w:tmpl w:val="55144470"/>
    <w:lvl w:ilvl="0" w:tplc="1C090017">
      <w:start w:val="1"/>
      <w:numFmt w:val="lowerLetter"/>
      <w:lvlText w:val="%1)"/>
      <w:lvlJc w:val="left"/>
      <w:pPr>
        <w:ind w:left="1080" w:hanging="360"/>
      </w:p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4">
    <w:nsid w:val="289E7036"/>
    <w:multiLevelType w:val="hybridMultilevel"/>
    <w:tmpl w:val="EDA20CE6"/>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5">
    <w:nsid w:val="2D5E37C0"/>
    <w:multiLevelType w:val="hybridMultilevel"/>
    <w:tmpl w:val="1ECA7B32"/>
    <w:lvl w:ilvl="0" w:tplc="1C090017">
      <w:start w:val="1"/>
      <w:numFmt w:val="lowerLetter"/>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372F4395"/>
    <w:multiLevelType w:val="hybridMultilevel"/>
    <w:tmpl w:val="E6724942"/>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7">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8">
    <w:nsid w:val="51DC3194"/>
    <w:multiLevelType w:val="hybridMultilevel"/>
    <w:tmpl w:val="7C729B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5BD128B5"/>
    <w:multiLevelType w:val="hybridMultilevel"/>
    <w:tmpl w:val="D77A17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74E637C"/>
    <w:multiLevelType w:val="singleLevel"/>
    <w:tmpl w:val="DCF4410C"/>
    <w:lvl w:ilvl="0">
      <w:start w:val="1"/>
      <w:numFmt w:val="lowerLetter"/>
      <w:pStyle w:val="Listabc"/>
      <w:lvlText w:val="%1)"/>
      <w:lvlJc w:val="left"/>
      <w:pPr>
        <w:tabs>
          <w:tab w:val="num" w:pos="360"/>
        </w:tabs>
        <w:ind w:left="360" w:hanging="360"/>
      </w:pPr>
    </w:lvl>
  </w:abstractNum>
  <w:abstractNum w:abstractNumId="11">
    <w:nsid w:val="6E910261"/>
    <w:multiLevelType w:val="hybridMultilevel"/>
    <w:tmpl w:val="D9FE7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C859D1"/>
    <w:multiLevelType w:val="hybridMultilevel"/>
    <w:tmpl w:val="41E6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3"/>
  </w:num>
  <w:num w:numId="4">
    <w:abstractNumId w:val="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2"/>
  </w:num>
  <w:num w:numId="8">
    <w:abstractNumId w:val="11"/>
  </w:num>
  <w:num w:numId="9">
    <w:abstractNumId w:val="1"/>
  </w:num>
  <w:num w:numId="10">
    <w:abstractNumId w:val="4"/>
  </w:num>
  <w:num w:numId="11">
    <w:abstractNumId w:val="7"/>
  </w:num>
  <w:num w:numId="12">
    <w:abstractNumId w:val="8"/>
  </w:num>
  <w:num w:numId="13">
    <w:abstractNumId w:val="5"/>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160"/>
    <w:rsid w:val="00034020"/>
    <w:rsid w:val="000365EF"/>
    <w:rsid w:val="00047B08"/>
    <w:rsid w:val="00055523"/>
    <w:rsid w:val="00067225"/>
    <w:rsid w:val="001377D4"/>
    <w:rsid w:val="001449D6"/>
    <w:rsid w:val="001742AF"/>
    <w:rsid w:val="00184FEA"/>
    <w:rsid w:val="00186EED"/>
    <w:rsid w:val="001C3BCC"/>
    <w:rsid w:val="001C72D8"/>
    <w:rsid w:val="002515D1"/>
    <w:rsid w:val="002B2F41"/>
    <w:rsid w:val="002F06C9"/>
    <w:rsid w:val="00300EB5"/>
    <w:rsid w:val="00311625"/>
    <w:rsid w:val="003307C9"/>
    <w:rsid w:val="003D7A57"/>
    <w:rsid w:val="003D7FD8"/>
    <w:rsid w:val="003E3990"/>
    <w:rsid w:val="0040061C"/>
    <w:rsid w:val="004142D6"/>
    <w:rsid w:val="00487431"/>
    <w:rsid w:val="004A58B8"/>
    <w:rsid w:val="004D46B0"/>
    <w:rsid w:val="004E0F4A"/>
    <w:rsid w:val="004E6E20"/>
    <w:rsid w:val="005045F4"/>
    <w:rsid w:val="005078AB"/>
    <w:rsid w:val="00511E68"/>
    <w:rsid w:val="00514903"/>
    <w:rsid w:val="005320A7"/>
    <w:rsid w:val="0057715F"/>
    <w:rsid w:val="00582278"/>
    <w:rsid w:val="005A7888"/>
    <w:rsid w:val="005B5EFC"/>
    <w:rsid w:val="005B6387"/>
    <w:rsid w:val="005E55F1"/>
    <w:rsid w:val="00636093"/>
    <w:rsid w:val="0067696D"/>
    <w:rsid w:val="0069570C"/>
    <w:rsid w:val="006C27ED"/>
    <w:rsid w:val="00707ADA"/>
    <w:rsid w:val="00740CE5"/>
    <w:rsid w:val="0075379E"/>
    <w:rsid w:val="00760D10"/>
    <w:rsid w:val="00762E25"/>
    <w:rsid w:val="00770160"/>
    <w:rsid w:val="0080386E"/>
    <w:rsid w:val="00805E0B"/>
    <w:rsid w:val="0083799B"/>
    <w:rsid w:val="0086533E"/>
    <w:rsid w:val="00875172"/>
    <w:rsid w:val="00884516"/>
    <w:rsid w:val="0090780F"/>
    <w:rsid w:val="00917E36"/>
    <w:rsid w:val="00930FD5"/>
    <w:rsid w:val="009413D9"/>
    <w:rsid w:val="009556E2"/>
    <w:rsid w:val="0095751F"/>
    <w:rsid w:val="0098006D"/>
    <w:rsid w:val="009A056D"/>
    <w:rsid w:val="009A10E8"/>
    <w:rsid w:val="009B05B9"/>
    <w:rsid w:val="00A00F57"/>
    <w:rsid w:val="00A0120E"/>
    <w:rsid w:val="00A12CBA"/>
    <w:rsid w:val="00A26F34"/>
    <w:rsid w:val="00A35447"/>
    <w:rsid w:val="00A459F8"/>
    <w:rsid w:val="00A4614A"/>
    <w:rsid w:val="00AA3C07"/>
    <w:rsid w:val="00AD1C3E"/>
    <w:rsid w:val="00AE11AE"/>
    <w:rsid w:val="00B024A3"/>
    <w:rsid w:val="00B03BDE"/>
    <w:rsid w:val="00B14ACA"/>
    <w:rsid w:val="00B26385"/>
    <w:rsid w:val="00B7576E"/>
    <w:rsid w:val="00BA1984"/>
    <w:rsid w:val="00BA4CDB"/>
    <w:rsid w:val="00BB53D1"/>
    <w:rsid w:val="00BB5625"/>
    <w:rsid w:val="00BC1361"/>
    <w:rsid w:val="00BD2C17"/>
    <w:rsid w:val="00BE0401"/>
    <w:rsid w:val="00BF4A53"/>
    <w:rsid w:val="00C15B80"/>
    <w:rsid w:val="00C32FA3"/>
    <w:rsid w:val="00C50FDE"/>
    <w:rsid w:val="00C62653"/>
    <w:rsid w:val="00C8650B"/>
    <w:rsid w:val="00CB5CFE"/>
    <w:rsid w:val="00D22253"/>
    <w:rsid w:val="00D361E2"/>
    <w:rsid w:val="00DD5CD0"/>
    <w:rsid w:val="00E2605F"/>
    <w:rsid w:val="00E34AED"/>
    <w:rsid w:val="00E82F3D"/>
    <w:rsid w:val="00E936BF"/>
    <w:rsid w:val="00EA4B9D"/>
    <w:rsid w:val="00ED7A6E"/>
    <w:rsid w:val="00F21296"/>
    <w:rsid w:val="00F25F4F"/>
    <w:rsid w:val="00F40ACB"/>
    <w:rsid w:val="00FD32A3"/>
    <w:rsid w:val="00FD610F"/>
    <w:rsid w:val="00FF4D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2"/>
      <w:lang w:val="en-GB"/>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right="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customStyle="1" w:styleId="Blockquote">
    <w:name w:val="Blockquote"/>
    <w:basedOn w:val="Normal"/>
    <w:pPr>
      <w:spacing w:after="240"/>
      <w:ind w:left="1440"/>
      <w:jc w:val="center"/>
    </w:pPr>
    <w:rPr>
      <w:b/>
      <w:sz w:val="24"/>
      <w:lang w:val="en-US"/>
    </w:rPr>
  </w:style>
  <w:style w:type="paragraph" w:styleId="FootnoteText">
    <w:name w:val="footnote text"/>
    <w:basedOn w:val="Normal"/>
    <w:link w:val="FootnoteTextChar"/>
    <w:rsid w:val="00FD32A3"/>
    <w:rPr>
      <w:sz w:val="20"/>
    </w:rPr>
  </w:style>
  <w:style w:type="character" w:customStyle="1" w:styleId="FootnoteTextChar">
    <w:name w:val="Footnote Text Char"/>
    <w:basedOn w:val="DefaultParagraphFont"/>
    <w:link w:val="FootnoteText"/>
    <w:rsid w:val="00FD32A3"/>
    <w:rPr>
      <w:lang w:val="en-GB"/>
    </w:rPr>
  </w:style>
  <w:style w:type="character" w:styleId="FootnoteReference">
    <w:name w:val="footnote reference"/>
    <w:basedOn w:val="DefaultParagraphFont"/>
    <w:rsid w:val="00FD32A3"/>
    <w:rPr>
      <w:vertAlign w:val="superscript"/>
    </w:rPr>
  </w:style>
  <w:style w:type="paragraph" w:styleId="ListParagraph">
    <w:name w:val="List Paragraph"/>
    <w:basedOn w:val="Normal"/>
    <w:uiPriority w:val="34"/>
    <w:qFormat/>
    <w:rsid w:val="00300EB5"/>
    <w:pPr>
      <w:ind w:left="720"/>
      <w:contextualSpacing/>
    </w:pPr>
  </w:style>
  <w:style w:type="character" w:styleId="CommentReference">
    <w:name w:val="annotation reference"/>
    <w:basedOn w:val="DefaultParagraphFont"/>
    <w:rsid w:val="00047B08"/>
    <w:rPr>
      <w:sz w:val="16"/>
      <w:szCs w:val="16"/>
    </w:rPr>
  </w:style>
  <w:style w:type="paragraph" w:styleId="CommentText">
    <w:name w:val="annotation text"/>
    <w:basedOn w:val="Normal"/>
    <w:link w:val="CommentTextChar"/>
    <w:rsid w:val="00047B08"/>
    <w:rPr>
      <w:sz w:val="20"/>
    </w:rPr>
  </w:style>
  <w:style w:type="character" w:customStyle="1" w:styleId="CommentTextChar">
    <w:name w:val="Comment Text Char"/>
    <w:basedOn w:val="DefaultParagraphFont"/>
    <w:link w:val="CommentText"/>
    <w:rsid w:val="00047B08"/>
    <w:rPr>
      <w:lang w:val="en-GB"/>
    </w:rPr>
  </w:style>
  <w:style w:type="paragraph" w:styleId="CommentSubject">
    <w:name w:val="annotation subject"/>
    <w:basedOn w:val="CommentText"/>
    <w:next w:val="CommentText"/>
    <w:link w:val="CommentSubjectChar"/>
    <w:rsid w:val="00047B08"/>
    <w:rPr>
      <w:b/>
      <w:bCs/>
    </w:rPr>
  </w:style>
  <w:style w:type="character" w:customStyle="1" w:styleId="CommentSubjectChar">
    <w:name w:val="Comment Subject Char"/>
    <w:basedOn w:val="CommentTextChar"/>
    <w:link w:val="CommentSubject"/>
    <w:rsid w:val="00047B08"/>
    <w:rPr>
      <w:b/>
      <w:bCs/>
      <w:lang w:val="en-GB"/>
    </w:rPr>
  </w:style>
  <w:style w:type="paragraph" w:styleId="BalloonText">
    <w:name w:val="Balloon Text"/>
    <w:basedOn w:val="Normal"/>
    <w:link w:val="BalloonTextChar"/>
    <w:rsid w:val="00047B08"/>
    <w:rPr>
      <w:rFonts w:ascii="Segoe UI" w:hAnsi="Segoe UI" w:cs="Segoe UI"/>
      <w:sz w:val="18"/>
      <w:szCs w:val="18"/>
    </w:rPr>
  </w:style>
  <w:style w:type="character" w:customStyle="1" w:styleId="BalloonTextChar">
    <w:name w:val="Balloon Text Char"/>
    <w:basedOn w:val="DefaultParagraphFont"/>
    <w:link w:val="BalloonText"/>
    <w:rsid w:val="00047B08"/>
    <w:rPr>
      <w:rFonts w:ascii="Segoe UI" w:hAnsi="Segoe UI" w:cs="Segoe UI"/>
      <w:sz w:val="18"/>
      <w:szCs w:val="18"/>
      <w:lang w:val="en-GB"/>
    </w:rPr>
  </w:style>
  <w:style w:type="paragraph" w:customStyle="1" w:styleId="Default">
    <w:name w:val="Default"/>
    <w:rsid w:val="00BB5625"/>
    <w:pPr>
      <w:autoSpaceDE w:val="0"/>
      <w:autoSpaceDN w:val="0"/>
      <w:adjustRightInd w:val="0"/>
    </w:pPr>
    <w:rPr>
      <w:color w:val="000000"/>
      <w:sz w:val="24"/>
      <w:szCs w:val="24"/>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2"/>
      <w:lang w:val="en-GB"/>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right="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customStyle="1" w:styleId="Blockquote">
    <w:name w:val="Blockquote"/>
    <w:basedOn w:val="Normal"/>
    <w:pPr>
      <w:spacing w:after="240"/>
      <w:ind w:left="1440"/>
      <w:jc w:val="center"/>
    </w:pPr>
    <w:rPr>
      <w:b/>
      <w:sz w:val="24"/>
      <w:lang w:val="en-US"/>
    </w:rPr>
  </w:style>
  <w:style w:type="paragraph" w:styleId="FootnoteText">
    <w:name w:val="footnote text"/>
    <w:basedOn w:val="Normal"/>
    <w:link w:val="FootnoteTextChar"/>
    <w:rsid w:val="00FD32A3"/>
    <w:rPr>
      <w:sz w:val="20"/>
    </w:rPr>
  </w:style>
  <w:style w:type="character" w:customStyle="1" w:styleId="FootnoteTextChar">
    <w:name w:val="Footnote Text Char"/>
    <w:basedOn w:val="DefaultParagraphFont"/>
    <w:link w:val="FootnoteText"/>
    <w:rsid w:val="00FD32A3"/>
    <w:rPr>
      <w:lang w:val="en-GB"/>
    </w:rPr>
  </w:style>
  <w:style w:type="character" w:styleId="FootnoteReference">
    <w:name w:val="footnote reference"/>
    <w:basedOn w:val="DefaultParagraphFont"/>
    <w:rsid w:val="00FD32A3"/>
    <w:rPr>
      <w:vertAlign w:val="superscript"/>
    </w:rPr>
  </w:style>
  <w:style w:type="paragraph" w:styleId="ListParagraph">
    <w:name w:val="List Paragraph"/>
    <w:basedOn w:val="Normal"/>
    <w:uiPriority w:val="34"/>
    <w:qFormat/>
    <w:rsid w:val="00300EB5"/>
    <w:pPr>
      <w:ind w:left="720"/>
      <w:contextualSpacing/>
    </w:pPr>
  </w:style>
  <w:style w:type="character" w:styleId="CommentReference">
    <w:name w:val="annotation reference"/>
    <w:basedOn w:val="DefaultParagraphFont"/>
    <w:rsid w:val="00047B08"/>
    <w:rPr>
      <w:sz w:val="16"/>
      <w:szCs w:val="16"/>
    </w:rPr>
  </w:style>
  <w:style w:type="paragraph" w:styleId="CommentText">
    <w:name w:val="annotation text"/>
    <w:basedOn w:val="Normal"/>
    <w:link w:val="CommentTextChar"/>
    <w:rsid w:val="00047B08"/>
    <w:rPr>
      <w:sz w:val="20"/>
    </w:rPr>
  </w:style>
  <w:style w:type="character" w:customStyle="1" w:styleId="CommentTextChar">
    <w:name w:val="Comment Text Char"/>
    <w:basedOn w:val="DefaultParagraphFont"/>
    <w:link w:val="CommentText"/>
    <w:rsid w:val="00047B08"/>
    <w:rPr>
      <w:lang w:val="en-GB"/>
    </w:rPr>
  </w:style>
  <w:style w:type="paragraph" w:styleId="CommentSubject">
    <w:name w:val="annotation subject"/>
    <w:basedOn w:val="CommentText"/>
    <w:next w:val="CommentText"/>
    <w:link w:val="CommentSubjectChar"/>
    <w:rsid w:val="00047B08"/>
    <w:rPr>
      <w:b/>
      <w:bCs/>
    </w:rPr>
  </w:style>
  <w:style w:type="character" w:customStyle="1" w:styleId="CommentSubjectChar">
    <w:name w:val="Comment Subject Char"/>
    <w:basedOn w:val="CommentTextChar"/>
    <w:link w:val="CommentSubject"/>
    <w:rsid w:val="00047B08"/>
    <w:rPr>
      <w:b/>
      <w:bCs/>
      <w:lang w:val="en-GB"/>
    </w:rPr>
  </w:style>
  <w:style w:type="paragraph" w:styleId="BalloonText">
    <w:name w:val="Balloon Text"/>
    <w:basedOn w:val="Normal"/>
    <w:link w:val="BalloonTextChar"/>
    <w:rsid w:val="00047B08"/>
    <w:rPr>
      <w:rFonts w:ascii="Segoe UI" w:hAnsi="Segoe UI" w:cs="Segoe UI"/>
      <w:sz w:val="18"/>
      <w:szCs w:val="18"/>
    </w:rPr>
  </w:style>
  <w:style w:type="character" w:customStyle="1" w:styleId="BalloonTextChar">
    <w:name w:val="Balloon Text Char"/>
    <w:basedOn w:val="DefaultParagraphFont"/>
    <w:link w:val="BalloonText"/>
    <w:rsid w:val="00047B08"/>
    <w:rPr>
      <w:rFonts w:ascii="Segoe UI" w:hAnsi="Segoe UI" w:cs="Segoe UI"/>
      <w:sz w:val="18"/>
      <w:szCs w:val="18"/>
      <w:lang w:val="en-GB"/>
    </w:rPr>
  </w:style>
  <w:style w:type="paragraph" w:customStyle="1" w:styleId="Default">
    <w:name w:val="Default"/>
    <w:rsid w:val="00BB5625"/>
    <w:pPr>
      <w:autoSpaceDE w:val="0"/>
      <w:autoSpaceDN w:val="0"/>
      <w:adjustRightInd w:val="0"/>
    </w:pPr>
    <w:rPr>
      <w:color w:val="000000"/>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49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E1A5B-FED6-4DB3-857C-3E4E67CA0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7BD362F-8CDF-4155-B1D6-E3C8D12B0842}">
  <ds:schemaRefs>
    <ds:schemaRef ds:uri="http://schemas.microsoft.com/sharepoint/v3/contenttype/forms"/>
  </ds:schemaRefs>
</ds:datastoreItem>
</file>

<file path=customXml/itemProps3.xml><?xml version="1.0" encoding="utf-8"?>
<ds:datastoreItem xmlns:ds="http://schemas.openxmlformats.org/officeDocument/2006/customXml" ds:itemID="{E8C8B9A6-D3B8-4367-A0FB-74847ED511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E094DF-2438-4136-ACA9-A425CA69F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ATMRPP_WG_WHL_1.dot</Template>
  <TotalTime>18</TotalTime>
  <Pages>3</Pages>
  <Words>991</Words>
  <Characters>5652</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vt:lpstr>
      <vt:lpstr>1</vt:lpstr>
    </vt:vector>
  </TitlesOfParts>
  <Company>ICAO</Company>
  <LinksUpToDate>false</LinksUpToDate>
  <CharactersWithSpaces>6630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cp:lastModifiedBy>Loftur Jonasson2</cp:lastModifiedBy>
  <cp:revision>4</cp:revision>
  <cp:lastPrinted>2017-03-20T20:29:00Z</cp:lastPrinted>
  <dcterms:created xsi:type="dcterms:W3CDTF">2017-03-31T06:16:00Z</dcterms:created>
  <dcterms:modified xsi:type="dcterms:W3CDTF">2017-03-31T07:46:00Z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