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C3">
        <w:trPr>
          <w:trHeight w:val="1790"/>
        </w:trPr>
        <w:tc>
          <w:tcPr>
            <w:tcW w:w="1915" w:type="dxa"/>
            <w:shd w:val="clear" w:color="auto" w:fill="FFFFFF"/>
          </w:tcPr>
          <w:p w:rsidR="00EB01C3" w:rsidRDefault="00684A1B">
            <w:pPr>
              <w:jc w:val="center"/>
            </w:pPr>
            <w:bookmarkStart w:id="0" w:name="logo"/>
            <w:bookmarkStart w:id="1" w:name="_GoBack"/>
            <w:bookmarkEnd w:id="1"/>
            <w:r>
              <w:rPr>
                <w:noProof/>
                <w:lang w:eastAsia="zh-CN"/>
              </w:rPr>
              <w:drawing>
                <wp:inline distT="0" distB="0" distL="0" distR="0">
                  <wp:extent cx="1089660" cy="87757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89660" cy="877570"/>
                          </a:xfrm>
                          <a:prstGeom prst="rect">
                            <a:avLst/>
                          </a:prstGeom>
                          <a:noFill/>
                          <a:ln>
                            <a:noFill/>
                          </a:ln>
                        </pic:spPr>
                      </pic:pic>
                    </a:graphicData>
                  </a:graphic>
                </wp:inline>
              </w:drawing>
            </w:r>
            <w:bookmarkEnd w:id="0"/>
          </w:p>
        </w:tc>
        <w:tc>
          <w:tcPr>
            <w:tcW w:w="3895" w:type="dxa"/>
            <w:shd w:val="clear" w:color="auto" w:fill="FFFFFF"/>
            <w:tcMar>
              <w:right w:w="0" w:type="dxa"/>
            </w:tcMar>
          </w:tcPr>
          <w:p w:rsidR="00EB01C3" w:rsidRDefault="00684A1B">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4E181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rsidR="00EB01C3" w:rsidRDefault="00EB01C3">
            <w:pPr>
              <w:rPr>
                <w:rFonts w:ascii="Arial" w:hAnsi="Arial" w:cs="Arial"/>
                <w:szCs w:val="22"/>
              </w:rPr>
            </w:pPr>
            <w:r>
              <w:rPr>
                <w:rFonts w:ascii="Arial" w:hAnsi="Arial" w:cs="Arial"/>
                <w:szCs w:val="22"/>
              </w:rPr>
              <w:t>International Civil Aviation Organization</w:t>
            </w:r>
          </w:p>
          <w:p w:rsidR="00EB01C3" w:rsidRDefault="00EB01C3">
            <w:pPr>
              <w:rPr>
                <w:rFonts w:ascii="Arial" w:hAnsi="Arial" w:cs="Arial"/>
                <w:szCs w:val="22"/>
              </w:rPr>
            </w:pPr>
          </w:p>
          <w:p w:rsidR="00EB01C3" w:rsidRDefault="00692DEA" w:rsidP="00692DEA">
            <w:pPr>
              <w:rPr>
                <w:rFonts w:ascii="Arial" w:hAnsi="Arial" w:cs="Arial"/>
                <w:b/>
                <w:sz w:val="24"/>
                <w:szCs w:val="22"/>
              </w:rPr>
            </w:pPr>
            <w:r>
              <w:rPr>
                <w:rFonts w:ascii="Arial" w:hAnsi="Arial" w:cs="Arial"/>
                <w:b/>
                <w:sz w:val="24"/>
                <w:szCs w:val="22"/>
              </w:rPr>
              <w:t>INFORMATION</w:t>
            </w:r>
            <w:r w:rsidR="00EB01C3">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806"/>
            </w:tblGrid>
            <w:tr w:rsidR="00EB01C3" w:rsidTr="00692DEA">
              <w:trPr>
                <w:jc w:val="right"/>
              </w:trPr>
              <w:tc>
                <w:tcPr>
                  <w:tcW w:w="1806" w:type="dxa"/>
                </w:tcPr>
                <w:p w:rsidR="00EB01C3" w:rsidRDefault="006C0B2B" w:rsidP="0002051F">
                  <w:pPr>
                    <w:framePr w:hSpace="180" w:wrap="around" w:vAnchor="text" w:hAnchor="text" w:y="1"/>
                    <w:suppressOverlap/>
                    <w:rPr>
                      <w:szCs w:val="22"/>
                      <w:lang w:val="en-US"/>
                    </w:rPr>
                  </w:pPr>
                  <w:r>
                    <w:rPr>
                      <w:szCs w:val="22"/>
                    </w:rPr>
                    <w:t xml:space="preserve">FSMP </w:t>
                  </w:r>
                  <w:r w:rsidR="00EB01C3">
                    <w:rPr>
                      <w:szCs w:val="22"/>
                    </w:rPr>
                    <w:fldChar w:fldCharType="begin"/>
                  </w:r>
                  <w:r w:rsidR="00EB01C3">
                    <w:rPr>
                      <w:szCs w:val="22"/>
                      <w:lang w:val="en-US"/>
                    </w:rPr>
                    <w:instrText xml:space="preserve"> DOCPROPERTY "BodyAbbrev"  \* MERGEFORMAT </w:instrText>
                  </w:r>
                  <w:r w:rsidR="00EB01C3">
                    <w:rPr>
                      <w:szCs w:val="22"/>
                    </w:rPr>
                    <w:fldChar w:fldCharType="separate"/>
                  </w:r>
                  <w:r w:rsidR="00EB01C3">
                    <w:rPr>
                      <w:szCs w:val="22"/>
                      <w:lang w:val="en-US"/>
                    </w:rPr>
                    <w:t>WG</w:t>
                  </w:r>
                  <w:r>
                    <w:rPr>
                      <w:szCs w:val="22"/>
                      <w:lang w:val="en-US"/>
                    </w:rPr>
                    <w:t>-</w:t>
                  </w:r>
                  <w:r w:rsidR="00052BA2">
                    <w:rPr>
                      <w:szCs w:val="22"/>
                      <w:lang w:val="en-US"/>
                    </w:rPr>
                    <w:t>F</w:t>
                  </w:r>
                  <w:r w:rsidR="00EB01C3">
                    <w:rPr>
                      <w:szCs w:val="22"/>
                    </w:rPr>
                    <w:fldChar w:fldCharType="end"/>
                  </w:r>
                  <w:r>
                    <w:rPr>
                      <w:szCs w:val="22"/>
                    </w:rPr>
                    <w:t>/</w:t>
                  </w:r>
                  <w:r w:rsidR="00052BA2">
                    <w:rPr>
                      <w:szCs w:val="22"/>
                    </w:rPr>
                    <w:t>3</w:t>
                  </w:r>
                  <w:r w:rsidR="001F2CC8">
                    <w:rPr>
                      <w:szCs w:val="22"/>
                    </w:rPr>
                    <w:t>3</w:t>
                  </w:r>
                  <w:r>
                    <w:rPr>
                      <w:szCs w:val="22"/>
                    </w:rPr>
                    <w:t xml:space="preserve">  </w:t>
                  </w:r>
                  <w:r w:rsidR="00692DEA">
                    <w:rPr>
                      <w:szCs w:val="22"/>
                    </w:rPr>
                    <w:t>IP06</w:t>
                  </w:r>
                </w:p>
                <w:p w:rsidR="00EB01C3" w:rsidRDefault="003B41C3" w:rsidP="0002051F">
                  <w:pPr>
                    <w:framePr w:hSpace="180" w:wrap="around" w:vAnchor="text" w:hAnchor="text" w:y="1"/>
                    <w:suppressOverlap/>
                  </w:pPr>
                  <w:bookmarkStart w:id="2" w:name="restricted"/>
                  <w:bookmarkStart w:id="3" w:name="addendum_corrigendum_appendix"/>
                  <w:bookmarkStart w:id="4" w:name="revision_no"/>
                  <w:bookmarkStart w:id="5" w:name="revision_date"/>
                  <w:bookmarkStart w:id="6" w:name="related_to"/>
                  <w:bookmarkEnd w:id="2"/>
                  <w:bookmarkEnd w:id="3"/>
                  <w:bookmarkEnd w:id="4"/>
                  <w:bookmarkEnd w:id="5"/>
                  <w:bookmarkEnd w:id="6"/>
                  <w:r>
                    <w:rPr>
                      <w:sz w:val="18"/>
                      <w:szCs w:val="18"/>
                    </w:rPr>
                    <w:t>2015-0</w:t>
                  </w:r>
                  <w:r w:rsidR="00692DEA">
                    <w:rPr>
                      <w:sz w:val="18"/>
                      <w:szCs w:val="18"/>
                    </w:rPr>
                    <w:t>8</w:t>
                  </w:r>
                  <w:r>
                    <w:rPr>
                      <w:sz w:val="18"/>
                      <w:szCs w:val="18"/>
                    </w:rPr>
                    <w:t>-</w:t>
                  </w:r>
                  <w:r w:rsidR="00692DEA">
                    <w:rPr>
                      <w:sz w:val="18"/>
                      <w:szCs w:val="18"/>
                    </w:rPr>
                    <w:t>20</w:t>
                  </w:r>
                </w:p>
              </w:tc>
            </w:tr>
            <w:tr w:rsidR="00EB01C3" w:rsidTr="00692DEA">
              <w:trPr>
                <w:jc w:val="right"/>
              </w:trPr>
              <w:tc>
                <w:tcPr>
                  <w:tcW w:w="1806" w:type="dxa"/>
                </w:tcPr>
                <w:p w:rsidR="00EB01C3" w:rsidRDefault="00EB01C3" w:rsidP="0002051F">
                  <w:pPr>
                    <w:framePr w:hSpace="180" w:wrap="around" w:vAnchor="text" w:hAnchor="text" w:y="1"/>
                    <w:suppressOverlap/>
                    <w:rPr>
                      <w:szCs w:val="22"/>
                    </w:rPr>
                  </w:pPr>
                  <w:bookmarkStart w:id="7" w:name="language"/>
                  <w:bookmarkEnd w:id="7"/>
                </w:p>
              </w:tc>
            </w:tr>
          </w:tbl>
          <w:p w:rsidR="00EB01C3" w:rsidRDefault="00EB01C3">
            <w:pPr>
              <w:tabs>
                <w:tab w:val="left" w:pos="720"/>
                <w:tab w:val="left" w:pos="1440"/>
                <w:tab w:val="left" w:pos="1800"/>
                <w:tab w:val="left" w:pos="2160"/>
                <w:tab w:val="left" w:pos="2520"/>
                <w:tab w:val="left" w:pos="2880"/>
              </w:tabs>
              <w:ind w:left="4320"/>
              <w:rPr>
                <w:b/>
                <w:sz w:val="18"/>
                <w:szCs w:val="18"/>
              </w:rPr>
            </w:pPr>
          </w:p>
        </w:tc>
      </w:tr>
    </w:tbl>
    <w:p w:rsidR="00FD7DF9" w:rsidRDefault="00FD7DF9" w:rsidP="00FD7DF9">
      <w:pPr>
        <w:jc w:val="center"/>
        <w:rPr>
          <w:b/>
          <w:sz w:val="26"/>
          <w:szCs w:val="26"/>
        </w:rPr>
      </w:pPr>
      <w:bookmarkStart w:id="8" w:name="text_above"/>
      <w:bookmarkEnd w:id="8"/>
    </w:p>
    <w:p w:rsidR="00692DEA" w:rsidRDefault="00692DEA" w:rsidP="00692DEA">
      <w:pPr>
        <w:jc w:val="center"/>
        <w:rPr>
          <w:b/>
        </w:rPr>
      </w:pPr>
      <w:r>
        <w:rPr>
          <w:b/>
          <w:sz w:val="24"/>
          <w:lang w:val="en-US"/>
        </w:rPr>
        <w:t>FREQUENCY SPECTRUM</w:t>
      </w:r>
      <w:r>
        <w:rPr>
          <w:b/>
        </w:rPr>
        <w:t xml:space="preserve"> MANGEMENT  PANEL (FSMP)</w:t>
      </w:r>
    </w:p>
    <w:p w:rsidR="00692DEA" w:rsidRDefault="00692DEA" w:rsidP="00692DEA">
      <w:pPr>
        <w:tabs>
          <w:tab w:val="left" w:pos="6972"/>
        </w:tabs>
        <w:jc w:val="center"/>
        <w:rPr>
          <w:b/>
        </w:rPr>
      </w:pPr>
    </w:p>
    <w:p w:rsidR="00692DEA" w:rsidRDefault="00692DEA" w:rsidP="00692DEA">
      <w:pPr>
        <w:pStyle w:val="Maintitle"/>
      </w:pPr>
      <w:r>
        <w:t>Thirty-Third meeting of Working Group F (Frequency)</w:t>
      </w:r>
    </w:p>
    <w:p w:rsidR="00692DEA" w:rsidRDefault="00692DEA" w:rsidP="00692DEA">
      <w:pPr>
        <w:tabs>
          <w:tab w:val="left" w:pos="6551"/>
        </w:tabs>
      </w:pPr>
      <w:r>
        <w:tab/>
      </w:r>
    </w:p>
    <w:p w:rsidR="00692DEA" w:rsidRDefault="00692DEA" w:rsidP="00692DEA">
      <w:pPr>
        <w:pStyle w:val="Maintitle"/>
      </w:pPr>
      <w:r>
        <w:t>Montreal, Canada, 24 to 28 August 2015</w:t>
      </w:r>
    </w:p>
    <w:p w:rsidR="00FD7DF9" w:rsidRDefault="00FD7DF9" w:rsidP="00FD7DF9">
      <w:pPr>
        <w:jc w:val="center"/>
        <w:rPr>
          <w:b/>
          <w:szCs w:val="22"/>
        </w:rPr>
      </w:pPr>
    </w:p>
    <w:tbl>
      <w:tblPr>
        <w:tblW w:w="0" w:type="auto"/>
        <w:tblCellMar>
          <w:left w:w="0" w:type="dxa"/>
          <w:right w:w="50" w:type="dxa"/>
        </w:tblCellMar>
        <w:tblLook w:val="01E0" w:firstRow="1" w:lastRow="1" w:firstColumn="1" w:lastColumn="1" w:noHBand="0" w:noVBand="0"/>
      </w:tblPr>
      <w:tblGrid>
        <w:gridCol w:w="1816"/>
        <w:gridCol w:w="7062"/>
      </w:tblGrid>
      <w:tr w:rsidR="00FD7DF9" w:rsidTr="005E7337">
        <w:tc>
          <w:tcPr>
            <w:tcW w:w="1808" w:type="dxa"/>
            <w:noWrap/>
          </w:tcPr>
          <w:p w:rsidR="00FD7DF9" w:rsidRPr="00880B28" w:rsidRDefault="00FD7DF9" w:rsidP="006D6392">
            <w:pPr>
              <w:rPr>
                <w:b/>
              </w:rPr>
            </w:pPr>
            <w:r w:rsidRPr="00880B28">
              <w:rPr>
                <w:b/>
              </w:rPr>
              <w:t xml:space="preserve">Agenda Item </w:t>
            </w:r>
            <w:r w:rsidR="006D6392">
              <w:rPr>
                <w:b/>
              </w:rPr>
              <w:t>7</w:t>
            </w:r>
            <w:r w:rsidRPr="00880B28">
              <w:rPr>
                <w:b/>
              </w:rPr>
              <w:t xml:space="preserve">  </w:t>
            </w:r>
          </w:p>
        </w:tc>
        <w:tc>
          <w:tcPr>
            <w:tcW w:w="7062" w:type="dxa"/>
          </w:tcPr>
          <w:p w:rsidR="00FD7DF9" w:rsidRPr="004D1CF3" w:rsidRDefault="006D6392" w:rsidP="003436D6">
            <w:pPr>
              <w:ind w:left="442"/>
              <w:rPr>
                <w:b/>
                <w:szCs w:val="22"/>
              </w:rPr>
            </w:pPr>
            <w:r>
              <w:rPr>
                <w:b/>
                <w:szCs w:val="22"/>
              </w:rPr>
              <w:t>ICAO WRC-15 Position</w:t>
            </w:r>
          </w:p>
        </w:tc>
      </w:tr>
    </w:tbl>
    <w:p w:rsidR="00FD7DF9" w:rsidRDefault="00FD7DF9" w:rsidP="00FD7DF9">
      <w:pPr>
        <w:jc w:val="center"/>
        <w:rPr>
          <w:b/>
          <w:szCs w:val="22"/>
        </w:rPr>
      </w:pPr>
    </w:p>
    <w:p w:rsidR="00FD7DF9" w:rsidRDefault="00C17008" w:rsidP="00FD7DF9">
      <w:pPr>
        <w:jc w:val="center"/>
        <w:rPr>
          <w:b/>
          <w:szCs w:val="22"/>
        </w:rPr>
      </w:pPr>
      <w:r>
        <w:rPr>
          <w:b/>
          <w:szCs w:val="22"/>
        </w:rPr>
        <w:t>UK CAA View on Global Flight Tracking</w:t>
      </w:r>
      <w:r w:rsidR="00154841">
        <w:rPr>
          <w:b/>
          <w:szCs w:val="22"/>
        </w:rPr>
        <w:t xml:space="preserve"> </w:t>
      </w:r>
    </w:p>
    <w:p w:rsidR="00FD7DF9" w:rsidRPr="006D6392" w:rsidRDefault="00FD7DF9" w:rsidP="00FD7DF9">
      <w:pPr>
        <w:pStyle w:val="TitleMain"/>
      </w:pPr>
    </w:p>
    <w:p w:rsidR="00FD7DF9" w:rsidRDefault="00FD7DF9" w:rsidP="00FD7DF9">
      <w:pPr>
        <w:jc w:val="center"/>
        <w:rPr>
          <w:b/>
          <w:szCs w:val="22"/>
        </w:rPr>
      </w:pPr>
    </w:p>
    <w:p w:rsidR="00FD7DF9" w:rsidRDefault="00FD7DF9" w:rsidP="00FD7DF9">
      <w:pPr>
        <w:jc w:val="center"/>
        <w:rPr>
          <w:szCs w:val="22"/>
        </w:rPr>
      </w:pPr>
      <w:r>
        <w:rPr>
          <w:szCs w:val="22"/>
        </w:rPr>
        <w:t xml:space="preserve">(Presented by John </w:t>
      </w:r>
      <w:proofErr w:type="spellStart"/>
      <w:r>
        <w:rPr>
          <w:szCs w:val="22"/>
        </w:rPr>
        <w:t>Mettrop</w:t>
      </w:r>
      <w:proofErr w:type="spellEnd"/>
      <w:r>
        <w:rPr>
          <w:szCs w:val="22"/>
        </w:rPr>
        <w:t>)</w:t>
      </w:r>
    </w:p>
    <w:p w:rsidR="00FD7DF9" w:rsidRDefault="00FD7DF9" w:rsidP="00FD7DF9">
      <w:pPr>
        <w:jc w:val="center"/>
        <w:rPr>
          <w:szCs w:val="22"/>
        </w:rPr>
      </w:pPr>
    </w:p>
    <w:p w:rsidR="00FD7DF9" w:rsidRDefault="00FD7DF9" w:rsidP="00FD7DF9">
      <w:pPr>
        <w:jc w:val="center"/>
        <w:rPr>
          <w:b/>
          <w:szCs w:val="22"/>
        </w:rPr>
      </w:pPr>
    </w:p>
    <w:p w:rsidR="006D6392" w:rsidRDefault="006D6392" w:rsidP="006D6392">
      <w:pPr>
        <w:jc w:val="center"/>
        <w:rPr>
          <w:b/>
          <w:szCs w:val="22"/>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6D6392" w:rsidTr="00422A0F">
        <w:trPr>
          <w:jc w:val="center"/>
        </w:trPr>
        <w:tc>
          <w:tcPr>
            <w:tcW w:w="7200" w:type="dxa"/>
            <w:tcBorders>
              <w:bottom w:val="nil"/>
            </w:tcBorders>
          </w:tcPr>
          <w:p w:rsidR="006D6392" w:rsidRDefault="006D6392" w:rsidP="00422A0F">
            <w:pPr>
              <w:jc w:val="center"/>
              <w:rPr>
                <w:b/>
                <w:szCs w:val="22"/>
              </w:rPr>
            </w:pPr>
            <w:bookmarkStart w:id="9" w:name="summary_box"/>
            <w:bookmarkEnd w:id="9"/>
            <w:r>
              <w:rPr>
                <w:b/>
                <w:szCs w:val="22"/>
              </w:rPr>
              <w:t>SUMMARY</w:t>
            </w:r>
          </w:p>
          <w:p w:rsidR="006D6392" w:rsidRDefault="006D6392" w:rsidP="00422A0F">
            <w:pPr>
              <w:jc w:val="center"/>
              <w:rPr>
                <w:b/>
                <w:szCs w:val="22"/>
              </w:rPr>
            </w:pPr>
          </w:p>
        </w:tc>
      </w:tr>
      <w:tr w:rsidR="006D6392" w:rsidTr="00422A0F">
        <w:trPr>
          <w:jc w:val="center"/>
        </w:trPr>
        <w:tc>
          <w:tcPr>
            <w:tcW w:w="7200" w:type="dxa"/>
            <w:tcBorders>
              <w:top w:val="nil"/>
            </w:tcBorders>
          </w:tcPr>
          <w:p w:rsidR="006D6392" w:rsidRDefault="00154841" w:rsidP="00422A0F">
            <w:pPr>
              <w:jc w:val="both"/>
              <w:rPr>
                <w:szCs w:val="22"/>
              </w:rPr>
            </w:pPr>
            <w:r>
              <w:rPr>
                <w:szCs w:val="22"/>
              </w:rPr>
              <w:t xml:space="preserve">This paper provides information on the </w:t>
            </w:r>
            <w:r w:rsidR="00C17008">
              <w:rPr>
                <w:szCs w:val="22"/>
              </w:rPr>
              <w:t>UK view with respect to global flight tracking and the action that should be taken by WRC-15</w:t>
            </w:r>
            <w:r>
              <w:rPr>
                <w:szCs w:val="22"/>
              </w:rPr>
              <w:t>.</w:t>
            </w:r>
          </w:p>
          <w:p w:rsidR="006D6392" w:rsidRDefault="006D6392" w:rsidP="00422A0F">
            <w:pPr>
              <w:jc w:val="both"/>
              <w:rPr>
                <w:szCs w:val="22"/>
              </w:rPr>
            </w:pPr>
          </w:p>
        </w:tc>
      </w:tr>
      <w:tr w:rsidR="006D6392" w:rsidTr="00422A0F">
        <w:trPr>
          <w:jc w:val="center"/>
        </w:trPr>
        <w:tc>
          <w:tcPr>
            <w:tcW w:w="7200" w:type="dxa"/>
            <w:tcBorders>
              <w:bottom w:val="nil"/>
            </w:tcBorders>
          </w:tcPr>
          <w:p w:rsidR="006D6392" w:rsidRDefault="006D6392" w:rsidP="00422A0F">
            <w:pPr>
              <w:jc w:val="center"/>
              <w:rPr>
                <w:b/>
                <w:szCs w:val="22"/>
              </w:rPr>
            </w:pPr>
            <w:r>
              <w:rPr>
                <w:b/>
                <w:szCs w:val="22"/>
              </w:rPr>
              <w:t>ACTION</w:t>
            </w:r>
          </w:p>
          <w:p w:rsidR="006D6392" w:rsidRPr="00A64862" w:rsidRDefault="006D6392" w:rsidP="00422A0F">
            <w:pPr>
              <w:rPr>
                <w:szCs w:val="22"/>
              </w:rPr>
            </w:pPr>
          </w:p>
        </w:tc>
      </w:tr>
      <w:tr w:rsidR="006D6392" w:rsidTr="00422A0F">
        <w:trPr>
          <w:trHeight w:val="215"/>
          <w:jc w:val="center"/>
        </w:trPr>
        <w:tc>
          <w:tcPr>
            <w:tcW w:w="7200" w:type="dxa"/>
            <w:tcBorders>
              <w:top w:val="nil"/>
            </w:tcBorders>
          </w:tcPr>
          <w:p w:rsidR="006D6392" w:rsidRDefault="006D6392" w:rsidP="00422A0F">
            <w:pPr>
              <w:rPr>
                <w:szCs w:val="22"/>
              </w:rPr>
            </w:pPr>
            <w:r>
              <w:rPr>
                <w:szCs w:val="22"/>
              </w:rPr>
              <w:t>WG-F is invited to:-</w:t>
            </w:r>
          </w:p>
          <w:p w:rsidR="006D6392" w:rsidRDefault="00154841" w:rsidP="00AB166F">
            <w:pPr>
              <w:numPr>
                <w:ilvl w:val="0"/>
                <w:numId w:val="12"/>
              </w:numPr>
              <w:rPr>
                <w:szCs w:val="22"/>
              </w:rPr>
            </w:pPr>
            <w:r>
              <w:rPr>
                <w:szCs w:val="22"/>
              </w:rPr>
              <w:t>Note the information provided</w:t>
            </w:r>
          </w:p>
          <w:p w:rsidR="006D6392" w:rsidRDefault="006D6392" w:rsidP="00154841">
            <w:pPr>
              <w:rPr>
                <w:szCs w:val="22"/>
              </w:rPr>
            </w:pPr>
          </w:p>
        </w:tc>
      </w:tr>
    </w:tbl>
    <w:p w:rsidR="006D6392" w:rsidRDefault="006D6392" w:rsidP="006D6392">
      <w:pPr>
        <w:jc w:val="center"/>
        <w:rPr>
          <w:bCs/>
          <w:szCs w:val="22"/>
        </w:rPr>
      </w:pPr>
    </w:p>
    <w:p w:rsidR="006D6392" w:rsidRDefault="006D6392" w:rsidP="006D6392">
      <w:pPr>
        <w:pStyle w:val="1Heading"/>
      </w:pPr>
      <w:bookmarkStart w:id="10" w:name="beginning"/>
      <w:bookmarkEnd w:id="10"/>
      <w:r>
        <w:t>INTRODUCTION</w:t>
      </w:r>
    </w:p>
    <w:p w:rsidR="00740235" w:rsidRPr="00740235" w:rsidRDefault="00C17008" w:rsidP="002F36C1">
      <w:pPr>
        <w:pStyle w:val="2Para"/>
        <w:ind w:left="0"/>
        <w:rPr>
          <w:i/>
        </w:rPr>
      </w:pPr>
      <w:proofErr w:type="spellStart"/>
      <w:r w:rsidRPr="00C17008">
        <w:t>Aireon</w:t>
      </w:r>
      <w:proofErr w:type="spellEnd"/>
      <w:r w:rsidRPr="00C17008">
        <w:t xml:space="preserve"> </w:t>
      </w:r>
      <w:r>
        <w:t>and its partners have developed and intend to launch a satellite based ADS-B system that will be integrated in to the Iridium next satellites</w:t>
      </w:r>
      <w:r w:rsidR="00821563">
        <w:t>.</w:t>
      </w:r>
      <w:r>
        <w:t xml:space="preserve"> </w:t>
      </w:r>
      <w:r w:rsidR="00821563" w:rsidRPr="00821563">
        <w:t xml:space="preserve">Using a network of these satellite receivers, </w:t>
      </w:r>
      <w:proofErr w:type="spellStart"/>
      <w:r w:rsidR="00821563" w:rsidRPr="00821563">
        <w:t>Aireon</w:t>
      </w:r>
      <w:proofErr w:type="spellEnd"/>
      <w:r w:rsidR="00821563" w:rsidRPr="00821563">
        <w:t xml:space="preserve"> proposes to provide ADS-B surveillance data on a commercial basis to air traffic control units who wish to subscribe</w:t>
      </w:r>
      <w:r w:rsidR="00821563">
        <w:t xml:space="preserve">. </w:t>
      </w:r>
      <w:r>
        <w:t xml:space="preserve"> Given that the system </w:t>
      </w:r>
      <w:r w:rsidRPr="00C17008">
        <w:t>is intended to be used for assuring safe aircraft separation</w:t>
      </w:r>
      <w:r w:rsidR="00740235">
        <w:t xml:space="preserve"> </w:t>
      </w:r>
      <w:r w:rsidRPr="00C17008">
        <w:t xml:space="preserve">it requires a fully protected spectrum allocation </w:t>
      </w:r>
      <w:r w:rsidR="00740235">
        <w:t>which will necessitate a c</w:t>
      </w:r>
      <w:r w:rsidRPr="00C17008">
        <w:t>hange to the Radio Regulations</w:t>
      </w:r>
      <w:r w:rsidR="00740235">
        <w:t xml:space="preserve">. </w:t>
      </w:r>
    </w:p>
    <w:p w:rsidR="005D7972" w:rsidRPr="00AF04D3" w:rsidRDefault="00740235" w:rsidP="002F36C1">
      <w:pPr>
        <w:pStyle w:val="2Para"/>
        <w:ind w:left="0"/>
        <w:rPr>
          <w:i/>
        </w:rPr>
      </w:pPr>
      <w:r>
        <w:t xml:space="preserve">Whilst the </w:t>
      </w:r>
      <w:proofErr w:type="spellStart"/>
      <w:r w:rsidRPr="00740235">
        <w:t>Aireon</w:t>
      </w:r>
      <w:proofErr w:type="spellEnd"/>
      <w:r w:rsidRPr="00740235">
        <w:t xml:space="preserve"> </w:t>
      </w:r>
      <w:r>
        <w:t xml:space="preserve">satellite ADS-B concept was well advanced prior to the last WRC </w:t>
      </w:r>
      <w:proofErr w:type="spellStart"/>
      <w:r>
        <w:t>Aireon</w:t>
      </w:r>
      <w:proofErr w:type="spellEnd"/>
      <w:r>
        <w:t xml:space="preserve"> </w:t>
      </w:r>
      <w:r w:rsidRPr="00740235">
        <w:t xml:space="preserve">decided, against the advice of the CAA, FAA and others, that its system would not require a change to the Radio Regulations and so did not seek a WRC agenda item at the 2012 WRC for resolution at the 2015 WRC. The company has subsequently recognised its error and is seeking a vehicle by which </w:t>
      </w:r>
      <w:r w:rsidRPr="00740235">
        <w:lastRenderedPageBreak/>
        <w:t>to achieve the required change to the Radio Regulations consistent with a 2018 entry into service.  Should its proposal not be approved at WRC-15 in November, the next opportunity would be WRC-19 in 2019.</w:t>
      </w:r>
      <w:r w:rsidR="005D7972">
        <w:t xml:space="preserve"> </w:t>
      </w:r>
    </w:p>
    <w:p w:rsidR="005D7972" w:rsidRPr="00AF04D3" w:rsidRDefault="00740235" w:rsidP="002F36C1">
      <w:pPr>
        <w:pStyle w:val="2Para"/>
        <w:tabs>
          <w:tab w:val="num" w:pos="0"/>
        </w:tabs>
        <w:ind w:left="0"/>
        <w:rPr>
          <w:i/>
        </w:rPr>
      </w:pPr>
      <w:r>
        <w:t xml:space="preserve">The loss of MH370 acted as a catalyst for a number of issues that have resulted in the development within ICAO of a concept of operations </w:t>
      </w:r>
      <w:r w:rsidR="00821563">
        <w:t xml:space="preserve">(CONOPS) </w:t>
      </w:r>
      <w:r>
        <w:t xml:space="preserve">for a global aeronautical distress and safety service </w:t>
      </w:r>
      <w:r w:rsidR="00821563">
        <w:t xml:space="preserve">(GADSS) </w:t>
      </w:r>
      <w:r>
        <w:t>and the ITU Plenipotentiary Conference agreeing to a Resolution that calls on WRC-15 to discuss the issue of global flight tracking for civil aviation</w:t>
      </w:r>
      <w:r w:rsidR="002067DD">
        <w:t>.</w:t>
      </w:r>
      <w:r>
        <w:t xml:space="preserve"> </w:t>
      </w:r>
    </w:p>
    <w:p w:rsidR="006D6392" w:rsidRPr="00CA7434" w:rsidRDefault="00740235" w:rsidP="002F36C1">
      <w:pPr>
        <w:pStyle w:val="2Para"/>
        <w:ind w:left="0"/>
      </w:pPr>
      <w:r>
        <w:rPr>
          <w:rFonts w:ascii="TimesNewRomanPSMT" w:hAnsi="TimesNewRomanPSMT" w:cs="TimesNewRomanPSMT"/>
          <w:lang w:val="en-US"/>
        </w:rPr>
        <w:t xml:space="preserve">The inclusion of global flight tracking in the agenda of WRC-15 has been seized upon by </w:t>
      </w:r>
      <w:proofErr w:type="spellStart"/>
      <w:r>
        <w:rPr>
          <w:rFonts w:ascii="TimesNewRomanPSMT" w:hAnsi="TimesNewRomanPSMT" w:cs="TimesNewRomanPSMT"/>
          <w:lang w:val="en-US"/>
        </w:rPr>
        <w:t>Aireon</w:t>
      </w:r>
      <w:proofErr w:type="spellEnd"/>
      <w:r>
        <w:rPr>
          <w:rFonts w:ascii="TimesNewRomanPSMT" w:hAnsi="TimesNewRomanPSMT" w:cs="TimesNewRomanPSMT"/>
          <w:lang w:val="en-US"/>
        </w:rPr>
        <w:t xml:space="preserve"> as an opportunity to seek the Radio Regulatory changes they would like to see introduced</w:t>
      </w:r>
      <w:r w:rsidR="006D6392" w:rsidRPr="00132FD1">
        <w:rPr>
          <w:rFonts w:ascii="TimesNewRomanPSMT" w:hAnsi="TimesNewRomanPSMT" w:cs="TimesNewRomanPSMT"/>
          <w:lang w:val="en-US"/>
        </w:rPr>
        <w:t xml:space="preserve">.  </w:t>
      </w:r>
      <w:r w:rsidR="00E82F75">
        <w:rPr>
          <w:rFonts w:ascii="TimesNewRomanPSMT" w:hAnsi="TimesNewRomanPSMT" w:cs="TimesNewRomanPSMT"/>
          <w:lang w:val="en-US"/>
        </w:rPr>
        <w:t xml:space="preserve">A satellite ADS-B system would, in an emergency situation, provide useful data especially in oceanic and remote areas that could help the timely location and retrieval of an aircraft that had either crashed or forced to make an emergency landing.  Whether such use would require a protected allocation or could, in an emergency situation, work under Article 4.9 or the Radio Regulations </w:t>
      </w:r>
      <w:r w:rsidR="00CA7434">
        <w:rPr>
          <w:rFonts w:ascii="TimesNewRomanPSMT" w:hAnsi="TimesNewRomanPSMT" w:cs="TimesNewRomanPSMT"/>
          <w:lang w:val="en-US"/>
        </w:rPr>
        <w:t>is a point of debate.</w:t>
      </w:r>
    </w:p>
    <w:p w:rsidR="00CA7434" w:rsidRPr="00132FD1" w:rsidRDefault="00CA7434" w:rsidP="002F36C1">
      <w:pPr>
        <w:pStyle w:val="2Para"/>
        <w:ind w:left="0"/>
      </w:pPr>
      <w:r>
        <w:rPr>
          <w:rFonts w:ascii="TimesNewRomanPSMT" w:hAnsi="TimesNewRomanPSMT" w:cs="TimesNewRomanPSMT"/>
          <w:lang w:val="en-US"/>
        </w:rPr>
        <w:t>This document provides information on the UK CAA view and the reasons behind that view.</w:t>
      </w:r>
    </w:p>
    <w:p w:rsidR="006D6392" w:rsidRPr="00FC289E" w:rsidRDefault="006D6392" w:rsidP="006D6392">
      <w:pPr>
        <w:pStyle w:val="1Heading"/>
        <w:rPr>
          <w:bCs/>
        </w:rPr>
      </w:pPr>
      <w:bookmarkStart w:id="11" w:name="_Ref102271517"/>
      <w:r>
        <w:rPr>
          <w:bCs/>
        </w:rPr>
        <w:t>discussion</w:t>
      </w:r>
    </w:p>
    <w:p w:rsidR="00AF04D3" w:rsidRPr="00AF04D3" w:rsidRDefault="00CF7051" w:rsidP="002F36C1">
      <w:pPr>
        <w:pStyle w:val="2Para"/>
        <w:tabs>
          <w:tab w:val="num" w:pos="0"/>
        </w:tabs>
        <w:ind w:left="0"/>
        <w:rPr>
          <w:i/>
        </w:rPr>
      </w:pPr>
      <w:r>
        <w:t xml:space="preserve">The UK CAA </w:t>
      </w:r>
      <w:r w:rsidR="00821563">
        <w:t>fully supports the GADSS CONOPS but believes it should be broader to encompass all sectors of the aviation including business and general aviation</w:t>
      </w:r>
      <w:r w:rsidR="00E0377C">
        <w:t xml:space="preserve">. </w:t>
      </w:r>
      <w:r w:rsidR="00821563">
        <w:t xml:space="preserve"> Additionally the CAA </w:t>
      </w:r>
      <w:r w:rsidR="00102F67">
        <w:t>does not object to nor wish to delay</w:t>
      </w:r>
      <w:r w:rsidR="00821563">
        <w:t xml:space="preserve"> the use of satellite ADS-B </w:t>
      </w:r>
      <w:r w:rsidR="00102F67">
        <w:t xml:space="preserve">for air traffic control </w:t>
      </w:r>
      <w:r w:rsidR="00AC083A">
        <w:t xml:space="preserve">(ATC) </w:t>
      </w:r>
      <w:r w:rsidR="00102F67">
        <w:t>purposes provided it can be shown to enhance the current system and is part of the global air navigation plan.</w:t>
      </w:r>
      <w:r w:rsidR="00AF04D3">
        <w:t xml:space="preserve"> </w:t>
      </w:r>
    </w:p>
    <w:p w:rsidR="00102F67" w:rsidRPr="00102F67" w:rsidRDefault="00102F67" w:rsidP="00AB166F">
      <w:pPr>
        <w:pStyle w:val="2Para"/>
        <w:tabs>
          <w:tab w:val="num" w:pos="0"/>
        </w:tabs>
        <w:ind w:left="0"/>
      </w:pPr>
      <w:r>
        <w:t xml:space="preserve">The UK CAA also does not believe that global flight tracking as currently envisaged in GADSS necessarily requires a safety allocation although it could use data from systems that do have a safety allocation. </w:t>
      </w:r>
      <w:r w:rsidR="001621CA">
        <w:t xml:space="preserve">Nor does it believe that satellite ADS-B for </w:t>
      </w:r>
      <w:r w:rsidR="00AC083A">
        <w:t>ATC</w:t>
      </w:r>
      <w:r w:rsidR="001621CA">
        <w:t xml:space="preserve"> is part of the issue placed on the WRC-15 agenda to address global flight tracking. </w:t>
      </w:r>
      <w:r>
        <w:t xml:space="preserve">Therefore </w:t>
      </w:r>
      <w:r w:rsidR="002F1F57">
        <w:t>fo</w:t>
      </w:r>
      <w:r w:rsidRPr="00102F67">
        <w:t xml:space="preserve">r </w:t>
      </w:r>
      <w:proofErr w:type="spellStart"/>
      <w:r w:rsidRPr="00102F67">
        <w:t>Aireon</w:t>
      </w:r>
      <w:proofErr w:type="spellEnd"/>
      <w:r w:rsidRPr="00102F67">
        <w:t xml:space="preserve"> and its partners to secure </w:t>
      </w:r>
      <w:r w:rsidR="002F1F57">
        <w:t xml:space="preserve">UK </w:t>
      </w:r>
      <w:r w:rsidRPr="00102F67">
        <w:t xml:space="preserve">CAA support for a </w:t>
      </w:r>
      <w:r w:rsidR="002F1F57">
        <w:t xml:space="preserve">change to the Radio Regulations at WRC-15 that would cover the use of satellite ADS-B for </w:t>
      </w:r>
      <w:r w:rsidR="00AC083A">
        <w:t>ATC</w:t>
      </w:r>
      <w:r w:rsidR="002F1F57">
        <w:t xml:space="preserve"> purposes</w:t>
      </w:r>
      <w:r w:rsidRPr="00102F67">
        <w:t xml:space="preserve"> </w:t>
      </w:r>
      <w:r w:rsidR="001621CA">
        <w:t>rather than addressing the issue at WRC-19 they</w:t>
      </w:r>
      <w:r w:rsidRPr="00102F67">
        <w:t xml:space="preserve"> will need to convince us that :</w:t>
      </w:r>
    </w:p>
    <w:p w:rsidR="00102F67" w:rsidRPr="00102F67" w:rsidRDefault="00102F67" w:rsidP="00AB166F">
      <w:pPr>
        <w:pStyle w:val="2Para"/>
        <w:numPr>
          <w:ilvl w:val="1"/>
          <w:numId w:val="13"/>
        </w:numPr>
        <w:tabs>
          <w:tab w:val="clear" w:pos="1440"/>
          <w:tab w:val="left" w:pos="2127"/>
        </w:tabs>
        <w:spacing w:before="120" w:after="120"/>
        <w:ind w:left="2126" w:hanging="708"/>
      </w:pPr>
      <w:r w:rsidRPr="00102F67">
        <w:t xml:space="preserve">there would be safety/operational benefits delivered prior to the 2019 WRC </w:t>
      </w:r>
    </w:p>
    <w:p w:rsidR="00102F67" w:rsidRPr="00102F67" w:rsidRDefault="00102F67" w:rsidP="00AB166F">
      <w:pPr>
        <w:pStyle w:val="2Para"/>
        <w:numPr>
          <w:ilvl w:val="1"/>
          <w:numId w:val="13"/>
        </w:numPr>
        <w:tabs>
          <w:tab w:val="clear" w:pos="1440"/>
          <w:tab w:val="left" w:pos="2127"/>
        </w:tabs>
        <w:spacing w:before="120" w:after="120"/>
        <w:ind w:left="2126" w:hanging="708"/>
      </w:pPr>
      <w:r w:rsidRPr="00102F67">
        <w:t>there is no alternative mechanism to allow such safety/operational benefits to be delivered assuming the system is operational by 2019</w:t>
      </w:r>
    </w:p>
    <w:p w:rsidR="00933C8E" w:rsidRPr="002F1F57" w:rsidRDefault="00102F67" w:rsidP="00AB166F">
      <w:pPr>
        <w:pStyle w:val="2Para"/>
        <w:numPr>
          <w:ilvl w:val="1"/>
          <w:numId w:val="13"/>
        </w:numPr>
        <w:tabs>
          <w:tab w:val="clear" w:pos="1440"/>
          <w:tab w:val="left" w:pos="2127"/>
        </w:tabs>
        <w:spacing w:before="120" w:after="120"/>
        <w:ind w:left="2126" w:hanging="708"/>
        <w:rPr>
          <w:i/>
        </w:rPr>
      </w:pPr>
      <w:r w:rsidRPr="00102F67">
        <w:t>the absence of an spectrum allocation would threaten the launch of the system.</w:t>
      </w:r>
    </w:p>
    <w:p w:rsidR="002F1F57" w:rsidRDefault="00FC1019" w:rsidP="00FC1019">
      <w:pPr>
        <w:pStyle w:val="2Para"/>
        <w:tabs>
          <w:tab w:val="num" w:pos="0"/>
        </w:tabs>
        <w:ind w:left="0"/>
      </w:pPr>
      <w:r w:rsidRPr="00FC1019">
        <w:t xml:space="preserve">Without such evidence, the </w:t>
      </w:r>
      <w:r>
        <w:t xml:space="preserve">UK </w:t>
      </w:r>
      <w:r w:rsidRPr="00FC1019">
        <w:t xml:space="preserve">CAA believe that it would risk reputational damage at </w:t>
      </w:r>
      <w:r>
        <w:t xml:space="preserve">the </w:t>
      </w:r>
      <w:r w:rsidRPr="00FC1019">
        <w:t xml:space="preserve">organisational and individual level, would lose significant influence in the </w:t>
      </w:r>
      <w:r>
        <w:t xml:space="preserve">ITU as a result of </w:t>
      </w:r>
      <w:r w:rsidR="001621CA">
        <w:t xml:space="preserve">having to </w:t>
      </w:r>
      <w:r>
        <w:t>resign the 5B Chairmanship without any reward</w:t>
      </w:r>
      <w:r w:rsidR="001621CA">
        <w:t xml:space="preserve"> for aviation</w:t>
      </w:r>
      <w:r>
        <w:t>.  Additionally it</w:t>
      </w:r>
      <w:r w:rsidRPr="00FC1019">
        <w:t xml:space="preserve"> would set a dangerous precedence that could be used by other industries against aviation in the future</w:t>
      </w:r>
      <w:r>
        <w:t xml:space="preserve"> and</w:t>
      </w:r>
      <w:r w:rsidRPr="00FC1019">
        <w:t xml:space="preserve"> further undermine aviation’s reputation in the ITU process where we are </w:t>
      </w:r>
      <w:r>
        <w:t>have been trying to rebuild our credibility and integrity.</w:t>
      </w:r>
    </w:p>
    <w:p w:rsidR="001621CA" w:rsidRPr="001621CA" w:rsidRDefault="001621CA" w:rsidP="001621CA">
      <w:pPr>
        <w:pStyle w:val="2Para"/>
        <w:numPr>
          <w:ilvl w:val="0"/>
          <w:numId w:val="0"/>
        </w:numPr>
        <w:tabs>
          <w:tab w:val="num" w:pos="2127"/>
        </w:tabs>
        <w:spacing w:after="120"/>
        <w:rPr>
          <w:b/>
        </w:rPr>
      </w:pPr>
      <w:r w:rsidRPr="001621CA">
        <w:rPr>
          <w:b/>
        </w:rPr>
        <w:t>Delivery of Benefits Prior to WRC-19</w:t>
      </w:r>
    </w:p>
    <w:p w:rsidR="008C3895" w:rsidRPr="00D11506" w:rsidRDefault="001621CA" w:rsidP="001621CA">
      <w:pPr>
        <w:pStyle w:val="2Para"/>
        <w:tabs>
          <w:tab w:val="num" w:pos="0"/>
        </w:tabs>
        <w:spacing w:before="120"/>
        <w:ind w:left="0"/>
        <w:rPr>
          <w:i/>
        </w:rPr>
      </w:pPr>
      <w:r w:rsidRPr="001621CA">
        <w:t xml:space="preserve">The </w:t>
      </w:r>
      <w:proofErr w:type="spellStart"/>
      <w:r w:rsidRPr="001621CA">
        <w:t>Aireon</w:t>
      </w:r>
      <w:proofErr w:type="spellEnd"/>
      <w:r w:rsidRPr="001621CA">
        <w:t xml:space="preserve"> system has been integrated into the next generation of Iridium satellites which is scheduled to be launched over the next two and half years.  However early integration problems on the satellite has already delayed the launch of the first two satellites </w:t>
      </w:r>
      <w:r>
        <w:t xml:space="preserve">three times </w:t>
      </w:r>
      <w:r w:rsidRPr="001621CA">
        <w:t xml:space="preserve">and the recent loss of a </w:t>
      </w:r>
      <w:r w:rsidRPr="001621CA">
        <w:lastRenderedPageBreak/>
        <w:t xml:space="preserve">launch vehicle has </w:t>
      </w:r>
      <w:r>
        <w:t>probably added</w:t>
      </w:r>
      <w:r w:rsidRPr="001621CA">
        <w:t xml:space="preserve"> further delays into the launch programme which may or may not be recovered</w:t>
      </w:r>
      <w:r>
        <w:t>.</w:t>
      </w:r>
    </w:p>
    <w:p w:rsidR="00D11506" w:rsidRPr="00D11506" w:rsidRDefault="00D11506" w:rsidP="001621CA">
      <w:pPr>
        <w:pStyle w:val="2Para"/>
        <w:tabs>
          <w:tab w:val="num" w:pos="0"/>
        </w:tabs>
        <w:spacing w:before="120"/>
        <w:ind w:left="0"/>
        <w:rPr>
          <w:i/>
        </w:rPr>
      </w:pPr>
      <w:r w:rsidRPr="001621CA">
        <w:t xml:space="preserve">Studies in the ITU on the compatibility of </w:t>
      </w:r>
      <w:proofErr w:type="spellStart"/>
      <w:r w:rsidRPr="001621CA">
        <w:t>Aireon</w:t>
      </w:r>
      <w:proofErr w:type="spellEnd"/>
      <w:r w:rsidRPr="001621CA">
        <w:t xml:space="preserve"> system with existing systems are still work in progress and will not be finished before the 2015 WRC with opinion divided as to the results so far</w:t>
      </w:r>
      <w:r>
        <w:t>.</w:t>
      </w:r>
    </w:p>
    <w:p w:rsidR="00D11506" w:rsidRPr="00D11506" w:rsidRDefault="00D11506" w:rsidP="001621CA">
      <w:pPr>
        <w:pStyle w:val="2Para"/>
        <w:tabs>
          <w:tab w:val="num" w:pos="0"/>
        </w:tabs>
        <w:spacing w:before="120"/>
        <w:ind w:left="0"/>
        <w:rPr>
          <w:i/>
        </w:rPr>
      </w:pPr>
      <w:r w:rsidRPr="00D11506">
        <w:t xml:space="preserve">Within ICAO there is a significant amount of work that will be needed to develop material related to the required communication, navigation and surveillance capabilities </w:t>
      </w:r>
      <w:r>
        <w:t xml:space="preserve">(see separate paper on 15 NM separation minima for further details) </w:t>
      </w:r>
      <w:r w:rsidRPr="00D11506">
        <w:t xml:space="preserve">appropriate for the separation standards being proposed.  Additionally testing will then have to demonstrate that the </w:t>
      </w:r>
      <w:proofErr w:type="spellStart"/>
      <w:r w:rsidRPr="00D11506">
        <w:t>Aireon</w:t>
      </w:r>
      <w:proofErr w:type="spellEnd"/>
      <w:r w:rsidRPr="00D11506">
        <w:t xml:space="preserve"> system meets those standards and relevant safety cases developed and approved.</w:t>
      </w:r>
    </w:p>
    <w:p w:rsidR="00D11506" w:rsidRDefault="00D11506" w:rsidP="001621CA">
      <w:pPr>
        <w:pStyle w:val="2Para"/>
        <w:tabs>
          <w:tab w:val="num" w:pos="0"/>
        </w:tabs>
        <w:spacing w:before="120"/>
        <w:ind w:left="0"/>
      </w:pPr>
      <w:r w:rsidRPr="00D11506">
        <w:t>Wh</w:t>
      </w:r>
      <w:r>
        <w:t>ether all of this can be delivered prior to 2019 especially given the delays in the launch programme is questionable.</w:t>
      </w:r>
    </w:p>
    <w:p w:rsidR="00AC083A" w:rsidRPr="00AC083A" w:rsidRDefault="00AC083A" w:rsidP="00AC083A">
      <w:pPr>
        <w:pStyle w:val="1Heading"/>
        <w:numPr>
          <w:ilvl w:val="0"/>
          <w:numId w:val="0"/>
        </w:numPr>
        <w:spacing w:before="260" w:after="120"/>
        <w:ind w:left="720" w:hanging="720"/>
        <w:rPr>
          <w:rFonts w:ascii="Times New Roman Bold" w:hAnsi="Times New Roman Bold"/>
          <w:caps w:val="0"/>
        </w:rPr>
      </w:pPr>
      <w:r>
        <w:rPr>
          <w:rFonts w:ascii="Times New Roman Bold" w:hAnsi="Times New Roman Bold"/>
          <w:caps w:val="0"/>
        </w:rPr>
        <w:t>Alternative Mechanism</w:t>
      </w:r>
    </w:p>
    <w:p w:rsidR="00AC083A" w:rsidRPr="00AC083A" w:rsidRDefault="00D11506" w:rsidP="00AC083A">
      <w:pPr>
        <w:pStyle w:val="2Para"/>
        <w:tabs>
          <w:tab w:val="num" w:pos="0"/>
        </w:tabs>
        <w:spacing w:before="120"/>
        <w:ind w:left="0"/>
        <w:rPr>
          <w:i/>
        </w:rPr>
      </w:pPr>
      <w:r>
        <w:t xml:space="preserve">The CAA believes there is an alternative way, assuming that there will be a delivery of benefits prior to 2019, in which operations can be approved whether that be for trials or full operation without the need for a change to the Radio Regulations in the short term. Such a solution would require those administrations who are either responsible for the provision of </w:t>
      </w:r>
      <w:r w:rsidR="00AC083A">
        <w:t>ATC</w:t>
      </w:r>
      <w:r>
        <w:t xml:space="preserve"> services within or adjacent to </w:t>
      </w:r>
      <w:r w:rsidR="00AC083A">
        <w:t xml:space="preserve">an area where satellite ADS-B is to be used for ATC purposes agreeing to protect such operations. </w:t>
      </w:r>
    </w:p>
    <w:p w:rsidR="008660B4" w:rsidRPr="008660B4" w:rsidRDefault="00AC083A" w:rsidP="00AC083A">
      <w:pPr>
        <w:pStyle w:val="2Para"/>
        <w:tabs>
          <w:tab w:val="num" w:pos="0"/>
        </w:tabs>
        <w:spacing w:before="120"/>
        <w:ind w:left="0"/>
        <w:rPr>
          <w:i/>
        </w:rPr>
      </w:pPr>
      <w:r>
        <w:t xml:space="preserve">The UK CAA through Ofcom will be looking to establish such agreements, at least in principle, with its North Atlantic partners in the near future in a manner that would allow the introduction of operational services prior to 2019. Assuming that agreements can be achieve then this </w:t>
      </w:r>
      <w:r w:rsidR="008660B4">
        <w:t xml:space="preserve">will </w:t>
      </w:r>
      <w:r>
        <w:t>remove any delay from the relevant work, including due diligence,</w:t>
      </w:r>
      <w:r w:rsidR="008660B4">
        <w:t xml:space="preserve"> being completed in ICAO, safety cases agreed and the introduction of an operational service.</w:t>
      </w:r>
      <w:r>
        <w:t xml:space="preserve">  </w:t>
      </w:r>
    </w:p>
    <w:p w:rsidR="00AC083A" w:rsidRPr="008660B4" w:rsidRDefault="008660B4" w:rsidP="00AC083A">
      <w:pPr>
        <w:pStyle w:val="2Para"/>
        <w:tabs>
          <w:tab w:val="num" w:pos="0"/>
        </w:tabs>
        <w:spacing w:before="120"/>
        <w:ind w:left="0"/>
        <w:rPr>
          <w:i/>
        </w:rPr>
      </w:pPr>
      <w:r>
        <w:t>However should an operational service not be ready for operational service prior to WRC-19 or an allocation is made at WRC-15 then this alternative mechanism will not be necessary.</w:t>
      </w:r>
    </w:p>
    <w:p w:rsidR="008660B4" w:rsidRPr="008660B4" w:rsidRDefault="008660B4" w:rsidP="008660B4">
      <w:pPr>
        <w:pStyle w:val="2Para"/>
        <w:numPr>
          <w:ilvl w:val="0"/>
          <w:numId w:val="0"/>
        </w:numPr>
        <w:tabs>
          <w:tab w:val="num" w:pos="2127"/>
        </w:tabs>
        <w:spacing w:after="120"/>
        <w:rPr>
          <w:b/>
          <w:i/>
        </w:rPr>
      </w:pPr>
      <w:r w:rsidRPr="008660B4">
        <w:rPr>
          <w:b/>
        </w:rPr>
        <w:t xml:space="preserve">Impact of not having an Allocation on the Launch Schedule </w:t>
      </w:r>
    </w:p>
    <w:p w:rsidR="00A6309B" w:rsidRPr="008C3895" w:rsidRDefault="008660B4" w:rsidP="008660B4">
      <w:pPr>
        <w:pStyle w:val="2Para"/>
        <w:tabs>
          <w:tab w:val="num" w:pos="0"/>
        </w:tabs>
        <w:spacing w:before="120"/>
        <w:ind w:left="0"/>
        <w:rPr>
          <w:i/>
        </w:rPr>
      </w:pPr>
      <w:r>
        <w:t xml:space="preserve">As previously mentioned the </w:t>
      </w:r>
      <w:proofErr w:type="spellStart"/>
      <w:r>
        <w:t>Aireon</w:t>
      </w:r>
      <w:proofErr w:type="spellEnd"/>
      <w:r>
        <w:t xml:space="preserve"> satellite ADS-B system is a payload on the next generation Iridium satellites that has already been designed and built. The Iridium satellites themselves are part of a complete replacement and upgrade of the existing Iridium constellation and hence the lack of an allocation will not affect the launch schedule.</w:t>
      </w:r>
    </w:p>
    <w:p w:rsidR="00A6309B" w:rsidRPr="00FC289E" w:rsidRDefault="00A6309B" w:rsidP="00A6309B">
      <w:pPr>
        <w:pStyle w:val="1Heading"/>
        <w:rPr>
          <w:bCs/>
        </w:rPr>
      </w:pPr>
      <w:r>
        <w:rPr>
          <w:bCs/>
        </w:rPr>
        <w:t>Conclusion</w:t>
      </w:r>
    </w:p>
    <w:p w:rsidR="00AB166F" w:rsidRPr="00AB166F" w:rsidRDefault="00AB166F" w:rsidP="008327D8">
      <w:pPr>
        <w:pStyle w:val="2Para"/>
        <w:tabs>
          <w:tab w:val="num" w:pos="0"/>
        </w:tabs>
        <w:spacing w:after="120"/>
        <w:ind w:left="0"/>
        <w:rPr>
          <w:i/>
        </w:rPr>
      </w:pPr>
      <w:r>
        <w:t>The UK CAA is therefore of the opinion that:-</w:t>
      </w:r>
    </w:p>
    <w:p w:rsidR="00AB166F" w:rsidRPr="00280E94" w:rsidRDefault="00AB166F" w:rsidP="00AB166F">
      <w:pPr>
        <w:pStyle w:val="2Para"/>
        <w:numPr>
          <w:ilvl w:val="1"/>
          <w:numId w:val="14"/>
        </w:numPr>
        <w:spacing w:before="120" w:after="120"/>
        <w:ind w:hanging="709"/>
      </w:pPr>
      <w:r w:rsidRPr="00280E94">
        <w:t xml:space="preserve">the </w:t>
      </w:r>
      <w:r>
        <w:t xml:space="preserve">GFT </w:t>
      </w:r>
      <w:r w:rsidRPr="00280E94">
        <w:t xml:space="preserve">agenda item does not encompass consideration of ADS-B via satellite </w:t>
      </w:r>
      <w:r w:rsidRPr="00AB166F">
        <w:t>for air traffic management</w:t>
      </w:r>
    </w:p>
    <w:p w:rsidR="00AB166F" w:rsidRDefault="00AB166F" w:rsidP="00AB166F">
      <w:pPr>
        <w:pStyle w:val="2Para"/>
        <w:numPr>
          <w:ilvl w:val="1"/>
          <w:numId w:val="14"/>
        </w:numPr>
        <w:spacing w:before="120" w:after="120"/>
        <w:ind w:hanging="709"/>
      </w:pPr>
      <w:r>
        <w:t xml:space="preserve">a delay in the allocation will not affect the timescale or viability of the satellite launches </w:t>
      </w:r>
    </w:p>
    <w:p w:rsidR="00AB166F" w:rsidRDefault="00AB166F" w:rsidP="00AB166F">
      <w:pPr>
        <w:pStyle w:val="2Para"/>
        <w:numPr>
          <w:ilvl w:val="1"/>
          <w:numId w:val="14"/>
        </w:numPr>
        <w:spacing w:before="120" w:after="120"/>
        <w:ind w:hanging="709"/>
      </w:pPr>
      <w:r>
        <w:t>the system will not be providing operational or safety benefits by 2019</w:t>
      </w:r>
    </w:p>
    <w:p w:rsidR="00AB166F" w:rsidRPr="00280E94" w:rsidRDefault="00AB166F" w:rsidP="00AB166F">
      <w:pPr>
        <w:pStyle w:val="2Para"/>
        <w:numPr>
          <w:ilvl w:val="1"/>
          <w:numId w:val="14"/>
        </w:numPr>
        <w:spacing w:before="120" w:after="120"/>
        <w:ind w:hanging="709"/>
      </w:pPr>
      <w:r>
        <w:lastRenderedPageBreak/>
        <w:t>there is an alternative method through bi/multi-lateral agreements by which an operational service could be introduced without Radio Regulatory action at WRC-15.</w:t>
      </w:r>
    </w:p>
    <w:p w:rsidR="00AB166F" w:rsidRPr="00AB166F" w:rsidRDefault="00AB166F" w:rsidP="002F36C1">
      <w:pPr>
        <w:pStyle w:val="2Para"/>
        <w:tabs>
          <w:tab w:val="num" w:pos="0"/>
        </w:tabs>
        <w:ind w:left="0"/>
        <w:rPr>
          <w:i/>
        </w:rPr>
      </w:pPr>
      <w:r>
        <w:t>T</w:t>
      </w:r>
      <w:r w:rsidRPr="00AB166F">
        <w:t xml:space="preserve">he UK </w:t>
      </w:r>
      <w:r>
        <w:t xml:space="preserve">CAA therefore, </w:t>
      </w:r>
      <w:r w:rsidRPr="00AB166F">
        <w:t>does not support regulatory action being targeted at WRC-15.  Instead, the UK supports the establishment of an agenda item for WRC</w:t>
      </w:r>
      <w:r>
        <w:t>-19 as part of a wider GADSS item</w:t>
      </w:r>
      <w:r w:rsidRPr="00AB166F">
        <w:t xml:space="preserve">.  </w:t>
      </w:r>
    </w:p>
    <w:bookmarkEnd w:id="11"/>
    <w:p w:rsidR="006D6392" w:rsidRDefault="006D6392" w:rsidP="006D6392">
      <w:r>
        <w:t>3.0</w:t>
      </w:r>
      <w:r>
        <w:tab/>
      </w:r>
      <w:r w:rsidRPr="0040082D">
        <w:rPr>
          <w:b/>
        </w:rPr>
        <w:t>ACTION BY THE MEETING</w:t>
      </w:r>
      <w:r>
        <w:tab/>
      </w:r>
    </w:p>
    <w:p w:rsidR="006D6392" w:rsidRDefault="006D6392" w:rsidP="006D6392"/>
    <w:p w:rsidR="006D6392" w:rsidRDefault="00154841" w:rsidP="00AB166F">
      <w:pPr>
        <w:numPr>
          <w:ilvl w:val="0"/>
          <w:numId w:val="12"/>
        </w:numPr>
        <w:rPr>
          <w:szCs w:val="22"/>
        </w:rPr>
      </w:pPr>
      <w:r>
        <w:rPr>
          <w:szCs w:val="22"/>
        </w:rPr>
        <w:t xml:space="preserve">Note the information provided </w:t>
      </w:r>
    </w:p>
    <w:p w:rsidR="00154841" w:rsidRDefault="00154841" w:rsidP="00154841">
      <w:pPr>
        <w:ind w:left="720"/>
        <w:rPr>
          <w:szCs w:val="22"/>
        </w:rPr>
      </w:pPr>
    </w:p>
    <w:p w:rsidR="00EB01C3" w:rsidRDefault="00272C86" w:rsidP="00154841">
      <w:pPr>
        <w:widowControl/>
        <w:autoSpaceDE/>
        <w:autoSpaceDN/>
        <w:adjustRightInd/>
        <w:spacing w:before="260" w:after="260"/>
        <w:jc w:val="center"/>
      </w:pPr>
      <w:r>
        <w:t xml:space="preserve"> </w:t>
      </w:r>
    </w:p>
    <w:p w:rsidR="00272C86" w:rsidRDefault="00272C86">
      <w:pPr>
        <w:pStyle w:val="Annextitle"/>
      </w:pPr>
    </w:p>
    <w:sectPr w:rsidR="00272C86" w:rsidSect="00716B93">
      <w:headerReference w:type="even" r:id="rId15"/>
      <w:headerReference w:type="default" r:id="rId16"/>
      <w:footerReference w:type="first" r:id="rId17"/>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D1" w:rsidRDefault="00C72AD1">
      <w:r>
        <w:separator/>
      </w:r>
    </w:p>
  </w:endnote>
  <w:endnote w:type="continuationSeparator" w:id="0">
    <w:p w:rsidR="00C72AD1" w:rsidRDefault="00C7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Footer"/>
      <w:tabs>
        <w:tab w:val="left" w:pos="720"/>
        <w:tab w:val="left" w:pos="1440"/>
        <w:tab w:val="left" w:pos="1800"/>
        <w:tab w:val="left" w:pos="2160"/>
        <w:tab w:val="left" w:pos="2520"/>
        <w:tab w:val="left" w:pos="2880"/>
      </w:tabs>
      <w:spacing w:before="160"/>
      <w:jc w:val="both"/>
      <w:rPr>
        <w:sz w:val="18"/>
        <w:szCs w:val="18"/>
        <w:lang w:val="fr-CA"/>
      </w:rPr>
    </w:pPr>
    <w:bookmarkStart w:id="16" w:name="total_pages"/>
    <w:r>
      <w:rPr>
        <w:sz w:val="18"/>
        <w:szCs w:val="18"/>
      </w:rPr>
      <w:t>(</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2051F">
      <w:rPr>
        <w:rStyle w:val="PageNumber"/>
        <w:noProof/>
        <w:sz w:val="18"/>
        <w:szCs w:val="18"/>
      </w:rPr>
      <w:t>4</w:t>
    </w:r>
    <w:r>
      <w:rPr>
        <w:rStyle w:val="PageNumber"/>
        <w:sz w:val="18"/>
        <w:szCs w:val="18"/>
      </w:rPr>
      <w:fldChar w:fldCharType="end"/>
    </w:r>
    <w:r>
      <w:rPr>
        <w:rStyle w:val="PageNumber"/>
        <w:sz w:val="18"/>
        <w:szCs w:val="18"/>
        <w:lang w:val="fr-CA"/>
      </w:rPr>
      <w:t xml:space="preserve"> </w:t>
    </w:r>
    <w:r>
      <w:rPr>
        <w:sz w:val="18"/>
        <w:szCs w:val="18"/>
        <w:lang w:val="fr-CA"/>
      </w:rPr>
      <w:t>pages)</w:t>
    </w:r>
    <w:bookmarkEnd w:id="16"/>
    <w:r>
      <w:rPr>
        <w:sz w:val="18"/>
        <w:szCs w:val="18"/>
        <w:lang w:val="fr-CA"/>
      </w:rPr>
      <w:t xml:space="preserve"> </w:t>
    </w:r>
    <w:bookmarkStart w:id="17" w:name="brand_org_typist"/>
    <w:bookmarkEnd w:id="17"/>
  </w:p>
  <w:bookmarkStart w:id="18" w:name="document_no_footer"/>
  <w:bookmarkStart w:id="19" w:name="text_footer"/>
  <w:bookmarkEnd w:id="18"/>
  <w:bookmarkEnd w:id="19"/>
  <w:p w:rsidR="00422A0F" w:rsidRDefault="00422A0F">
    <w:pPr>
      <w:pStyle w:val="Footer"/>
      <w:tabs>
        <w:tab w:val="left" w:pos="720"/>
        <w:tab w:val="left" w:pos="1440"/>
        <w:tab w:val="left" w:pos="1800"/>
        <w:tab w:val="left" w:pos="2160"/>
        <w:tab w:val="left" w:pos="2520"/>
        <w:tab w:val="left" w:pos="2880"/>
      </w:tabs>
      <w:jc w:val="both"/>
      <w:rPr>
        <w:sz w:val="18"/>
        <w:szCs w:val="18"/>
        <w:lang w:val="en-US"/>
      </w:rPr>
    </w:pPr>
    <w:r>
      <w:rPr>
        <w:sz w:val="18"/>
        <w:szCs w:val="18"/>
      </w:rPr>
      <w:fldChar w:fldCharType="begin"/>
    </w:r>
    <w:r>
      <w:rPr>
        <w:sz w:val="18"/>
        <w:szCs w:val="18"/>
        <w:lang w:val="en-US"/>
      </w:rPr>
      <w:instrText xml:space="preserve"> FILENAME </w:instrText>
    </w:r>
    <w:r>
      <w:rPr>
        <w:sz w:val="18"/>
        <w:szCs w:val="18"/>
      </w:rPr>
      <w:fldChar w:fldCharType="separate"/>
    </w:r>
    <w:r w:rsidR="0002051F">
      <w:rPr>
        <w:noProof/>
        <w:sz w:val="18"/>
        <w:szCs w:val="18"/>
        <w:lang w:val="en-US"/>
      </w:rPr>
      <w:t>FSMP-WGF33-IP06-GADSS UK-CAA position.docx</w:t>
    </w:r>
    <w:r>
      <w:rPr>
        <w:sz w:val="18"/>
        <w:szCs w:val="18"/>
      </w:rPr>
      <w:fldChar w:fldCharType="end"/>
    </w:r>
  </w:p>
  <w:p w:rsidR="00422A0F" w:rsidRDefault="00422A0F">
    <w:pPr>
      <w:pStyle w:val="Footer"/>
      <w:rPr>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D1" w:rsidRDefault="00C72AD1">
      <w:r>
        <w:separator/>
      </w:r>
    </w:p>
  </w:footnote>
  <w:footnote w:type="continuationSeparator" w:id="0">
    <w:p w:rsidR="00C72AD1" w:rsidRDefault="00C7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02051F">
      <w:rPr>
        <w:rStyle w:val="PageNumber"/>
        <w:noProof/>
      </w:rPr>
      <w:t>- 4 -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422A0F">
      <w:tc>
        <w:tcPr>
          <w:tcW w:w="0" w:type="auto"/>
        </w:tcPr>
        <w:p w:rsidR="00422A0F" w:rsidRDefault="00422A0F" w:rsidP="0002051F">
          <w:pPr>
            <w:pStyle w:val="Header"/>
            <w:tabs>
              <w:tab w:val="left" w:pos="720"/>
              <w:tab w:val="left" w:pos="1440"/>
              <w:tab w:val="left" w:pos="1800"/>
              <w:tab w:val="left" w:pos="2160"/>
              <w:tab w:val="left" w:pos="2520"/>
              <w:tab w:val="left" w:pos="2880"/>
            </w:tabs>
            <w:spacing w:after="240"/>
            <w:rPr>
              <w:sz w:val="18"/>
              <w:szCs w:val="18"/>
            </w:rPr>
          </w:pPr>
          <w:r>
            <w:rPr>
              <w:szCs w:val="22"/>
            </w:rPr>
            <w:t xml:space="preserve">FSMP </w:t>
          </w:r>
          <w:r w:rsidR="0002051F">
            <w:rPr>
              <w:szCs w:val="22"/>
            </w:rPr>
            <w:t>WG-F/33 IP06</w:t>
          </w:r>
          <w:bookmarkStart w:id="12" w:name="related_to_header_even"/>
          <w:bookmarkStart w:id="13" w:name="addendum_corrigendum_header_even"/>
          <w:bookmarkEnd w:id="12"/>
          <w:bookmarkEnd w:id="13"/>
        </w:p>
      </w:tc>
    </w:tr>
  </w:tbl>
  <w:p w:rsidR="00422A0F" w:rsidRDefault="00422A0F">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0F" w:rsidRDefault="00422A0F">
    <w:pPr>
      <w:pStyle w:val="Header"/>
      <w:framePr w:wrap="around" w:vAnchor="text" w:hAnchor="margin" w:xAlign="center" w:y="1"/>
      <w:rPr>
        <w:rStyle w:val="PageNumber"/>
        <w:szCs w:val="22"/>
      </w:rPr>
    </w:pPr>
    <w:r>
      <w:rPr>
        <w:rStyle w:val="PageNumber"/>
      </w:rPr>
      <w:fldChar w:fldCharType="begin"/>
    </w:r>
    <w:r>
      <w:rPr>
        <w:rStyle w:val="PageNumber"/>
        <w:szCs w:val="22"/>
      </w:rPr>
      <w:instrText>PAGE</w:instrText>
    </w:r>
    <w:r>
      <w:rPr>
        <w:rStyle w:val="PageNumber"/>
      </w:rPr>
      <w:instrText xml:space="preserve">  </w:instrText>
    </w:r>
    <w:r>
      <w:rPr>
        <w:rStyle w:val="PageNumber"/>
      </w:rPr>
      <w:fldChar w:fldCharType="separate"/>
    </w:r>
    <w:r w:rsidR="0002051F">
      <w:rPr>
        <w:rStyle w:val="PageNumber"/>
        <w:noProof/>
      </w:rPr>
      <w:t>- 3 -</w:t>
    </w:r>
    <w:r>
      <w:rPr>
        <w:rStyle w:val="PageNumber"/>
      </w:rPr>
      <w:fldChar w:fldCharType="end"/>
    </w:r>
  </w:p>
  <w:tbl>
    <w:tblPr>
      <w:tblW w:w="0" w:type="auto"/>
      <w:tblInd w:w="71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422A0F">
      <w:tc>
        <w:tcPr>
          <w:tcW w:w="0" w:type="auto"/>
        </w:tcPr>
        <w:p w:rsidR="00422A0F" w:rsidRDefault="003B41C3" w:rsidP="0002051F">
          <w:pPr>
            <w:spacing w:after="240"/>
            <w:jc w:val="right"/>
          </w:pPr>
          <w:r>
            <w:rPr>
              <w:szCs w:val="22"/>
            </w:rPr>
            <w:t>FSMP WG-F/3</w:t>
          </w:r>
          <w:r w:rsidR="0002051F">
            <w:rPr>
              <w:szCs w:val="22"/>
            </w:rPr>
            <w:t>3</w:t>
          </w:r>
          <w:r w:rsidR="00422A0F">
            <w:rPr>
              <w:szCs w:val="22"/>
            </w:rPr>
            <w:t xml:space="preserve"> </w:t>
          </w:r>
          <w:r w:rsidR="0002051F">
            <w:rPr>
              <w:szCs w:val="22"/>
            </w:rPr>
            <w:t>IP06</w:t>
          </w:r>
          <w:bookmarkStart w:id="14" w:name="related_to_header_odd"/>
          <w:bookmarkStart w:id="15" w:name="addendum_corrigendum_header_odd"/>
          <w:bookmarkEnd w:id="14"/>
          <w:bookmarkEnd w:id="15"/>
        </w:p>
      </w:tc>
    </w:tr>
  </w:tbl>
  <w:p w:rsidR="00422A0F" w:rsidRDefault="00422A0F">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64C4D19"/>
    <w:multiLevelType w:val="hybridMultilevel"/>
    <w:tmpl w:val="E8E8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3">
    <w:nsid w:val="09041807"/>
    <w:multiLevelType w:val="multilevel"/>
    <w:tmpl w:val="018256B6"/>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2127"/>
        </w:tabs>
        <w:ind w:left="2127"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4">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5">
    <w:nsid w:val="0CF12003"/>
    <w:multiLevelType w:val="multilevel"/>
    <w:tmpl w:val="95BA7BC8"/>
    <w:lvl w:ilvl="0">
      <w:start w:val="1"/>
      <w:numFmt w:val="upperRoman"/>
      <w:pStyle w:val="Heading1"/>
      <w:lvlText w:val="Article %1."/>
      <w:lvlJc w:val="left"/>
      <w:pPr>
        <w:tabs>
          <w:tab w:val="num" w:pos="1440"/>
        </w:tabs>
        <w:ind w:left="0" w:firstLine="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1F2B6BB0"/>
    <w:multiLevelType w:val="singleLevel"/>
    <w:tmpl w:val="F490B8D8"/>
    <w:lvl w:ilvl="0">
      <w:start w:val="1"/>
      <w:numFmt w:val="decimal"/>
      <w:lvlText w:val="%1)"/>
      <w:lvlJc w:val="left"/>
      <w:pPr>
        <w:tabs>
          <w:tab w:val="num" w:pos="2160"/>
        </w:tabs>
        <w:ind w:left="2160" w:hanging="360"/>
      </w:pPr>
    </w:lvl>
  </w:abstractNum>
  <w:abstractNum w:abstractNumId="7">
    <w:nsid w:val="2B00651C"/>
    <w:multiLevelType w:val="multilevel"/>
    <w:tmpl w:val="51209D60"/>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2127"/>
        </w:tabs>
        <w:ind w:left="2127"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pStyle w:val="1Para"/>
      <w:lvlText w:val="%9."/>
      <w:lvlJc w:val="left"/>
      <w:pPr>
        <w:tabs>
          <w:tab w:val="num" w:pos="0"/>
        </w:tabs>
        <w:ind w:left="0" w:firstLine="0"/>
      </w:pPr>
      <w:rPr>
        <w:rFonts w:ascii="Times New Roman" w:hAnsi="Times New Roman" w:cs="Times New Roman"/>
        <w:b w:val="0"/>
        <w:sz w:val="22"/>
      </w:rPr>
    </w:lvl>
  </w:abstractNum>
  <w:abstractNum w:abstractNumId="8">
    <w:nsid w:val="321B6AF8"/>
    <w:multiLevelType w:val="multilevel"/>
    <w:tmpl w:val="ED6CCD02"/>
    <w:lvl w:ilvl="0">
      <w:start w:val="1"/>
      <w:numFmt w:val="bullet"/>
      <w:pStyle w:val="List-"/>
      <w:lvlText w:val="—"/>
      <w:lvlJc w:val="left"/>
      <w:pPr>
        <w:tabs>
          <w:tab w:val="num" w:pos="0"/>
        </w:tabs>
        <w:ind w:left="0" w:firstLine="216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9">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2E31A4"/>
    <w:multiLevelType w:val="multilevel"/>
    <w:tmpl w:val="018256B6"/>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2127"/>
        </w:tabs>
        <w:ind w:left="2127"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4E637C"/>
    <w:multiLevelType w:val="singleLevel"/>
    <w:tmpl w:val="DCF4410C"/>
    <w:lvl w:ilvl="0">
      <w:start w:val="1"/>
      <w:numFmt w:val="lowerLetter"/>
      <w:lvlText w:val="%1)"/>
      <w:lvlJc w:val="left"/>
      <w:pPr>
        <w:tabs>
          <w:tab w:val="num" w:pos="360"/>
        </w:tabs>
        <w:ind w:left="360" w:hanging="360"/>
      </w:pPr>
    </w:lvl>
  </w:abstractNum>
  <w:abstractNum w:abstractNumId="15">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num w:numId="1">
    <w:abstractNumId w:val="15"/>
  </w:num>
  <w:num w:numId="2">
    <w:abstractNumId w:val="4"/>
  </w:num>
  <w:num w:numId="3">
    <w:abstractNumId w:val="5"/>
  </w:num>
  <w:num w:numId="4">
    <w:abstractNumId w:val="12"/>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8"/>
  </w:num>
  <w:num w:numId="7">
    <w:abstractNumId w:val="13"/>
  </w:num>
  <w:num w:numId="8">
    <w:abstractNumId w:val="9"/>
  </w:num>
  <w:num w:numId="9">
    <w:abstractNumId w:val="16"/>
  </w:num>
  <w:num w:numId="10">
    <w:abstractNumId w:val="10"/>
  </w:num>
  <w:num w:numId="11">
    <w:abstractNumId w:val="7"/>
  </w:num>
  <w:num w:numId="12">
    <w:abstractNumId w:val="1"/>
  </w:num>
  <w:num w:numId="13">
    <w:abstractNumId w:val="3"/>
  </w:num>
  <w:num w:numId="14">
    <w:abstractNumId w:val="11"/>
  </w:num>
  <w:num w:numId="15">
    <w:abstractNumId w:val="14"/>
  </w:num>
  <w:num w:numId="16">
    <w:abstractNumId w:val="6"/>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16087"/>
    <w:rsid w:val="0002051F"/>
    <w:rsid w:val="00052BA2"/>
    <w:rsid w:val="0006081E"/>
    <w:rsid w:val="00093347"/>
    <w:rsid w:val="00095BBC"/>
    <w:rsid w:val="000B42E2"/>
    <w:rsid w:val="000E6D4F"/>
    <w:rsid w:val="000F2CBA"/>
    <w:rsid w:val="000F2FAE"/>
    <w:rsid w:val="00102F67"/>
    <w:rsid w:val="00133765"/>
    <w:rsid w:val="00135B0D"/>
    <w:rsid w:val="00154841"/>
    <w:rsid w:val="001621CA"/>
    <w:rsid w:val="00162F59"/>
    <w:rsid w:val="00174138"/>
    <w:rsid w:val="00183348"/>
    <w:rsid w:val="00184359"/>
    <w:rsid w:val="00186B7C"/>
    <w:rsid w:val="00197552"/>
    <w:rsid w:val="001E23AB"/>
    <w:rsid w:val="001F2CC8"/>
    <w:rsid w:val="002012EF"/>
    <w:rsid w:val="002067DD"/>
    <w:rsid w:val="00226A42"/>
    <w:rsid w:val="00260E6D"/>
    <w:rsid w:val="00261D18"/>
    <w:rsid w:val="00272C86"/>
    <w:rsid w:val="002B20D7"/>
    <w:rsid w:val="002B58AA"/>
    <w:rsid w:val="002F1F57"/>
    <w:rsid w:val="002F36C1"/>
    <w:rsid w:val="003279CF"/>
    <w:rsid w:val="003436D6"/>
    <w:rsid w:val="003466F6"/>
    <w:rsid w:val="00377559"/>
    <w:rsid w:val="003853C1"/>
    <w:rsid w:val="003A409F"/>
    <w:rsid w:val="003B41C3"/>
    <w:rsid w:val="00400D30"/>
    <w:rsid w:val="00422A0F"/>
    <w:rsid w:val="004569EF"/>
    <w:rsid w:val="00486860"/>
    <w:rsid w:val="00486DF7"/>
    <w:rsid w:val="004A14C3"/>
    <w:rsid w:val="004B4AD5"/>
    <w:rsid w:val="00510549"/>
    <w:rsid w:val="005258F0"/>
    <w:rsid w:val="005374C6"/>
    <w:rsid w:val="005568BC"/>
    <w:rsid w:val="00575062"/>
    <w:rsid w:val="00592144"/>
    <w:rsid w:val="005C08CE"/>
    <w:rsid w:val="005D7972"/>
    <w:rsid w:val="005E7337"/>
    <w:rsid w:val="00600BB9"/>
    <w:rsid w:val="00684A1B"/>
    <w:rsid w:val="00692DEA"/>
    <w:rsid w:val="006B0735"/>
    <w:rsid w:val="006B3EF6"/>
    <w:rsid w:val="006B4EF8"/>
    <w:rsid w:val="006C0B2B"/>
    <w:rsid w:val="006C4D3A"/>
    <w:rsid w:val="006D6392"/>
    <w:rsid w:val="006D68E6"/>
    <w:rsid w:val="00711A12"/>
    <w:rsid w:val="00716B93"/>
    <w:rsid w:val="007257C6"/>
    <w:rsid w:val="00740235"/>
    <w:rsid w:val="007460C5"/>
    <w:rsid w:val="007B2591"/>
    <w:rsid w:val="007B4944"/>
    <w:rsid w:val="007D6B0A"/>
    <w:rsid w:val="007E1B77"/>
    <w:rsid w:val="00815452"/>
    <w:rsid w:val="00821563"/>
    <w:rsid w:val="00831672"/>
    <w:rsid w:val="008327D8"/>
    <w:rsid w:val="00850ACF"/>
    <w:rsid w:val="00860F8E"/>
    <w:rsid w:val="008660B4"/>
    <w:rsid w:val="00870813"/>
    <w:rsid w:val="008801F8"/>
    <w:rsid w:val="0088669B"/>
    <w:rsid w:val="008C3895"/>
    <w:rsid w:val="008E1913"/>
    <w:rsid w:val="008E1FBD"/>
    <w:rsid w:val="008E4F24"/>
    <w:rsid w:val="008F0294"/>
    <w:rsid w:val="00924EDC"/>
    <w:rsid w:val="009270F4"/>
    <w:rsid w:val="00933C8E"/>
    <w:rsid w:val="009C02D1"/>
    <w:rsid w:val="00A47476"/>
    <w:rsid w:val="00A57FFD"/>
    <w:rsid w:val="00A6309B"/>
    <w:rsid w:val="00A66848"/>
    <w:rsid w:val="00AA1ECC"/>
    <w:rsid w:val="00AB166F"/>
    <w:rsid w:val="00AB237E"/>
    <w:rsid w:val="00AC083A"/>
    <w:rsid w:val="00AF04D3"/>
    <w:rsid w:val="00B52B83"/>
    <w:rsid w:val="00B776FF"/>
    <w:rsid w:val="00BA1344"/>
    <w:rsid w:val="00BA5039"/>
    <w:rsid w:val="00BC179D"/>
    <w:rsid w:val="00C17008"/>
    <w:rsid w:val="00C40A13"/>
    <w:rsid w:val="00C43B7A"/>
    <w:rsid w:val="00C44212"/>
    <w:rsid w:val="00C4506D"/>
    <w:rsid w:val="00C72AD1"/>
    <w:rsid w:val="00C77127"/>
    <w:rsid w:val="00CA3D63"/>
    <w:rsid w:val="00CA7434"/>
    <w:rsid w:val="00CB73B0"/>
    <w:rsid w:val="00CE74CC"/>
    <w:rsid w:val="00CF05D6"/>
    <w:rsid w:val="00CF7051"/>
    <w:rsid w:val="00D11506"/>
    <w:rsid w:val="00D57E13"/>
    <w:rsid w:val="00D85120"/>
    <w:rsid w:val="00D91920"/>
    <w:rsid w:val="00DE1077"/>
    <w:rsid w:val="00DE4901"/>
    <w:rsid w:val="00DE4ED7"/>
    <w:rsid w:val="00E0377C"/>
    <w:rsid w:val="00E039B1"/>
    <w:rsid w:val="00E07A6E"/>
    <w:rsid w:val="00E4178E"/>
    <w:rsid w:val="00E55889"/>
    <w:rsid w:val="00E82F75"/>
    <w:rsid w:val="00EB01C3"/>
    <w:rsid w:val="00EF71F1"/>
    <w:rsid w:val="00F00CCC"/>
    <w:rsid w:val="00F01B76"/>
    <w:rsid w:val="00F01F86"/>
    <w:rsid w:val="00F04CA3"/>
    <w:rsid w:val="00F244EF"/>
    <w:rsid w:val="00F35817"/>
    <w:rsid w:val="00F45B19"/>
    <w:rsid w:val="00F60FF5"/>
    <w:rsid w:val="00F63C83"/>
    <w:rsid w:val="00F76FFE"/>
    <w:rsid w:val="00F9740C"/>
    <w:rsid w:val="00FC1019"/>
    <w:rsid w:val="00FD7D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link w:val="BalloonTextChar"/>
    <w:uiPriority w:val="99"/>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styleId="ListParagraph">
    <w:name w:val="List Paragraph"/>
    <w:basedOn w:val="Normal"/>
    <w:uiPriority w:val="34"/>
    <w:qFormat/>
    <w:rsid w:val="00AB166F"/>
    <w:pPr>
      <w:widowControl/>
      <w:autoSpaceDE/>
      <w:autoSpaceDN/>
      <w:adjustRightInd/>
      <w:spacing w:after="160" w:line="259" w:lineRule="auto"/>
      <w:ind w:left="720"/>
      <w:contextualSpacing/>
    </w:pPr>
    <w:rPr>
      <w:rFonts w:asciiTheme="minorHAnsi" w:eastAsiaTheme="minorHAnsi" w:hAnsiTheme="minorHAnsi" w:cstheme="minorBidi"/>
      <w:szCs w:val="22"/>
    </w:rPr>
  </w:style>
  <w:style w:type="character" w:customStyle="1" w:styleId="BalloonTextChar">
    <w:name w:val="Balloon Text Char"/>
    <w:basedOn w:val="DefaultParagraphFont"/>
    <w:link w:val="BalloonText"/>
    <w:uiPriority w:val="99"/>
    <w:semiHidden/>
    <w:rsid w:val="00AB166F"/>
    <w:rPr>
      <w:rFonts w:ascii="Tahoma" w:hAnsi="Tahoma" w:cs="Tahoma"/>
      <w:sz w:val="16"/>
      <w:szCs w:val="16"/>
      <w:lang w:eastAsia="en-US"/>
    </w:rPr>
  </w:style>
  <w:style w:type="paragraph" w:customStyle="1" w:styleId="Maintitle">
    <w:name w:val="Main title"/>
    <w:basedOn w:val="Normal"/>
    <w:rsid w:val="00692DEA"/>
    <w:pPr>
      <w:widowControl/>
      <w:autoSpaceDE/>
      <w:autoSpaceDN/>
      <w:adjustRightInd/>
      <w:ind w:left="1080" w:right="1080"/>
      <w:jc w:val="center"/>
    </w:pPr>
    <w:rPr>
      <w:b/>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2"/>
      <w:szCs w:val="24"/>
      <w:lang w:eastAsia="en-US"/>
    </w:rPr>
  </w:style>
  <w:style w:type="paragraph" w:styleId="Heading1">
    <w:name w:val="heading 1"/>
    <w:basedOn w:val="Normal"/>
    <w:next w:val="Normal"/>
    <w:qFormat/>
    <w:pPr>
      <w:numPr>
        <w:numId w:val="3"/>
      </w:numPr>
      <w:outlineLvl w:val="0"/>
    </w:pPr>
  </w:style>
  <w:style w:type="paragraph" w:styleId="Heading2">
    <w:name w:val="heading 2"/>
    <w:basedOn w:val="Normal"/>
    <w:next w:val="Normal"/>
    <w:qFormat/>
    <w:pPr>
      <w:numPr>
        <w:ilvl w:val="1"/>
        <w:numId w:val="6"/>
      </w:numPr>
      <w:outlineLvl w:val="1"/>
    </w:pPr>
    <w:rPr>
      <w:b/>
      <w:bCs/>
      <w:sz w:val="28"/>
      <w:szCs w:val="28"/>
    </w:rPr>
  </w:style>
  <w:style w:type="paragraph" w:styleId="Heading3">
    <w:name w:val="heading 3"/>
    <w:basedOn w:val="Normal"/>
    <w:next w:val="Normal"/>
    <w:qFormat/>
    <w:pPr>
      <w:numPr>
        <w:ilvl w:val="2"/>
        <w:numId w:val="6"/>
      </w:numPr>
      <w:outlineLvl w:val="2"/>
    </w:pPr>
    <w:rPr>
      <w:b/>
      <w:bCs/>
    </w:rPr>
  </w:style>
  <w:style w:type="paragraph" w:styleId="Heading4">
    <w:name w:val="heading 4"/>
    <w:basedOn w:val="Normal"/>
    <w:next w:val="Normal"/>
    <w:qFormat/>
    <w:pPr>
      <w:numPr>
        <w:ilvl w:val="3"/>
        <w:numId w:val="6"/>
      </w:numPr>
      <w:ind w:right="2880"/>
      <w:outlineLvl w:val="3"/>
    </w:pPr>
    <w:rPr>
      <w:b/>
      <w:bCs/>
    </w:rPr>
  </w:style>
  <w:style w:type="paragraph" w:styleId="Heading5">
    <w:name w:val="heading 5"/>
    <w:basedOn w:val="Normal"/>
    <w:next w:val="Normal"/>
    <w:qFormat/>
    <w:pPr>
      <w:numPr>
        <w:ilvl w:val="4"/>
        <w:numId w:val="6"/>
      </w:numPr>
      <w:ind w:right="2880"/>
      <w:outlineLvl w:val="4"/>
    </w:pPr>
    <w:rPr>
      <w:i/>
      <w:iCs/>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qFormat/>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eastAsia="en-US"/>
    </w:rPr>
  </w:style>
  <w:style w:type="paragraph" w:customStyle="1" w:styleId="1Para">
    <w:name w:val="1Para"/>
    <w:basedOn w:val="Normal"/>
    <w:pPr>
      <w:widowControl/>
      <w:numPr>
        <w:ilvl w:val="8"/>
        <w:numId w:val="11"/>
      </w:numPr>
      <w:tabs>
        <w:tab w:val="clear" w:pos="0"/>
        <w:tab w:val="left" w:pos="1440"/>
      </w:tabs>
      <w:autoSpaceDE/>
      <w:autoSpaceDN/>
      <w:adjustRightInd/>
      <w:spacing w:before="260" w:after="260"/>
      <w:jc w:val="both"/>
    </w:pPr>
    <w:rPr>
      <w:szCs w:val="22"/>
    </w:rPr>
  </w:style>
  <w:style w:type="paragraph" w:customStyle="1" w:styleId="2Para">
    <w:name w:val="2Para"/>
    <w:basedOn w:val="Normal"/>
    <w:pPr>
      <w:widowControl/>
      <w:numPr>
        <w:ilvl w:val="1"/>
        <w:numId w:val="11"/>
      </w:numPr>
      <w:tabs>
        <w:tab w:val="left" w:pos="1440"/>
      </w:tabs>
      <w:autoSpaceDE/>
      <w:autoSpaceDN/>
      <w:adjustRightInd/>
      <w:spacing w:before="260" w:after="260"/>
      <w:jc w:val="both"/>
    </w:pPr>
    <w:rPr>
      <w:szCs w:val="22"/>
    </w:rPr>
  </w:style>
  <w:style w:type="paragraph" w:customStyle="1" w:styleId="3Heading">
    <w:name w:val="3Heading"/>
    <w:basedOn w:val="TOC3"/>
    <w:next w:val="3Para"/>
    <w:pPr>
      <w:widowControl/>
      <w:spacing w:before="260" w:after="260"/>
      <w:ind w:left="0" w:right="2880"/>
      <w:jc w:val="both"/>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clear" w:pos="0"/>
        <w:tab w:val="left" w:pos="1440"/>
      </w:tabs>
      <w:spacing w:before="260" w:after="260"/>
      <w:jc w:val="both"/>
    </w:pPr>
  </w:style>
  <w:style w:type="paragraph" w:customStyle="1" w:styleId="4Para">
    <w:name w:val="4Para"/>
    <w:basedOn w:val="Normal"/>
    <w:pPr>
      <w:widowControl/>
      <w:numPr>
        <w:ilvl w:val="3"/>
        <w:numId w:val="11"/>
      </w:numPr>
      <w:tabs>
        <w:tab w:val="clear" w:pos="0"/>
        <w:tab w:val="left" w:pos="1440"/>
      </w:tabs>
      <w:autoSpaceDE/>
      <w:autoSpaceDN/>
      <w:adjustRightInd/>
      <w:spacing w:before="260" w:after="260"/>
      <w:jc w:val="both"/>
    </w:pPr>
  </w:style>
  <w:style w:type="paragraph" w:customStyle="1" w:styleId="5Para">
    <w:name w:val="5Para"/>
    <w:basedOn w:val="Normal"/>
    <w:pPr>
      <w:widowControl/>
      <w:numPr>
        <w:ilvl w:val="4"/>
        <w:numId w:val="11"/>
      </w:numPr>
      <w:tabs>
        <w:tab w:val="clear" w:pos="0"/>
        <w:tab w:val="left" w:pos="1440"/>
      </w:tabs>
      <w:autoSpaceDE/>
      <w:autoSpaceDN/>
      <w:adjustRightInd/>
      <w:spacing w:before="260" w:after="260"/>
      <w:jc w:val="both"/>
    </w:pPr>
  </w:style>
  <w:style w:type="paragraph" w:customStyle="1" w:styleId="6Para">
    <w:name w:val="6Para"/>
    <w:basedOn w:val="Normal"/>
    <w:pPr>
      <w:widowControl/>
      <w:numPr>
        <w:ilvl w:val="5"/>
        <w:numId w:val="11"/>
      </w:numPr>
      <w:tabs>
        <w:tab w:val="clear" w:pos="0"/>
        <w:tab w:val="left" w:pos="1440"/>
      </w:tabs>
      <w:autoSpaceDE/>
      <w:autoSpaceDN/>
      <w:adjustRightInd/>
      <w:spacing w:before="260" w:after="260"/>
      <w:jc w:val="both"/>
    </w:pPr>
  </w:style>
  <w:style w:type="paragraph" w:customStyle="1" w:styleId="7Para">
    <w:name w:val="7Para"/>
    <w:basedOn w:val="Normal"/>
    <w:pPr>
      <w:widowControl/>
      <w:numPr>
        <w:ilvl w:val="6"/>
        <w:numId w:val="11"/>
      </w:numPr>
      <w:tabs>
        <w:tab w:val="clear" w:pos="0"/>
        <w:tab w:val="left" w:pos="1440"/>
      </w:tabs>
      <w:autoSpaceDE/>
      <w:autoSpaceDN/>
      <w:adjustRightInd/>
      <w:spacing w:before="260" w:after="260"/>
      <w:jc w:val="both"/>
    </w:pPr>
  </w:style>
  <w:style w:type="paragraph" w:customStyle="1" w:styleId="8Para">
    <w:name w:val="8Para"/>
    <w:basedOn w:val="Normal"/>
    <w:pPr>
      <w:widowControl/>
      <w:numPr>
        <w:ilvl w:val="7"/>
        <w:numId w:val="11"/>
      </w:numPr>
      <w:tabs>
        <w:tab w:val="clear" w:pos="0"/>
        <w:tab w:val="left" w:pos="1440"/>
      </w:tabs>
      <w:autoSpaceDE/>
      <w:autoSpaceDN/>
      <w:adjustRightInd/>
      <w:spacing w:before="260" w:after="260"/>
      <w:jc w:val="both"/>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jc w:val="both"/>
    </w:pPr>
  </w:style>
  <w:style w:type="character" w:styleId="FootnoteReference">
    <w:name w:val="footnote reference"/>
    <w:aliases w:val="Appel note de bas de p,Footnote Reference/"/>
  </w:style>
  <w:style w:type="paragraph" w:customStyle="1" w:styleId="List-">
    <w:name w:val="List_-"/>
    <w:basedOn w:val="Normal"/>
    <w:pPr>
      <w:widowControl/>
      <w:numPr>
        <w:numId w:val="6"/>
      </w:numPr>
      <w:tabs>
        <w:tab w:val="clear" w:pos="0"/>
        <w:tab w:val="left" w:pos="360"/>
      </w:tabs>
      <w:spacing w:before="260" w:after="260"/>
      <w:ind w:left="2520" w:hanging="360"/>
      <w:jc w:val="both"/>
    </w:pPr>
  </w:style>
  <w:style w:type="paragraph" w:customStyle="1" w:styleId="List123">
    <w:name w:val="List_1_2_3"/>
    <w:basedOn w:val="Normal"/>
    <w:pPr>
      <w:widowControl/>
      <w:numPr>
        <w:numId w:val="5"/>
      </w:numPr>
      <w:tabs>
        <w:tab w:val="clear" w:pos="1800"/>
        <w:tab w:val="left" w:pos="360"/>
      </w:tabs>
      <w:spacing w:before="260" w:after="260"/>
      <w:ind w:left="2160" w:hanging="360"/>
      <w:jc w:val="both"/>
    </w:pPr>
  </w:style>
  <w:style w:type="paragraph" w:customStyle="1" w:styleId="Listabc">
    <w:name w:val="List_a_b_c"/>
    <w:basedOn w:val="Normal"/>
    <w:pPr>
      <w:widowControl/>
      <w:numPr>
        <w:numId w:val="8"/>
      </w:numPr>
      <w:tabs>
        <w:tab w:val="clear" w:pos="1440"/>
        <w:tab w:val="left" w:pos="360"/>
      </w:tabs>
      <w:spacing w:before="260" w:after="260"/>
      <w:ind w:left="1800" w:hanging="360"/>
      <w:jc w:val="both"/>
    </w:pPr>
  </w:style>
  <w:style w:type="paragraph" w:customStyle="1" w:styleId="ListIndt2">
    <w:name w:val="ListIndt_2"/>
    <w:basedOn w:val="Normal"/>
    <w:pPr>
      <w:widowControl/>
      <w:ind w:left="1440"/>
      <w:jc w:val="both"/>
    </w:pPr>
  </w:style>
  <w:style w:type="paragraph" w:customStyle="1" w:styleId="ListIndt3">
    <w:name w:val="ListIndt_3"/>
    <w:basedOn w:val="Normal"/>
    <w:pPr>
      <w:widowControl/>
      <w:spacing w:before="260" w:after="260"/>
      <w:ind w:left="1800"/>
      <w:jc w:val="both"/>
    </w:pPr>
  </w:style>
  <w:style w:type="paragraph" w:customStyle="1" w:styleId="ListIndt4">
    <w:name w:val="ListIndt_4"/>
    <w:basedOn w:val="Normal"/>
    <w:pPr>
      <w:widowControl/>
      <w:spacing w:before="260" w:after="260"/>
      <w:ind w:left="2160"/>
      <w:jc w:val="both"/>
    </w:pPr>
  </w:style>
  <w:style w:type="paragraph" w:customStyle="1" w:styleId="ListTab0">
    <w:name w:val="ListTab_0"/>
    <w:basedOn w:val="Normal"/>
    <w:pPr>
      <w:widowControl/>
      <w:spacing w:before="260" w:after="260"/>
      <w:jc w:val="both"/>
    </w:pPr>
  </w:style>
  <w:style w:type="paragraph" w:customStyle="1" w:styleId="ListTab2">
    <w:name w:val="ListTab_2"/>
    <w:basedOn w:val="Normal"/>
    <w:pPr>
      <w:widowControl/>
      <w:spacing w:before="260" w:after="260"/>
      <w:ind w:firstLine="1440"/>
      <w:jc w:val="both"/>
    </w:pPr>
  </w:style>
  <w:style w:type="paragraph" w:customStyle="1" w:styleId="ListTab3">
    <w:name w:val="ListTab_3"/>
    <w:basedOn w:val="Normal"/>
    <w:pPr>
      <w:widowControl/>
      <w:spacing w:before="260" w:after="260"/>
      <w:ind w:firstLine="1800"/>
      <w:jc w:val="both"/>
    </w:pPr>
  </w:style>
  <w:style w:type="paragraph" w:customStyle="1" w:styleId="ListTab4">
    <w:name w:val="ListTab_4"/>
    <w:basedOn w:val="Normal"/>
    <w:pPr>
      <w:widowControl/>
      <w:spacing w:before="260" w:after="260"/>
      <w:ind w:firstLine="2160"/>
      <w:jc w:val="both"/>
    </w:pPr>
  </w:style>
  <w:style w:type="paragraph" w:customStyle="1" w:styleId="Note">
    <w:name w:val="Note"/>
    <w:pPr>
      <w:numPr>
        <w:numId w:val="9"/>
      </w:numPr>
      <w:spacing w:after="260"/>
      <w:ind w:firstLine="1800"/>
      <w:jc w:val="both"/>
    </w:pPr>
    <w:rPr>
      <w:i/>
      <w:sz w:val="22"/>
      <w:szCs w:val="24"/>
      <w:lang w:eastAsia="en-US"/>
    </w:rPr>
  </w:style>
  <w:style w:type="paragraph" w:customStyle="1" w:styleId="ParaIndt2">
    <w:name w:val="ParaIndt_2"/>
    <w:basedOn w:val="Normal"/>
    <w:pPr>
      <w:widowControl/>
      <w:ind w:left="1440"/>
      <w:jc w:val="both"/>
    </w:pPr>
  </w:style>
  <w:style w:type="paragraph" w:customStyle="1" w:styleId="ParaIndt3">
    <w:name w:val="ParaIndt_3"/>
    <w:basedOn w:val="Normal"/>
    <w:pPr>
      <w:widowControl/>
      <w:ind w:left="1800"/>
      <w:jc w:val="both"/>
    </w:pPr>
  </w:style>
  <w:style w:type="paragraph" w:customStyle="1" w:styleId="ParaIndt4">
    <w:name w:val="ParaIndt_4"/>
    <w:basedOn w:val="Normal"/>
    <w:pPr>
      <w:widowControl/>
      <w:ind w:left="2160"/>
      <w:jc w:val="both"/>
    </w:pPr>
  </w:style>
  <w:style w:type="paragraph" w:customStyle="1" w:styleId="ParaTab0">
    <w:name w:val="ParaTab_0"/>
    <w:basedOn w:val="Normal"/>
    <w:pPr>
      <w:widowControl/>
      <w:jc w:val="both"/>
    </w:pPr>
  </w:style>
  <w:style w:type="paragraph" w:customStyle="1" w:styleId="ParaTab2">
    <w:name w:val="ParaTab_2"/>
    <w:basedOn w:val="Normal"/>
    <w:pPr>
      <w:widowControl/>
      <w:ind w:firstLine="1440"/>
      <w:jc w:val="both"/>
    </w:pPr>
  </w:style>
  <w:style w:type="paragraph" w:customStyle="1" w:styleId="ParaTab3">
    <w:name w:val="ParaTab_3"/>
    <w:basedOn w:val="Normal"/>
    <w:pPr>
      <w:widowControl/>
      <w:ind w:firstLine="1800"/>
      <w:jc w:val="both"/>
    </w:pPr>
  </w:style>
  <w:style w:type="paragraph" w:customStyle="1" w:styleId="ParaTab4">
    <w:name w:val="ParaTab_4"/>
    <w:basedOn w:val="Normal"/>
    <w:pPr>
      <w:widowControl/>
      <w:ind w:firstLine="2160"/>
      <w:jc w:val="both"/>
    </w:pPr>
  </w:style>
  <w:style w:type="paragraph" w:customStyle="1" w:styleId="1Heading">
    <w:name w:val="1Heading"/>
    <w:basedOn w:val="TOC1"/>
    <w:next w:val="2Para"/>
    <w:pPr>
      <w:widowControl/>
      <w:numPr>
        <w:numId w:val="11"/>
      </w:numPr>
      <w:autoSpaceDE/>
      <w:autoSpaceDN/>
      <w:adjustRightInd/>
      <w:spacing w:before="520" w:after="260"/>
      <w:ind w:right="2880"/>
      <w:jc w:val="both"/>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after="260"/>
      <w:ind w:right="2880"/>
      <w:jc w:val="both"/>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jc w:val="both"/>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lang w:val="en-US" w:eastAsia="en-US"/>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link w:val="BalloonTextChar"/>
    <w:uiPriority w:val="99"/>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jc w:val="both"/>
    </w:pPr>
  </w:style>
  <w:style w:type="paragraph" w:customStyle="1" w:styleId="ParaTab1">
    <w:name w:val="ParaTab_1"/>
    <w:basedOn w:val="Normal"/>
    <w:pPr>
      <w:ind w:firstLine="720"/>
      <w:jc w:val="both"/>
    </w:pPr>
  </w:style>
  <w:style w:type="paragraph" w:customStyle="1" w:styleId="ListV">
    <w:name w:val="List_V"/>
    <w:basedOn w:val="Normal"/>
    <w:pPr>
      <w:widowControl/>
      <w:numPr>
        <w:numId w:val="10"/>
      </w:numPr>
      <w:jc w:val="both"/>
    </w:pPr>
  </w:style>
  <w:style w:type="paragraph" w:customStyle="1" w:styleId="enumlev1">
    <w:name w:val="enumlev1"/>
    <w:basedOn w:val="Normal"/>
    <w:rsid w:val="00260E6D"/>
    <w:pPr>
      <w:widowControl/>
      <w:tabs>
        <w:tab w:val="left" w:pos="1134"/>
        <w:tab w:val="left" w:pos="1871"/>
        <w:tab w:val="left" w:pos="2608"/>
        <w:tab w:val="left" w:pos="3345"/>
      </w:tabs>
      <w:overflowPunct w:val="0"/>
      <w:spacing w:before="80"/>
      <w:ind w:left="1134" w:hanging="1134"/>
      <w:textAlignment w:val="baseline"/>
    </w:pPr>
    <w:rPr>
      <w:sz w:val="24"/>
      <w:szCs w:val="20"/>
    </w:rPr>
  </w:style>
  <w:style w:type="paragraph" w:customStyle="1" w:styleId="Headingb">
    <w:name w:val="Heading_b"/>
    <w:basedOn w:val="Normal"/>
    <w:next w:val="Normal"/>
    <w:link w:val="HeadingbChar"/>
    <w:rsid w:val="00260E6D"/>
    <w:pPr>
      <w:keepNext/>
      <w:widowControl/>
      <w:tabs>
        <w:tab w:val="left" w:pos="1134"/>
        <w:tab w:val="left" w:pos="1871"/>
        <w:tab w:val="left" w:pos="2268"/>
      </w:tabs>
      <w:overflowPunct w:val="0"/>
      <w:spacing w:before="160"/>
      <w:textAlignment w:val="baseline"/>
    </w:pPr>
    <w:rPr>
      <w:rFonts w:ascii="Times" w:hAnsi="Times"/>
      <w:b/>
      <w:sz w:val="24"/>
      <w:szCs w:val="20"/>
    </w:rPr>
  </w:style>
  <w:style w:type="paragraph" w:customStyle="1" w:styleId="Annextitle">
    <w:name w:val="Annex_title"/>
    <w:basedOn w:val="Normal"/>
    <w:next w:val="Normal"/>
    <w:rsid w:val="00260E6D"/>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character" w:customStyle="1" w:styleId="HeadingbChar">
    <w:name w:val="Heading_b Char"/>
    <w:link w:val="Headingb"/>
    <w:locked/>
    <w:rsid w:val="00260E6D"/>
    <w:rPr>
      <w:rFonts w:ascii="Times" w:hAnsi="Times"/>
      <w:b/>
      <w:sz w:val="24"/>
      <w:lang w:eastAsia="en-US"/>
    </w:rPr>
  </w:style>
  <w:style w:type="paragraph" w:customStyle="1" w:styleId="enumlev2">
    <w:name w:val="enumlev2"/>
    <w:basedOn w:val="enumlev1"/>
    <w:rsid w:val="00D85120"/>
    <w:pPr>
      <w:ind w:left="1871" w:hanging="737"/>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85120"/>
    <w:pPr>
      <w:keepLines/>
      <w:widowControl/>
      <w:tabs>
        <w:tab w:val="left" w:pos="255"/>
        <w:tab w:val="left" w:pos="1134"/>
        <w:tab w:val="left" w:pos="1871"/>
        <w:tab w:val="left" w:pos="2268"/>
      </w:tabs>
      <w:overflowPunct w:val="0"/>
      <w:spacing w:before="120"/>
      <w:textAlignment w:val="baseline"/>
    </w:pPr>
    <w:rPr>
      <w:sz w:val="24"/>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rsid w:val="00D85120"/>
    <w:rPr>
      <w:sz w:val="24"/>
      <w:lang w:eastAsia="en-US"/>
    </w:rPr>
  </w:style>
  <w:style w:type="paragraph" w:customStyle="1" w:styleId="PositionBox">
    <w:name w:val="PositionBox"/>
    <w:basedOn w:val="Normal"/>
    <w:next w:val="Normal"/>
    <w:rsid w:val="006D6392"/>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styleId="ListParagraph">
    <w:name w:val="List Paragraph"/>
    <w:basedOn w:val="Normal"/>
    <w:uiPriority w:val="34"/>
    <w:qFormat/>
    <w:rsid w:val="00AB166F"/>
    <w:pPr>
      <w:widowControl/>
      <w:autoSpaceDE/>
      <w:autoSpaceDN/>
      <w:adjustRightInd/>
      <w:spacing w:after="160" w:line="259" w:lineRule="auto"/>
      <w:ind w:left="720"/>
      <w:contextualSpacing/>
    </w:pPr>
    <w:rPr>
      <w:rFonts w:asciiTheme="minorHAnsi" w:eastAsiaTheme="minorHAnsi" w:hAnsiTheme="minorHAnsi" w:cstheme="minorBidi"/>
      <w:szCs w:val="22"/>
    </w:rPr>
  </w:style>
  <w:style w:type="character" w:customStyle="1" w:styleId="BalloonTextChar">
    <w:name w:val="Balloon Text Char"/>
    <w:basedOn w:val="DefaultParagraphFont"/>
    <w:link w:val="BalloonText"/>
    <w:uiPriority w:val="99"/>
    <w:semiHidden/>
    <w:rsid w:val="00AB166F"/>
    <w:rPr>
      <w:rFonts w:ascii="Tahoma" w:hAnsi="Tahoma" w:cs="Tahoma"/>
      <w:sz w:val="16"/>
      <w:szCs w:val="16"/>
      <w:lang w:eastAsia="en-US"/>
    </w:rPr>
  </w:style>
  <w:style w:type="paragraph" w:customStyle="1" w:styleId="Maintitle">
    <w:name w:val="Main title"/>
    <w:basedOn w:val="Normal"/>
    <w:rsid w:val="00692DEA"/>
    <w:pPr>
      <w:widowControl/>
      <w:autoSpaceDE/>
      <w:autoSpaceDN/>
      <w:adjustRightInd/>
      <w:ind w:left="1080" w:right="1080"/>
      <w:jc w:val="center"/>
    </w:pPr>
    <w:rPr>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Program%20Files\Default%20Company%20Name\ICAOMainMenuSetup\Icons\icao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AO-DPS\ICAOMainMenuSetup\Templates\Working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306BF8-4A78-4DA7-A2C8-98966762DF96}"/>
</file>

<file path=customXml/itemProps2.xml><?xml version="1.0" encoding="utf-8"?>
<ds:datastoreItem xmlns:ds="http://schemas.openxmlformats.org/officeDocument/2006/customXml" ds:itemID="{DE763B8A-31D9-424E-9C4D-0C2458FE7C0C}"/>
</file>

<file path=customXml/itemProps3.xml><?xml version="1.0" encoding="utf-8"?>
<ds:datastoreItem xmlns:ds="http://schemas.openxmlformats.org/officeDocument/2006/customXml" ds:itemID="{952571B8-C3AD-4E8C-A185-0297F9C6C741}"/>
</file>

<file path=customXml/itemProps4.xml><?xml version="1.0" encoding="utf-8"?>
<ds:datastoreItem xmlns:ds="http://schemas.openxmlformats.org/officeDocument/2006/customXml" ds:itemID="{FD856CD5-DEEB-427A-9A0A-85CB07CCDBAC}"/>
</file>

<file path=customXml/itemProps5.xml><?xml version="1.0" encoding="utf-8"?>
<ds:datastoreItem xmlns:ds="http://schemas.openxmlformats.org/officeDocument/2006/customXml" ds:itemID="{66B25477-BE6D-4CD1-B913-B5050E6CB0FA}"/>
</file>

<file path=docProps/app.xml><?xml version="1.0" encoding="utf-8"?>
<Properties xmlns="http://schemas.openxmlformats.org/officeDocument/2006/extended-properties" xmlns:vt="http://schemas.openxmlformats.org/officeDocument/2006/docPropsVTypes">
  <Template>WorkingPaper.dot</Template>
  <TotalTime>132</TotalTime>
  <Pages>4</Pages>
  <Words>1323</Words>
  <Characters>6722</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Update of ICAO Position for WRC-15 to support a future agenda item for ADS-B via satellite to support air traffic services</vt:lpstr>
    </vt:vector>
  </TitlesOfParts>
  <Company>CAA</Company>
  <LinksUpToDate>false</LinksUpToDate>
  <CharactersWithSpaces>8035</CharactersWithSpaces>
  <SharedDoc>false</SharedDoc>
  <HLinks>
    <vt:vector size="6" baseType="variant">
      <vt:variant>
        <vt:i4>393334</vt:i4>
      </vt:variant>
      <vt:variant>
        <vt:i4>2167</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of ICAO Position for WRC-15 to support a future agenda item for ADS-B via satellite to support air traffic services</dc:title>
  <dc:subject/>
  <dc:creator>ICAO</dc:creator>
  <cp:keywords/>
  <cp:lastModifiedBy>Loftur Jonasson</cp:lastModifiedBy>
  <cp:revision>6</cp:revision>
  <cp:lastPrinted>2015-08-15T07:45:00Z</cp:lastPrinted>
  <dcterms:created xsi:type="dcterms:W3CDTF">2015-08-18T22:02:00Z</dcterms:created>
  <dcterms:modified xsi:type="dcterms:W3CDTF">2015-08-20T15:24:00Z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ACP-WGW</vt:lpwstr>
  </property>
  <property fmtid="{D5CDD505-2E9C-101B-9397-08002B2CF9AE}" pid="3" name="SessionNum">
    <vt:lpwstr>01</vt:lpwstr>
  </property>
  <property fmtid="{D5CDD505-2E9C-101B-9397-08002B2CF9AE}" pid="4" name="DocCatAbbre">
    <vt:lpwstr>WP</vt:lpwstr>
  </property>
  <property fmtid="{D5CDD505-2E9C-101B-9397-08002B2CF9AE}" pid="5" name="AgendaItems">
    <vt:lpwstr>xx</vt:lpwstr>
  </property>
  <property fmtid="{D5CDD505-2E9C-101B-9397-08002B2CF9AE}" pid="6" name="DocNo">
    <vt:lpwstr>01</vt:lpwstr>
  </property>
  <property fmtid="{D5CDD505-2E9C-101B-9397-08002B2CF9AE}" pid="7" name="AddendumCorrigAppendix">
    <vt:lpwstr/>
  </property>
  <property fmtid="{D5CDD505-2E9C-101B-9397-08002B2CF9AE}" pid="8" name="Date completed">
    <vt:lpwstr>07/06/05</vt:lpwstr>
  </property>
  <property fmtid="{D5CDD505-2E9C-101B-9397-08002B2CF9AE}" pid="9" name="name1">
    <vt:lpwstr>https://authoring2010.icao.int/safety/acp/repository/ACP-WP-Template.doc</vt:lpwstr>
  </property>
  <property fmtid="{D5CDD505-2E9C-101B-9397-08002B2CF9AE}" pid="10" name="Order">
    <vt:lpwstr>3300.00000000000</vt:lpwstr>
  </property>
  <property fmtid="{D5CDD505-2E9C-101B-9397-08002B2CF9AE}" pid="11" name="name2">
    <vt:lpwstr>ACP-WP-Template.doc</vt:lpwstr>
  </property>
  <property fmtid="{D5CDD505-2E9C-101B-9397-08002B2CF9AE}" pid="12" name="Ref">
    <vt:lpwstr>WP TEMPLATE</vt:lpwstr>
  </property>
  <property fmtid="{D5CDD505-2E9C-101B-9397-08002B2CF9AE}" pid="13" name="belongsto">
    <vt:lpwstr>Templates</vt:lpwstr>
  </property>
  <property fmtid="{D5CDD505-2E9C-101B-9397-08002B2CF9AE}" pid="14" name="Order0">
    <vt:lpwstr>3.00000000000000</vt:lpwstr>
  </property>
  <property fmtid="{D5CDD505-2E9C-101B-9397-08002B2CF9AE}" pid="15" name="ContentTypeId">
    <vt:lpwstr>0x010100B372B09A9A77C4438999FF1325BEF759</vt:lpwstr>
  </property>
</Properties>
</file>