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E5BEA" w14:textId="77777777" w:rsidR="00C32F4A" w:rsidRPr="00E80B8E" w:rsidRDefault="00C32F4A" w:rsidP="00C32F4A">
      <w:pPr>
        <w:jc w:val="center"/>
        <w:rPr>
          <w:b/>
          <w:lang w:val="en-US"/>
        </w:rPr>
      </w:pPr>
      <w:r w:rsidRPr="00E80B8E">
        <w:rPr>
          <w:b/>
          <w:lang w:val="en-US"/>
        </w:rPr>
        <w:t>FREQUENCY SPECTRUM MANAGEMENT PANEL (FSMP)</w:t>
      </w:r>
    </w:p>
    <w:p w14:paraId="619905D5" w14:textId="77777777" w:rsidR="00C32F4A" w:rsidRPr="00E80B8E" w:rsidRDefault="00C32F4A" w:rsidP="00C32F4A">
      <w:pPr>
        <w:tabs>
          <w:tab w:val="left" w:pos="6972"/>
        </w:tabs>
        <w:jc w:val="center"/>
        <w:rPr>
          <w:b/>
          <w:lang w:val="en-US"/>
        </w:rPr>
      </w:pPr>
    </w:p>
    <w:p w14:paraId="4681B6D0" w14:textId="77777777" w:rsidR="00FC389A" w:rsidRPr="00E80B8E" w:rsidRDefault="0020272F" w:rsidP="00FC389A">
      <w:pPr>
        <w:widowControl w:val="0"/>
        <w:autoSpaceDE w:val="0"/>
        <w:autoSpaceDN w:val="0"/>
        <w:adjustRightInd w:val="0"/>
        <w:ind w:right="4"/>
        <w:jc w:val="center"/>
        <w:rPr>
          <w:rFonts w:eastAsia="SimSun"/>
          <w:b/>
          <w:caps/>
          <w:szCs w:val="24"/>
          <w:lang w:val="en-US"/>
        </w:rPr>
      </w:pPr>
      <w:r w:rsidRPr="00E80B8E">
        <w:rPr>
          <w:rFonts w:eastAsia="SimSun"/>
          <w:b/>
          <w:szCs w:val="24"/>
          <w:lang w:val="en-US"/>
        </w:rPr>
        <w:t>Nineteenth</w:t>
      </w:r>
      <w:r w:rsidR="00FC389A" w:rsidRPr="00E80B8E">
        <w:rPr>
          <w:rFonts w:eastAsia="SimSun"/>
          <w:b/>
          <w:szCs w:val="24"/>
          <w:lang w:val="en-US"/>
        </w:rPr>
        <w:t xml:space="preserve"> Working Group Meeting </w:t>
      </w:r>
    </w:p>
    <w:p w14:paraId="794F1BC1" w14:textId="77777777" w:rsidR="0009326E" w:rsidRPr="00E80B8E" w:rsidRDefault="0009326E" w:rsidP="0009326E">
      <w:pPr>
        <w:pStyle w:val="Maintitle"/>
        <w:rPr>
          <w:lang w:val="en-US"/>
        </w:rPr>
      </w:pPr>
    </w:p>
    <w:p w14:paraId="6AE8C547" w14:textId="77777777" w:rsidR="0009326E" w:rsidRPr="00E80B8E" w:rsidRDefault="0020272F" w:rsidP="0009326E">
      <w:pPr>
        <w:pStyle w:val="Maintitle"/>
        <w:rPr>
          <w:lang w:val="en-US"/>
        </w:rPr>
      </w:pPr>
      <w:r w:rsidRPr="00E80B8E">
        <w:rPr>
          <w:lang w:val="en-US"/>
        </w:rPr>
        <w:t>Montréal, Canada, 15</w:t>
      </w:r>
      <w:r w:rsidR="0009326E" w:rsidRPr="00E80B8E">
        <w:rPr>
          <w:lang w:val="en-US"/>
        </w:rPr>
        <w:t xml:space="preserve"> to </w:t>
      </w:r>
      <w:r w:rsidRPr="00E80B8E">
        <w:rPr>
          <w:lang w:val="en-US"/>
        </w:rPr>
        <w:t>2</w:t>
      </w:r>
      <w:r w:rsidR="0009326E" w:rsidRPr="00E80B8E">
        <w:rPr>
          <w:lang w:val="en-US"/>
        </w:rPr>
        <w:t xml:space="preserve">6 </w:t>
      </w:r>
      <w:r w:rsidRPr="00E80B8E">
        <w:rPr>
          <w:lang w:val="en-US"/>
        </w:rPr>
        <w:t xml:space="preserve">July </w:t>
      </w:r>
      <w:r w:rsidR="0009326E" w:rsidRPr="00E80B8E">
        <w:rPr>
          <w:lang w:val="en-US"/>
        </w:rPr>
        <w:t>2024</w:t>
      </w:r>
    </w:p>
    <w:p w14:paraId="7EE532E5" w14:textId="77777777" w:rsidR="00770160" w:rsidRPr="00E80B8E" w:rsidRDefault="00770160">
      <w:pPr>
        <w:tabs>
          <w:tab w:val="left" w:pos="0"/>
          <w:tab w:val="left" w:pos="1570"/>
          <w:tab w:val="left" w:pos="1857"/>
        </w:tabs>
        <w:rPr>
          <w:lang w:val="en-US"/>
        </w:rPr>
      </w:pPr>
    </w:p>
    <w:p w14:paraId="39DE7001" w14:textId="77777777" w:rsidR="0020272F" w:rsidRPr="00E80B8E" w:rsidRDefault="0020272F">
      <w:pPr>
        <w:tabs>
          <w:tab w:val="left" w:pos="0"/>
          <w:tab w:val="left" w:pos="1570"/>
          <w:tab w:val="left" w:pos="1857"/>
        </w:tabs>
        <w:rPr>
          <w:lang w:val="en-US"/>
        </w:rPr>
      </w:pPr>
    </w:p>
    <w:p w14:paraId="257BB719" w14:textId="77777777" w:rsidR="00770160" w:rsidRPr="00E80B8E" w:rsidRDefault="00770160">
      <w:pPr>
        <w:pStyle w:val="Agendaitemtitle"/>
        <w:rPr>
          <w:lang w:val="en-US"/>
        </w:rPr>
      </w:pPr>
      <w:r w:rsidRPr="00E80B8E">
        <w:rPr>
          <w:lang w:val="en-US"/>
        </w:rPr>
        <w:t>Agenda Item </w:t>
      </w:r>
      <w:r w:rsidR="00E31A7F" w:rsidRPr="00E80B8E">
        <w:rPr>
          <w:lang w:val="en-US"/>
        </w:rPr>
        <w:t>5c</w:t>
      </w:r>
      <w:r w:rsidRPr="00E80B8E">
        <w:rPr>
          <w:lang w:val="en-US"/>
        </w:rPr>
        <w:t>:</w:t>
      </w:r>
      <w:r w:rsidRPr="00E80B8E">
        <w:rPr>
          <w:lang w:val="en-US"/>
        </w:rPr>
        <w:tab/>
      </w:r>
      <w:r w:rsidR="00E31A7F" w:rsidRPr="00E80B8E">
        <w:rPr>
          <w:lang w:val="en-US"/>
        </w:rPr>
        <w:t xml:space="preserve"> Aeronautical band planning – 5000 – 5150 MHz</w:t>
      </w:r>
    </w:p>
    <w:p w14:paraId="162C00AB" w14:textId="77777777" w:rsidR="00770160" w:rsidRPr="00E80B8E" w:rsidRDefault="00770160">
      <w:pPr>
        <w:pStyle w:val="Agendaitemtitle"/>
        <w:rPr>
          <w:b w:val="0"/>
          <w:lang w:val="en-US"/>
        </w:rPr>
      </w:pPr>
    </w:p>
    <w:p w14:paraId="312257A5" w14:textId="77777777" w:rsidR="00770160" w:rsidRPr="00E80B8E" w:rsidRDefault="00770160">
      <w:pPr>
        <w:tabs>
          <w:tab w:val="left" w:pos="6972"/>
        </w:tabs>
        <w:rPr>
          <w:b/>
          <w:lang w:val="en-US"/>
        </w:rPr>
      </w:pPr>
    </w:p>
    <w:p w14:paraId="0D891F46" w14:textId="179D0552" w:rsidR="00770160" w:rsidRPr="00E80B8E" w:rsidRDefault="008C2E2D">
      <w:pPr>
        <w:pStyle w:val="Maintitle"/>
        <w:rPr>
          <w:lang w:val="en-US"/>
        </w:rPr>
      </w:pPr>
      <w:r>
        <w:rPr>
          <w:lang w:val="en-US"/>
        </w:rPr>
        <w:t xml:space="preserve">Proposal </w:t>
      </w:r>
      <w:r w:rsidR="00E80B8E" w:rsidRPr="00E80B8E">
        <w:rPr>
          <w:lang w:val="en-US"/>
        </w:rPr>
        <w:t xml:space="preserve">of the </w:t>
      </w:r>
      <w:r>
        <w:rPr>
          <w:lang w:val="en-US"/>
        </w:rPr>
        <w:t xml:space="preserve">use of </w:t>
      </w:r>
      <w:r w:rsidR="00E80B8E" w:rsidRPr="00E80B8E">
        <w:rPr>
          <w:lang w:val="en-US"/>
        </w:rPr>
        <w:t>5030 – 5091 MHz frequency band</w:t>
      </w:r>
      <w:r>
        <w:rPr>
          <w:lang w:val="en-US"/>
        </w:rPr>
        <w:t xml:space="preserve"> for C2 links</w:t>
      </w:r>
      <w:r w:rsidR="00E80B8E" w:rsidRPr="00E80B8E">
        <w:rPr>
          <w:lang w:val="en-US"/>
        </w:rPr>
        <w:t xml:space="preserve"> </w:t>
      </w:r>
    </w:p>
    <w:p w14:paraId="60817B19" w14:textId="77777777" w:rsidR="00770160" w:rsidRPr="00E80B8E" w:rsidRDefault="00770160">
      <w:pPr>
        <w:tabs>
          <w:tab w:val="left" w:pos="6972"/>
        </w:tabs>
        <w:rPr>
          <w:lang w:val="en-US"/>
        </w:rPr>
      </w:pPr>
    </w:p>
    <w:p w14:paraId="625C5089" w14:textId="77777777" w:rsidR="00770160" w:rsidRPr="00E80B8E" w:rsidRDefault="00770160">
      <w:pPr>
        <w:tabs>
          <w:tab w:val="left" w:pos="6972"/>
        </w:tabs>
        <w:rPr>
          <w:lang w:val="en-US"/>
        </w:rPr>
      </w:pPr>
    </w:p>
    <w:p w14:paraId="0A8A8B8A" w14:textId="7DE1D6E1" w:rsidR="00770160" w:rsidRPr="00E80B8E" w:rsidRDefault="00770160">
      <w:pPr>
        <w:jc w:val="center"/>
        <w:rPr>
          <w:lang w:val="en-US"/>
        </w:rPr>
      </w:pPr>
      <w:r w:rsidRPr="00E80B8E">
        <w:rPr>
          <w:lang w:val="en-US"/>
        </w:rPr>
        <w:t>(Presented by</w:t>
      </w:r>
      <w:bookmarkStart w:id="0" w:name="presented_by"/>
      <w:bookmarkEnd w:id="0"/>
      <w:r w:rsidRPr="00E80B8E">
        <w:rPr>
          <w:lang w:val="en-US"/>
        </w:rPr>
        <w:t xml:space="preserve"> </w:t>
      </w:r>
      <w:r w:rsidR="00412BA8">
        <w:rPr>
          <w:lang w:val="en-US"/>
        </w:rPr>
        <w:t>Guillaume Novella</w:t>
      </w:r>
      <w:r w:rsidRPr="00E80B8E">
        <w:rPr>
          <w:lang w:val="en-US"/>
        </w:rPr>
        <w:t>)</w:t>
      </w:r>
    </w:p>
    <w:p w14:paraId="0017D29A" w14:textId="77777777" w:rsidR="00770160" w:rsidRPr="00E80B8E" w:rsidRDefault="00770160">
      <w:pPr>
        <w:rPr>
          <w:lang w:val="en-US"/>
        </w:rPr>
      </w:pPr>
    </w:p>
    <w:p w14:paraId="2CF70A87" w14:textId="77777777" w:rsidR="00770160" w:rsidRPr="00E80B8E" w:rsidRDefault="00770160">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E80B8E" w14:paraId="05F3F65F" w14:textId="77777777">
        <w:trPr>
          <w:cantSplit/>
          <w:trHeight w:hRule="exact" w:val="480"/>
          <w:jc w:val="center"/>
        </w:trPr>
        <w:tc>
          <w:tcPr>
            <w:tcW w:w="7200" w:type="dxa"/>
            <w:vAlign w:val="center"/>
          </w:tcPr>
          <w:p w14:paraId="1C5BB9CF" w14:textId="77777777" w:rsidR="00770160" w:rsidRPr="00E80B8E" w:rsidRDefault="00770160">
            <w:pPr>
              <w:jc w:val="center"/>
              <w:rPr>
                <w:sz w:val="24"/>
                <w:lang w:val="en-US"/>
              </w:rPr>
            </w:pPr>
            <w:r w:rsidRPr="00E80B8E">
              <w:rPr>
                <w:b/>
                <w:lang w:val="en-US"/>
              </w:rPr>
              <w:t>SUMMARY</w:t>
            </w:r>
          </w:p>
        </w:tc>
      </w:tr>
      <w:tr w:rsidR="00770160" w:rsidRPr="00E80B8E" w14:paraId="45CDDE06" w14:textId="77777777">
        <w:trPr>
          <w:cantSplit/>
          <w:jc w:val="center"/>
        </w:trPr>
        <w:tc>
          <w:tcPr>
            <w:tcW w:w="7200" w:type="dxa"/>
          </w:tcPr>
          <w:p w14:paraId="7B3F4884" w14:textId="6293C5C9" w:rsidR="00770160" w:rsidRPr="00E80B8E" w:rsidRDefault="00E80B8E">
            <w:pPr>
              <w:rPr>
                <w:lang w:val="en-US"/>
              </w:rPr>
            </w:pPr>
            <w:r>
              <w:rPr>
                <w:lang w:val="en-US"/>
              </w:rPr>
              <w:t xml:space="preserve">This working paper introduces preliminary elements to be </w:t>
            </w:r>
            <w:proofErr w:type="gramStart"/>
            <w:r>
              <w:rPr>
                <w:lang w:val="en-US"/>
              </w:rPr>
              <w:t>taken into account</w:t>
            </w:r>
            <w:proofErr w:type="gramEnd"/>
            <w:r>
              <w:rPr>
                <w:lang w:val="en-US"/>
              </w:rPr>
              <w:t xml:space="preserve"> for </w:t>
            </w:r>
            <w:r w:rsidR="002F10C6">
              <w:rPr>
                <w:lang w:val="en-US"/>
              </w:rPr>
              <w:t>initiating the</w:t>
            </w:r>
            <w:r>
              <w:rPr>
                <w:lang w:val="en-US"/>
              </w:rPr>
              <w:t xml:space="preserve"> use of the frequency band 5030 – 5091 MHz </w:t>
            </w:r>
            <w:r w:rsidR="002F10C6">
              <w:rPr>
                <w:lang w:val="en-US"/>
              </w:rPr>
              <w:t>for control and command (C2) links</w:t>
            </w:r>
            <w:r w:rsidRPr="002F10C6">
              <w:rPr>
                <w:lang w:val="en-US"/>
              </w:rPr>
              <w:t>.</w:t>
            </w:r>
            <w:r>
              <w:rPr>
                <w:lang w:val="en-US"/>
              </w:rPr>
              <w:t xml:space="preserve"> </w:t>
            </w:r>
            <w:r w:rsidR="00770160" w:rsidRPr="00E80B8E">
              <w:rPr>
                <w:lang w:val="en-US"/>
              </w:rPr>
              <w:t xml:space="preserve"> </w:t>
            </w:r>
          </w:p>
        </w:tc>
      </w:tr>
    </w:tbl>
    <w:p w14:paraId="05CB5F94" w14:textId="77777777" w:rsidR="00770160" w:rsidRPr="00E80B8E" w:rsidRDefault="00770160">
      <w:pPr>
        <w:rPr>
          <w:lang w:val="en-US"/>
        </w:rPr>
      </w:pPr>
    </w:p>
    <w:p w14:paraId="661E6A9C" w14:textId="77777777" w:rsidR="00770160" w:rsidRPr="00E80B8E" w:rsidRDefault="00770160">
      <w:pPr>
        <w:rPr>
          <w:lang w:val="en-US"/>
        </w:rPr>
      </w:pPr>
    </w:p>
    <w:p w14:paraId="37ECC534" w14:textId="77777777" w:rsidR="00770160" w:rsidRPr="00E80B8E" w:rsidRDefault="00770160">
      <w:pPr>
        <w:pStyle w:val="1Heading"/>
        <w:rPr>
          <w:lang w:val="en-US"/>
        </w:rPr>
      </w:pPr>
      <w:r w:rsidRPr="00E80B8E">
        <w:rPr>
          <w:lang w:val="en-US"/>
        </w:rPr>
        <w:t>INTRODUCTION</w:t>
      </w:r>
    </w:p>
    <w:p w14:paraId="11563043" w14:textId="73EB386F" w:rsidR="00770160" w:rsidRDefault="002F10C6">
      <w:pPr>
        <w:pStyle w:val="2para"/>
        <w:rPr>
          <w:lang w:val="en-US"/>
        </w:rPr>
      </w:pPr>
      <w:r>
        <w:rPr>
          <w:lang w:val="en-US"/>
        </w:rPr>
        <w:t xml:space="preserve">First version of the </w:t>
      </w:r>
      <w:r w:rsidR="00406090">
        <w:rPr>
          <w:lang w:val="en-US"/>
        </w:rPr>
        <w:t xml:space="preserve">RPAS SARPs </w:t>
      </w:r>
      <w:r>
        <w:rPr>
          <w:lang w:val="en-US"/>
        </w:rPr>
        <w:t xml:space="preserve">has </w:t>
      </w:r>
      <w:r w:rsidR="00406090">
        <w:rPr>
          <w:lang w:val="en-US"/>
        </w:rPr>
        <w:t>be</w:t>
      </w:r>
      <w:r>
        <w:rPr>
          <w:lang w:val="en-US"/>
        </w:rPr>
        <w:t>en</w:t>
      </w:r>
      <w:r w:rsidR="00406090">
        <w:rPr>
          <w:lang w:val="en-US"/>
        </w:rPr>
        <w:t xml:space="preserve"> </w:t>
      </w:r>
      <w:r>
        <w:rPr>
          <w:lang w:val="en-US"/>
        </w:rPr>
        <w:t xml:space="preserve">submitted to </w:t>
      </w:r>
      <w:r w:rsidR="008C2E2D">
        <w:rPr>
          <w:lang w:val="en-US"/>
        </w:rPr>
        <w:t>RPAS plenary</w:t>
      </w:r>
      <w:r>
        <w:rPr>
          <w:lang w:val="en-US"/>
        </w:rPr>
        <w:t xml:space="preserve"> for </w:t>
      </w:r>
      <w:r w:rsidR="00406090">
        <w:rPr>
          <w:lang w:val="en-US"/>
        </w:rPr>
        <w:t>finaliz</w:t>
      </w:r>
      <w:r>
        <w:rPr>
          <w:lang w:val="en-US"/>
        </w:rPr>
        <w:t>ation</w:t>
      </w:r>
      <w:r w:rsidR="008C2E2D">
        <w:rPr>
          <w:lang w:val="en-US"/>
        </w:rPr>
        <w:t xml:space="preserve"> </w:t>
      </w:r>
      <w:proofErr w:type="gramStart"/>
      <w:r w:rsidR="008C2E2D">
        <w:rPr>
          <w:lang w:val="en-US"/>
        </w:rPr>
        <w:t>in order to</w:t>
      </w:r>
      <w:proofErr w:type="gramEnd"/>
      <w:r w:rsidR="008C2E2D">
        <w:rPr>
          <w:lang w:val="en-US"/>
        </w:rPr>
        <w:t xml:space="preserve"> be submitted to ANC</w:t>
      </w:r>
      <w:r w:rsidR="00406090">
        <w:rPr>
          <w:lang w:val="en-US"/>
        </w:rPr>
        <w:t xml:space="preserve">. RPAS Panel is </w:t>
      </w:r>
      <w:r w:rsidR="00412BA8">
        <w:rPr>
          <w:lang w:val="en-US"/>
        </w:rPr>
        <w:t xml:space="preserve">now </w:t>
      </w:r>
      <w:r w:rsidR="00406090">
        <w:rPr>
          <w:lang w:val="en-US"/>
        </w:rPr>
        <w:t xml:space="preserve">working on a C2 Link manual which identifies 3 </w:t>
      </w:r>
      <w:r>
        <w:rPr>
          <w:lang w:val="en-US"/>
        </w:rPr>
        <w:t xml:space="preserve">types of </w:t>
      </w:r>
      <w:r w:rsidR="00406090">
        <w:rPr>
          <w:lang w:val="en-US"/>
        </w:rPr>
        <w:t>C2 Link systems operating in the same 5030 – 5091 MHz frequency band: ground-based C2 Link, airborne relay C2 Link and satellite-based C2 Link.</w:t>
      </w:r>
      <w:r w:rsidR="000908F0">
        <w:rPr>
          <w:lang w:val="en-US"/>
        </w:rPr>
        <w:t xml:space="preserve"> The coexistence between these different solutions is</w:t>
      </w:r>
      <w:r w:rsidR="00A279A1">
        <w:rPr>
          <w:lang w:val="en-US"/>
        </w:rPr>
        <w:t xml:space="preserve"> </w:t>
      </w:r>
      <w:r w:rsidR="00A279A1">
        <w:rPr>
          <w:color w:val="000000"/>
          <w:szCs w:val="22"/>
        </w:rPr>
        <w:t>currently</w:t>
      </w:r>
      <w:r w:rsidR="000908F0">
        <w:rPr>
          <w:lang w:val="en-US"/>
        </w:rPr>
        <w:t xml:space="preserve"> investigated </w:t>
      </w:r>
      <w:r w:rsidR="00A279A1">
        <w:t xml:space="preserve">by </w:t>
      </w:r>
      <w:proofErr w:type="spellStart"/>
      <w:r w:rsidR="00A279A1">
        <w:rPr>
          <w:color w:val="000000"/>
          <w:szCs w:val="22"/>
        </w:rPr>
        <w:t>Eurocae</w:t>
      </w:r>
      <w:proofErr w:type="spellEnd"/>
      <w:r w:rsidR="00412BA8">
        <w:rPr>
          <w:color w:val="000000"/>
          <w:szCs w:val="22"/>
        </w:rPr>
        <w:t xml:space="preserve"> and </w:t>
      </w:r>
      <w:r w:rsidR="00A279A1">
        <w:rPr>
          <w:color w:val="000000"/>
          <w:szCs w:val="22"/>
        </w:rPr>
        <w:t>RTCA group</w:t>
      </w:r>
      <w:r w:rsidR="00412BA8">
        <w:rPr>
          <w:color w:val="000000"/>
          <w:szCs w:val="22"/>
        </w:rPr>
        <w:t>s</w:t>
      </w:r>
      <w:r w:rsidR="000908F0">
        <w:rPr>
          <w:lang w:val="en-US"/>
        </w:rPr>
        <w:t xml:space="preserve">. </w:t>
      </w:r>
      <w:r w:rsidR="00A279A1" w:rsidRPr="00A279A1">
        <w:rPr>
          <w:color w:val="000000"/>
          <w:szCs w:val="22"/>
        </w:rPr>
        <w:t xml:space="preserve"> </w:t>
      </w:r>
      <w:r w:rsidR="00A279A1">
        <w:rPr>
          <w:color w:val="000000"/>
          <w:szCs w:val="22"/>
        </w:rPr>
        <w:t>ICAO is in charge to provide guidance on how spectrum should be shared among the different aeronautical systems for which those bands are allocated. Dedicated processes to develop channel plans in collaboration with the responsible authorities from the member states could be defined.</w:t>
      </w:r>
    </w:p>
    <w:p w14:paraId="3286420C" w14:textId="7EB9A991" w:rsidR="000908F0" w:rsidRPr="00E80B8E" w:rsidRDefault="000908F0">
      <w:pPr>
        <w:pStyle w:val="2para"/>
        <w:rPr>
          <w:lang w:val="en-US"/>
        </w:rPr>
      </w:pPr>
      <w:r>
        <w:rPr>
          <w:lang w:val="en-US"/>
        </w:rPr>
        <w:t xml:space="preserve">To this purpose, this working paper introduces preliminary elements to be </w:t>
      </w:r>
      <w:proofErr w:type="gramStart"/>
      <w:r>
        <w:rPr>
          <w:lang w:val="en-US"/>
        </w:rPr>
        <w:t>taken into account</w:t>
      </w:r>
      <w:proofErr w:type="gramEnd"/>
      <w:r>
        <w:rPr>
          <w:lang w:val="en-US"/>
        </w:rPr>
        <w:t xml:space="preserve"> for </w:t>
      </w:r>
      <w:r w:rsidR="002F10C6">
        <w:rPr>
          <w:lang w:val="en-US"/>
        </w:rPr>
        <w:t>initiating the</w:t>
      </w:r>
      <w:r>
        <w:rPr>
          <w:lang w:val="en-US"/>
        </w:rPr>
        <w:t xml:space="preserve"> use of the frequency band 5030 – 5091 </w:t>
      </w:r>
      <w:proofErr w:type="spellStart"/>
      <w:r>
        <w:rPr>
          <w:lang w:val="en-US"/>
        </w:rPr>
        <w:t>MHz.</w:t>
      </w:r>
      <w:proofErr w:type="spellEnd"/>
      <w:r>
        <w:rPr>
          <w:lang w:val="en-US"/>
        </w:rPr>
        <w:t xml:space="preserve"> </w:t>
      </w:r>
      <w:r w:rsidRPr="00E80B8E">
        <w:rPr>
          <w:lang w:val="en-US"/>
        </w:rPr>
        <w:t xml:space="preserve"> </w:t>
      </w:r>
    </w:p>
    <w:p w14:paraId="63A099AE" w14:textId="77777777" w:rsidR="00770160" w:rsidRPr="00E80B8E" w:rsidRDefault="00770160">
      <w:pPr>
        <w:pStyle w:val="1Heading"/>
        <w:rPr>
          <w:lang w:val="en-US"/>
        </w:rPr>
      </w:pPr>
      <w:r w:rsidRPr="00E80B8E">
        <w:rPr>
          <w:lang w:val="en-US"/>
        </w:rPr>
        <w:t>DISCUSSION</w:t>
      </w:r>
    </w:p>
    <w:p w14:paraId="23348174" w14:textId="5455E0B6" w:rsidR="00975600" w:rsidRPr="00975600" w:rsidRDefault="001748B3">
      <w:pPr>
        <w:pStyle w:val="2para"/>
        <w:rPr>
          <w:lang w:val="en-US"/>
        </w:rPr>
      </w:pPr>
      <w:hyperlink r:id="rId11" w:history="1">
        <w:r w:rsidR="0084379A" w:rsidRPr="0084379A">
          <w:rPr>
            <w:rStyle w:val="Hyperlink"/>
          </w:rPr>
          <w:t>FSMP-WG18-IP05</w:t>
        </w:r>
      </w:hyperlink>
      <w:r w:rsidR="0084379A">
        <w:t xml:space="preserve"> </w:t>
      </w:r>
      <w:r w:rsidR="002F10C6">
        <w:t xml:space="preserve">contains examples of </w:t>
      </w:r>
      <w:r w:rsidR="00975600">
        <w:t>s</w:t>
      </w:r>
      <w:r w:rsidR="00975600" w:rsidRPr="000C7D92">
        <w:t>pectrum</w:t>
      </w:r>
      <w:r w:rsidR="00735763">
        <w:t xml:space="preserve"> use</w:t>
      </w:r>
      <w:r w:rsidR="00975600" w:rsidRPr="000C7D92">
        <w:t xml:space="preserve"> </w:t>
      </w:r>
      <w:r w:rsidR="002F10C6">
        <w:t>for both</w:t>
      </w:r>
      <w:r w:rsidR="00975600" w:rsidRPr="000C7D92">
        <w:t xml:space="preserve"> </w:t>
      </w:r>
      <w:r w:rsidR="00975600">
        <w:t>t</w:t>
      </w:r>
      <w:r w:rsidR="00975600" w:rsidRPr="000C7D92">
        <w:t xml:space="preserve">errestrial and </w:t>
      </w:r>
      <w:r w:rsidR="00975600">
        <w:t>s</w:t>
      </w:r>
      <w:r w:rsidR="00975600" w:rsidRPr="000C7D92">
        <w:t xml:space="preserve">atellite </w:t>
      </w:r>
      <w:r w:rsidR="00975600">
        <w:t xml:space="preserve">based </w:t>
      </w:r>
      <w:r w:rsidR="00975600" w:rsidRPr="000C7D92">
        <w:t xml:space="preserve">C2 Link </w:t>
      </w:r>
      <w:r w:rsidR="00975600">
        <w:t>s</w:t>
      </w:r>
      <w:r w:rsidR="00975600" w:rsidRPr="000C7D92">
        <w:t>ystems</w:t>
      </w:r>
      <w:r w:rsidR="00975600">
        <w:t xml:space="preserve"> in the </w:t>
      </w:r>
      <w:r w:rsidR="00975600" w:rsidRPr="000C7D92">
        <w:t xml:space="preserve">5030-5091 MHz </w:t>
      </w:r>
      <w:r w:rsidR="002F10C6">
        <w:t xml:space="preserve">frequency </w:t>
      </w:r>
      <w:r w:rsidR="00975600">
        <w:t>b</w:t>
      </w:r>
      <w:r w:rsidR="00975600" w:rsidRPr="000C7D92">
        <w:t>and</w:t>
      </w:r>
      <w:r w:rsidR="00975600">
        <w:t xml:space="preserve">. </w:t>
      </w:r>
      <w:proofErr w:type="gramStart"/>
      <w:r w:rsidR="00975600">
        <w:t>In particular, it</w:t>
      </w:r>
      <w:proofErr w:type="gramEnd"/>
      <w:r w:rsidR="00975600">
        <w:t xml:space="preserve"> </w:t>
      </w:r>
      <w:r w:rsidR="00FB0E7F">
        <w:t xml:space="preserve">analyses </w:t>
      </w:r>
      <w:r w:rsidR="00975600">
        <w:t xml:space="preserve">the two following </w:t>
      </w:r>
      <w:r w:rsidR="00FB0E7F">
        <w:t xml:space="preserve">possibilities </w:t>
      </w:r>
      <w:r w:rsidR="00975600">
        <w:t xml:space="preserve">for </w:t>
      </w:r>
      <w:r w:rsidR="00FB0E7F">
        <w:t xml:space="preserve">sharing </w:t>
      </w:r>
      <w:r w:rsidR="00975600">
        <w:t>the frequency band 5030 -5091 MHz:</w:t>
      </w:r>
    </w:p>
    <w:p w14:paraId="3056FF6E" w14:textId="18362C8C" w:rsidR="00975600" w:rsidRDefault="00975600" w:rsidP="00494F25">
      <w:pPr>
        <w:pStyle w:val="2para"/>
        <w:numPr>
          <w:ilvl w:val="0"/>
          <w:numId w:val="7"/>
        </w:numPr>
        <w:spacing w:after="0"/>
        <w:rPr>
          <w:lang w:val="en-US"/>
        </w:rPr>
      </w:pPr>
      <w:r>
        <w:rPr>
          <w:lang w:val="en-US"/>
        </w:rPr>
        <w:lastRenderedPageBreak/>
        <w:t xml:space="preserve">Split </w:t>
      </w:r>
      <w:proofErr w:type="gramStart"/>
      <w:r>
        <w:rPr>
          <w:lang w:val="en-US"/>
        </w:rPr>
        <w:t xml:space="preserve">band, </w:t>
      </w:r>
      <w:r w:rsidR="00FB0E7F">
        <w:rPr>
          <w:lang w:val="en-US"/>
        </w:rPr>
        <w:t xml:space="preserve"> </w:t>
      </w:r>
      <w:r w:rsidR="00FB0E7F">
        <w:rPr>
          <w:color w:val="000000"/>
          <w:szCs w:val="22"/>
        </w:rPr>
        <w:t>among</w:t>
      </w:r>
      <w:proofErr w:type="gramEnd"/>
      <w:r w:rsidR="00FB0E7F">
        <w:rPr>
          <w:color w:val="000000"/>
          <w:szCs w:val="22"/>
        </w:rPr>
        <w:t xml:space="preserve"> </w:t>
      </w:r>
      <w:proofErr w:type="spellStart"/>
      <w:r w:rsidR="00FB0E7F">
        <w:rPr>
          <w:color w:val="000000"/>
          <w:szCs w:val="22"/>
        </w:rPr>
        <w:t>non_compatible</w:t>
      </w:r>
      <w:proofErr w:type="spellEnd"/>
      <w:r w:rsidR="00FB0E7F">
        <w:rPr>
          <w:color w:val="000000"/>
          <w:szCs w:val="22"/>
        </w:rPr>
        <w:t xml:space="preserve"> systems, </w:t>
      </w:r>
      <w:r w:rsidR="00FB0E7F">
        <w:t xml:space="preserve">e.g. </w:t>
      </w:r>
      <w:r w:rsidR="00FB0E7F">
        <w:rPr>
          <w:color w:val="000000"/>
          <w:szCs w:val="22"/>
        </w:rPr>
        <w:t>with different TDD timeframes</w:t>
      </w:r>
    </w:p>
    <w:p w14:paraId="1491F2F5" w14:textId="4DB539D1" w:rsidR="00975600" w:rsidRDefault="00975600" w:rsidP="00826307">
      <w:pPr>
        <w:pStyle w:val="2para"/>
        <w:numPr>
          <w:ilvl w:val="0"/>
          <w:numId w:val="7"/>
        </w:numPr>
        <w:spacing w:after="0"/>
        <w:rPr>
          <w:lang w:val="en-US"/>
        </w:rPr>
      </w:pPr>
      <w:proofErr w:type="gramStart"/>
      <w:r>
        <w:rPr>
          <w:lang w:val="en-US"/>
        </w:rPr>
        <w:t xml:space="preserve">Flexible </w:t>
      </w:r>
      <w:r w:rsidR="00FB0E7F">
        <w:rPr>
          <w:lang w:val="en-US"/>
        </w:rPr>
        <w:t xml:space="preserve"> </w:t>
      </w:r>
      <w:r w:rsidR="00FB0E7F">
        <w:t>planning</w:t>
      </w:r>
      <w:proofErr w:type="gramEnd"/>
      <w:r w:rsidR="00FB0E7F">
        <w:t xml:space="preserve"> among systems </w:t>
      </w:r>
      <w:r w:rsidR="00FB0E7F">
        <w:rPr>
          <w:color w:val="000000"/>
          <w:szCs w:val="22"/>
        </w:rPr>
        <w:t>with compatible TDD timeframes</w:t>
      </w:r>
    </w:p>
    <w:p w14:paraId="1BC41E4C" w14:textId="77777777" w:rsidR="00826307" w:rsidRDefault="00826307" w:rsidP="00494F25">
      <w:pPr>
        <w:pStyle w:val="2para"/>
        <w:numPr>
          <w:ilvl w:val="0"/>
          <w:numId w:val="0"/>
        </w:numPr>
        <w:spacing w:after="0"/>
        <w:ind w:left="720"/>
        <w:rPr>
          <w:lang w:val="en-US"/>
        </w:rPr>
      </w:pPr>
    </w:p>
    <w:p w14:paraId="3E226C3B" w14:textId="6CABA7EC" w:rsidR="00975600" w:rsidRDefault="001B1F4B" w:rsidP="00975600">
      <w:pPr>
        <w:pStyle w:val="2para"/>
        <w:numPr>
          <w:ilvl w:val="0"/>
          <w:numId w:val="0"/>
        </w:numPr>
        <w:jc w:val="center"/>
        <w:rPr>
          <w:lang w:val="en-US"/>
        </w:rPr>
      </w:pPr>
      <w:r w:rsidRPr="004523D0">
        <w:rPr>
          <w:noProof/>
        </w:rPr>
        <w:drawing>
          <wp:inline distT="0" distB="0" distL="0" distR="0" wp14:anchorId="34DFDBDC" wp14:editId="705CECF0">
            <wp:extent cx="4610100" cy="163830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l="12622" t="52850" r="12735"/>
                    <a:stretch>
                      <a:fillRect/>
                    </a:stretch>
                  </pic:blipFill>
                  <pic:spPr bwMode="auto">
                    <a:xfrm>
                      <a:off x="0" y="0"/>
                      <a:ext cx="4610100" cy="1638300"/>
                    </a:xfrm>
                    <a:prstGeom prst="rect">
                      <a:avLst/>
                    </a:prstGeom>
                    <a:noFill/>
                    <a:ln>
                      <a:noFill/>
                    </a:ln>
                  </pic:spPr>
                </pic:pic>
              </a:graphicData>
            </a:graphic>
          </wp:inline>
        </w:drawing>
      </w:r>
    </w:p>
    <w:p w14:paraId="499EFB5C" w14:textId="3C77D9DF" w:rsidR="00975600" w:rsidRDefault="00975600">
      <w:pPr>
        <w:pStyle w:val="2para"/>
        <w:rPr>
          <w:lang w:val="en-US"/>
        </w:rPr>
      </w:pPr>
      <w:r>
        <w:rPr>
          <w:lang w:val="en-US"/>
        </w:rPr>
        <w:t>In addition,</w:t>
      </w:r>
      <w:r w:rsidR="001425C4">
        <w:rPr>
          <w:lang w:val="en-US"/>
        </w:rPr>
        <w:t xml:space="preserve"> </w:t>
      </w:r>
      <w:hyperlink r:id="rId13" w:history="1">
        <w:r w:rsidR="0084379A" w:rsidRPr="0084379A">
          <w:rPr>
            <w:rStyle w:val="Hyperlink"/>
          </w:rPr>
          <w:t>FSMP-WG18-IP05</w:t>
        </w:r>
      </w:hyperlink>
      <w:r w:rsidR="0084379A">
        <w:t xml:space="preserve"> </w:t>
      </w:r>
      <w:r>
        <w:rPr>
          <w:lang w:val="en-US"/>
        </w:rPr>
        <w:t xml:space="preserve">contains consideration about potential </w:t>
      </w:r>
      <w:r w:rsidR="006D4772">
        <w:rPr>
          <w:lang w:val="en-US"/>
        </w:rPr>
        <w:t xml:space="preserve">frequency </w:t>
      </w:r>
      <w:r>
        <w:rPr>
          <w:lang w:val="en-US"/>
        </w:rPr>
        <w:t xml:space="preserve">channelization and </w:t>
      </w:r>
      <w:r w:rsidR="008C2E2D">
        <w:rPr>
          <w:lang w:val="en-US"/>
        </w:rPr>
        <w:t xml:space="preserve">geographical </w:t>
      </w:r>
      <w:r>
        <w:rPr>
          <w:lang w:val="en-US"/>
        </w:rPr>
        <w:t>frequency reuse of this frequency band</w:t>
      </w:r>
      <w:r w:rsidR="00735763">
        <w:rPr>
          <w:lang w:val="en-US"/>
        </w:rPr>
        <w:t xml:space="preserve"> (</w:t>
      </w:r>
      <w:r w:rsidR="00FB0E7F">
        <w:rPr>
          <w:lang w:val="en-US"/>
        </w:rPr>
        <w:t xml:space="preserve">see picture </w:t>
      </w:r>
      <w:r w:rsidR="00735763">
        <w:rPr>
          <w:lang w:val="en-US"/>
        </w:rPr>
        <w:t>below)</w:t>
      </w:r>
      <w:r>
        <w:rPr>
          <w:lang w:val="en-US"/>
        </w:rPr>
        <w:t>.</w:t>
      </w:r>
    </w:p>
    <w:p w14:paraId="4944BC6F" w14:textId="3E52E51C" w:rsidR="00CE3D63" w:rsidRDefault="00CE3D63" w:rsidP="00494F25">
      <w:pPr>
        <w:pStyle w:val="2para"/>
        <w:numPr>
          <w:ilvl w:val="0"/>
          <w:numId w:val="0"/>
        </w:numPr>
        <w:rPr>
          <w:lang w:val="en-US"/>
        </w:rPr>
      </w:pPr>
      <w:r w:rsidRPr="004523D0">
        <w:rPr>
          <w:noProof/>
        </w:rPr>
        <w:drawing>
          <wp:inline distT="0" distB="0" distL="0" distR="0" wp14:anchorId="0D2C46E8" wp14:editId="6CFAE62B">
            <wp:extent cx="4629150" cy="2438400"/>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cstate="print">
                      <a:extLst>
                        <a:ext uri="{28A0092B-C50C-407E-A947-70E740481C1C}">
                          <a14:useLocalDpi xmlns:a14="http://schemas.microsoft.com/office/drawing/2010/main" val="0"/>
                        </a:ext>
                      </a:extLst>
                    </a:blip>
                    <a:srcRect l="12488" r="12593" b="29752"/>
                    <a:stretch>
                      <a:fillRect/>
                    </a:stretch>
                  </pic:blipFill>
                  <pic:spPr bwMode="auto">
                    <a:xfrm>
                      <a:off x="0" y="0"/>
                      <a:ext cx="4629150" cy="2438400"/>
                    </a:xfrm>
                    <a:prstGeom prst="rect">
                      <a:avLst/>
                    </a:prstGeom>
                    <a:noFill/>
                    <a:ln>
                      <a:noFill/>
                    </a:ln>
                  </pic:spPr>
                </pic:pic>
              </a:graphicData>
            </a:graphic>
          </wp:inline>
        </w:drawing>
      </w:r>
    </w:p>
    <w:p w14:paraId="217080B5" w14:textId="36150BDB" w:rsidR="00CE3D63" w:rsidRDefault="00CE3D63" w:rsidP="00494F25">
      <w:pPr>
        <w:pStyle w:val="3para"/>
        <w:numPr>
          <w:ilvl w:val="0"/>
          <w:numId w:val="0"/>
        </w:numPr>
        <w:rPr>
          <w:lang w:val="en-US"/>
        </w:rPr>
      </w:pPr>
    </w:p>
    <w:p w14:paraId="00134682" w14:textId="03FFA920" w:rsidR="002F5DDE" w:rsidRPr="002F5DDE" w:rsidRDefault="00C65CE3" w:rsidP="006308B1">
      <w:pPr>
        <w:pStyle w:val="2Heading"/>
        <w:tabs>
          <w:tab w:val="clear" w:pos="720"/>
          <w:tab w:val="num" w:pos="1418"/>
        </w:tabs>
        <w:ind w:right="1668" w:hanging="578"/>
        <w:rPr>
          <w:lang w:val="en-US"/>
        </w:rPr>
      </w:pPr>
      <w:r>
        <w:t>High level principles enabling sharing and optimal usage of the 5 030 - 5 091 MHz band by AM(R)S and AMS(R)S</w:t>
      </w:r>
    </w:p>
    <w:p w14:paraId="70BC561B" w14:textId="715E9149" w:rsidR="00A418BF" w:rsidRDefault="00C65CE3" w:rsidP="00A418BF">
      <w:pPr>
        <w:pStyle w:val="3para"/>
      </w:pPr>
      <w:r>
        <w:t xml:space="preserve"> Systems compatible with both terrestrial and satellite standards are being actively developed</w:t>
      </w:r>
      <w:r w:rsidR="00A47671">
        <w:t>. Each system will be designed to be able to operate in the whole band, or in any part, of the 5030 – 5091 MHz band, supporting RPAS operation</w:t>
      </w:r>
      <w:r>
        <w:t xml:space="preserve">. </w:t>
      </w:r>
      <w:proofErr w:type="gramStart"/>
      <w:r>
        <w:t>In order to</w:t>
      </w:r>
      <w:proofErr w:type="gramEnd"/>
      <w:r>
        <w:t xml:space="preserve"> enable their deployment and adoption a regulatory framework needs to be developed for national and international operations</w:t>
      </w:r>
    </w:p>
    <w:p w14:paraId="417D78D6" w14:textId="020D932B" w:rsidR="00C65CE3" w:rsidRDefault="00C65CE3" w:rsidP="00C65CE3">
      <w:pPr>
        <w:pStyle w:val="3para"/>
      </w:pPr>
      <w:r>
        <w:rPr>
          <w:lang w:val="en-US"/>
        </w:rPr>
        <w:t xml:space="preserve"> </w:t>
      </w:r>
      <w:r>
        <w:t>The following principle</w:t>
      </w:r>
      <w:r w:rsidR="00412BA8">
        <w:t>s</w:t>
      </w:r>
      <w:r>
        <w:t xml:space="preserve"> are proposed </w:t>
      </w:r>
      <w:proofErr w:type="gramStart"/>
      <w:r>
        <w:t>in order to</w:t>
      </w:r>
      <w:proofErr w:type="gramEnd"/>
      <w:r>
        <w:t xml:space="preserve"> enable sharing and optimal usage of the 5 030 - 5 091 MHz band by AM(R)S and AMS(R)S:</w:t>
      </w:r>
    </w:p>
    <w:p w14:paraId="2C58FF7B" w14:textId="5FDE3D2B" w:rsidR="00C65CE3" w:rsidRDefault="00C65CE3" w:rsidP="00C65CE3">
      <w:pPr>
        <w:pStyle w:val="4para"/>
      </w:pPr>
      <w:r>
        <w:t xml:space="preserve">The standards for such systems need to guarantee that coexistence and band sharing between terrestrial and satellite systems operating in the same area are </w:t>
      </w:r>
      <w:proofErr w:type="gramStart"/>
      <w:r>
        <w:t>possible</w:t>
      </w:r>
      <w:proofErr w:type="gramEnd"/>
    </w:p>
    <w:p w14:paraId="6BDD7355" w14:textId="6E64E4FE" w:rsidR="00C65CE3" w:rsidRDefault="00C65CE3" w:rsidP="00C65CE3">
      <w:pPr>
        <w:pStyle w:val="4para"/>
      </w:pPr>
      <w:r>
        <w:lastRenderedPageBreak/>
        <w:t xml:space="preserve">Channel plan for both systems </w:t>
      </w:r>
      <w:r w:rsidR="003E5BCC">
        <w:t>are</w:t>
      </w:r>
      <w:r>
        <w:t xml:space="preserve"> </w:t>
      </w:r>
      <w:r w:rsidR="003E5BCC">
        <w:t xml:space="preserve">expected to be </w:t>
      </w:r>
      <w:r>
        <w:t>performed under the guidance of ICAO</w:t>
      </w:r>
      <w:r w:rsidR="003E5BCC">
        <w:t>, noting that some rules may vary between different regions</w:t>
      </w:r>
      <w:r>
        <w:t>.</w:t>
      </w:r>
    </w:p>
    <w:p w14:paraId="0D864626" w14:textId="0FD1679B" w:rsidR="00C65CE3" w:rsidRDefault="00C65CE3" w:rsidP="00C65CE3">
      <w:pPr>
        <w:pStyle w:val="4para"/>
      </w:pPr>
      <w:r>
        <w:t xml:space="preserve">Study work to assess potential constraints required to guarantee coexistence between RTCA and EUROCAE standards is ongoing. More details on these technical and operational constraints and the related spectrum sharing considerations will be available when the standardisation of such systems </w:t>
      </w:r>
      <w:proofErr w:type="gramStart"/>
      <w:r>
        <w:t>are</w:t>
      </w:r>
      <w:proofErr w:type="gramEnd"/>
      <w:r>
        <w:t xml:space="preserve"> finalised</w:t>
      </w:r>
      <w:r w:rsidR="003E5BCC">
        <w:t xml:space="preserve">. </w:t>
      </w:r>
    </w:p>
    <w:p w14:paraId="7C24BEB6" w14:textId="215DC5A4" w:rsidR="00C65CE3" w:rsidRPr="00C65CE3" w:rsidRDefault="00C65CE3" w:rsidP="00AB6DE9">
      <w:pPr>
        <w:pStyle w:val="4para"/>
      </w:pPr>
      <w:r>
        <w:t>International operations shall be guaranteed and a minimum (TBD) number of channels should be allocated to each system in each region.</w:t>
      </w:r>
    </w:p>
    <w:p w14:paraId="73934444" w14:textId="66DE549F" w:rsidR="00CF2F7F" w:rsidRPr="00CF2F7F" w:rsidRDefault="00CF2F7F" w:rsidP="00E56150">
      <w:pPr>
        <w:pStyle w:val="3para"/>
        <w:numPr>
          <w:ilvl w:val="0"/>
          <w:numId w:val="0"/>
        </w:numPr>
        <w:rPr>
          <w:lang w:val="en-US"/>
        </w:rPr>
      </w:pPr>
    </w:p>
    <w:p w14:paraId="475DBAF4" w14:textId="77777777" w:rsidR="00CE3D63" w:rsidRDefault="00CE3D63" w:rsidP="00D613C4">
      <w:pPr>
        <w:pStyle w:val="3para"/>
        <w:numPr>
          <w:ilvl w:val="0"/>
          <w:numId w:val="0"/>
        </w:numPr>
        <w:rPr>
          <w:lang w:val="en-US"/>
        </w:rPr>
      </w:pPr>
    </w:p>
    <w:p w14:paraId="75DBEF20" w14:textId="77777777" w:rsidR="00770160" w:rsidRPr="00E80B8E" w:rsidRDefault="00770160">
      <w:pPr>
        <w:pStyle w:val="1Heading"/>
        <w:rPr>
          <w:lang w:val="en-US"/>
        </w:rPr>
      </w:pPr>
      <w:r w:rsidRPr="00E80B8E">
        <w:rPr>
          <w:lang w:val="en-US"/>
        </w:rPr>
        <w:t>ACTION BY THE MEETING</w:t>
      </w:r>
    </w:p>
    <w:p w14:paraId="117183EE" w14:textId="77777777" w:rsidR="00770160" w:rsidRPr="00E80B8E" w:rsidRDefault="00770160">
      <w:pPr>
        <w:pStyle w:val="2para"/>
        <w:rPr>
          <w:lang w:val="en-US"/>
        </w:rPr>
      </w:pPr>
      <w:r w:rsidRPr="00E80B8E">
        <w:rPr>
          <w:lang w:val="en-US"/>
        </w:rPr>
        <w:t>The meeting is invited to:</w:t>
      </w:r>
    </w:p>
    <w:p w14:paraId="4ADF0B1D" w14:textId="77777777" w:rsidR="00770160" w:rsidRDefault="00770160">
      <w:pPr>
        <w:pStyle w:val="Listabc"/>
        <w:rPr>
          <w:noProof w:val="0"/>
          <w:lang w:val="en-US"/>
        </w:rPr>
      </w:pPr>
      <w:r w:rsidRPr="00E80B8E">
        <w:rPr>
          <w:noProof w:val="0"/>
          <w:lang w:val="en-US"/>
        </w:rPr>
        <w:t>note and review the contents of this working paper;</w:t>
      </w:r>
    </w:p>
    <w:p w14:paraId="25597BAF" w14:textId="19608994" w:rsidR="00C62726" w:rsidRDefault="00C65CE3">
      <w:pPr>
        <w:pStyle w:val="Listabc"/>
        <w:rPr>
          <w:noProof w:val="0"/>
          <w:lang w:val="en-US"/>
        </w:rPr>
      </w:pPr>
      <w:r>
        <w:t>agree and endorse the high level principles introduced in section 2.3</w:t>
      </w:r>
    </w:p>
    <w:p w14:paraId="69BA4694" w14:textId="5690AB7D" w:rsidR="000908F0" w:rsidRDefault="00C65CE3" w:rsidP="008C2E2D">
      <w:pPr>
        <w:pStyle w:val="Listabc"/>
        <w:rPr>
          <w:noProof w:val="0"/>
          <w:lang w:val="en-US"/>
        </w:rPr>
      </w:pPr>
      <w:r>
        <w:t>continue studies and support the ongoing work</w:t>
      </w:r>
      <w:r w:rsidR="00412BA8">
        <w:t>, in particular</w:t>
      </w:r>
      <w:r>
        <w:t xml:space="preserve"> </w:t>
      </w:r>
      <w:r w:rsidR="00412BA8">
        <w:t>within</w:t>
      </w:r>
      <w:r>
        <w:t xml:space="preserve"> Eurocae WG-105</w:t>
      </w:r>
      <w:r w:rsidR="00412BA8">
        <w:t xml:space="preserve"> and</w:t>
      </w:r>
      <w:r>
        <w:t xml:space="preserve"> RTCA SC-228</w:t>
      </w:r>
      <w:r w:rsidR="00412BA8">
        <w:t>,</w:t>
      </w:r>
      <w:r>
        <w:t xml:space="preserve"> on the coexistence and spectrum sharing possibilities between aeronautical systems operate in this band and on the efficiency of the use of the 5030 – 5091 MHz band, identifying solutions to accommodate constraints of the different C2 Link systems;</w:t>
      </w:r>
    </w:p>
    <w:p w14:paraId="2A327CF3" w14:textId="0417C3AC" w:rsidR="00E5621A" w:rsidRPr="00B94565" w:rsidRDefault="00C65CE3" w:rsidP="00B94565">
      <w:pPr>
        <w:pStyle w:val="Listabc"/>
        <w:rPr>
          <w:noProof w:val="0"/>
          <w:lang w:val="en-US"/>
        </w:rPr>
      </w:pPr>
      <w:r>
        <w:t>setup an FSMP task group to develop a proposal for a “time limited harmonised channel plan" for operations outside of international waters to enable the short term deployment and usage of systems in this band to provide C2 Link services</w:t>
      </w:r>
      <w:r w:rsidR="00A47671">
        <w:t>, with report to FSMP</w:t>
      </w:r>
      <w:r w:rsidR="00412BA8">
        <w:t>-</w:t>
      </w:r>
      <w:r w:rsidR="00A47671">
        <w:t>WG</w:t>
      </w:r>
      <w:r w:rsidR="00412BA8">
        <w:t>/</w:t>
      </w:r>
      <w:r w:rsidR="00A47671">
        <w:t>20.</w:t>
      </w:r>
    </w:p>
    <w:p w14:paraId="6DF0404E" w14:textId="074CDB79" w:rsidR="00A12CBA" w:rsidRDefault="00770160" w:rsidP="00E91DF2">
      <w:pPr>
        <w:spacing w:before="600"/>
        <w:jc w:val="center"/>
        <w:rPr>
          <w:lang w:val="en-US"/>
        </w:rPr>
      </w:pPr>
      <w:r w:rsidRPr="00E80B8E">
        <w:rPr>
          <w:lang w:val="en-US"/>
        </w:rPr>
        <w:t>— END —</w:t>
      </w:r>
    </w:p>
    <w:p w14:paraId="5927E18A" w14:textId="4CCC2939" w:rsidR="005629C0" w:rsidRPr="005629C0" w:rsidRDefault="005629C0" w:rsidP="00AB6DE9">
      <w:pPr>
        <w:jc w:val="left"/>
        <w:rPr>
          <w:lang w:val="en-US"/>
        </w:rPr>
      </w:pPr>
    </w:p>
    <w:sectPr w:rsidR="005629C0" w:rsidRPr="005629C0">
      <w:headerReference w:type="even" r:id="rId15"/>
      <w:headerReference w:type="default" r:id="rId16"/>
      <w:headerReference w:type="first" r:id="rId17"/>
      <w:footerReference w:type="first" r:id="rId18"/>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2AF92" w14:textId="77777777" w:rsidR="00753892" w:rsidRDefault="00753892">
      <w:r>
        <w:separator/>
      </w:r>
    </w:p>
  </w:endnote>
  <w:endnote w:type="continuationSeparator" w:id="0">
    <w:p w14:paraId="5DCEA5A4" w14:textId="77777777" w:rsidR="00753892" w:rsidRDefault="0075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14EED"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67C56">
      <w:rPr>
        <w:noProof/>
        <w:sz w:val="18"/>
        <w:lang w:val="fr-FR"/>
      </w:rPr>
      <w:t>2</w:t>
    </w:r>
    <w:r>
      <w:rPr>
        <w:sz w:val="18"/>
        <w:lang w:val="en-US"/>
      </w:rPr>
      <w:fldChar w:fldCharType="end"/>
    </w:r>
    <w:r>
      <w:rPr>
        <w:sz w:val="18"/>
        <w:lang w:val="fr-FR"/>
      </w:rPr>
      <w:t xml:space="preserve"> pages)</w:t>
    </w:r>
  </w:p>
  <w:p w14:paraId="6C1DDA99" w14:textId="6FA1D04D" w:rsidR="00770160" w:rsidRPr="00C05DFD" w:rsidRDefault="00770160">
    <w:pPr>
      <w:pStyle w:val="Footer"/>
      <w:rPr>
        <w:lang w:val="fr-FR"/>
      </w:rPr>
    </w:pPr>
    <w:r>
      <w:rPr>
        <w:sz w:val="18"/>
        <w:lang w:val="en-US"/>
      </w:rPr>
      <w:fldChar w:fldCharType="begin"/>
    </w:r>
    <w:r w:rsidRPr="00C05DFD">
      <w:rPr>
        <w:sz w:val="18"/>
        <w:lang w:val="fr-FR"/>
      </w:rPr>
      <w:instrText xml:space="preserve"> FILENAME  \* MERGEFORMAT </w:instrText>
    </w:r>
    <w:r>
      <w:rPr>
        <w:sz w:val="18"/>
        <w:lang w:val="en-US"/>
      </w:rPr>
      <w:fldChar w:fldCharType="separate"/>
    </w:r>
    <w:r w:rsidR="001748B3">
      <w:rPr>
        <w:noProof/>
        <w:sz w:val="18"/>
        <w:lang w:val="fr-FR"/>
      </w:rPr>
      <w:t>FSMP-WG19-WP22_5030_5091_use.docx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FE740" w14:textId="77777777" w:rsidR="00753892" w:rsidRDefault="00753892">
      <w:r>
        <w:separator/>
      </w:r>
    </w:p>
  </w:footnote>
  <w:footnote w:type="continuationSeparator" w:id="0">
    <w:p w14:paraId="6EA2633D" w14:textId="77777777" w:rsidR="00753892" w:rsidRDefault="0075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ACB48" w14:textId="43EFAC30" w:rsidR="00770160" w:rsidRDefault="000D26D5" w:rsidP="00F56F90">
    <w:pPr>
      <w:tabs>
        <w:tab w:val="center" w:pos="4876"/>
      </w:tabs>
      <w:spacing w:after="600"/>
    </w:pPr>
    <w:r>
      <w:t>FS</w:t>
    </w:r>
    <w:r w:rsidR="00725205">
      <w:t>MP</w:t>
    </w:r>
    <w:r w:rsidR="007E6A06">
      <w:t>-WG</w:t>
    </w:r>
    <w:r w:rsidR="00770160">
      <w:t>/</w:t>
    </w:r>
    <w:r w:rsidR="00C32F4A">
      <w:t>1</w:t>
    </w:r>
    <w:r w:rsidR="0020272F">
      <w:t>9</w:t>
    </w:r>
    <w:r w:rsidR="00FC389A">
      <w:t>-</w:t>
    </w:r>
    <w:r w:rsidR="00770160">
      <w:t>WP/</w:t>
    </w:r>
    <w:r w:rsidR="001748B3">
      <w:t>22</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67C56">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3C36B" w14:textId="2ABE98DB"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E5621A">
      <w:rPr>
        <w:rStyle w:val="PageNumber"/>
        <w:noProof/>
      </w:rPr>
      <w:t>3</w:t>
    </w:r>
    <w:r>
      <w:rPr>
        <w:rStyle w:val="PageNumber"/>
      </w:rPr>
      <w:fldChar w:fldCharType="end"/>
    </w:r>
    <w:r>
      <w:rPr>
        <w:rStyle w:val="PageNumber"/>
      </w:rPr>
      <w:t xml:space="preserve"> -</w:t>
    </w:r>
    <w:r>
      <w:rPr>
        <w:rStyle w:val="PageNumber"/>
      </w:rPr>
      <w:tab/>
    </w:r>
    <w:r w:rsidR="001748B3" w:rsidRPr="001748B3">
      <w:t>FSMP-WG/19-WP/22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17B1CD39" w14:textId="77777777" w:rsidTr="00664C07">
      <w:trPr>
        <w:trHeight w:val="1790"/>
      </w:trPr>
      <w:tc>
        <w:tcPr>
          <w:tcW w:w="1915" w:type="dxa"/>
          <w:shd w:val="clear" w:color="auto" w:fill="FFFFFF"/>
        </w:tcPr>
        <w:p w14:paraId="51CC2EAC" w14:textId="045D05B6" w:rsidR="00920C27" w:rsidRDefault="001B1F4B" w:rsidP="00664C07">
          <w:bookmarkStart w:id="1" w:name="logo"/>
          <w:r w:rsidRPr="00484298">
            <w:rPr>
              <w:noProof/>
              <w:lang w:eastAsia="zh-CN"/>
            </w:rPr>
            <w:drawing>
              <wp:inline distT="0" distB="0" distL="0" distR="0" wp14:anchorId="4A4031AD" wp14:editId="307B46EF">
                <wp:extent cx="1092200" cy="863600"/>
                <wp:effectExtent l="0" t="0" r="0" b="0"/>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1"/>
        </w:p>
      </w:tc>
      <w:tc>
        <w:tcPr>
          <w:tcW w:w="3895" w:type="dxa"/>
          <w:shd w:val="clear" w:color="auto" w:fill="FFFFFF"/>
          <w:tcMar>
            <w:right w:w="0" w:type="dxa"/>
          </w:tcMar>
        </w:tcPr>
        <w:p w14:paraId="21275B6C" w14:textId="2624830F" w:rsidR="00920C27" w:rsidRPr="00066AB7" w:rsidRDefault="001B1F4B"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1BBE9A22" wp14:editId="728CFF21">
                    <wp:simplePos x="0" y="0"/>
                    <wp:positionH relativeFrom="column">
                      <wp:posOffset>12700</wp:posOffset>
                    </wp:positionH>
                    <wp:positionV relativeFrom="paragraph">
                      <wp:posOffset>342900</wp:posOffset>
                    </wp:positionV>
                    <wp:extent cx="2400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2423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7DEAF707"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3A13BB9C" w14:textId="77777777" w:rsidR="00920C27" w:rsidRPr="00066AB7" w:rsidRDefault="00920C27" w:rsidP="00664C07">
          <w:pPr>
            <w:rPr>
              <w:rFonts w:ascii="Arial" w:hAnsi="Arial" w:cs="Arial"/>
              <w:szCs w:val="22"/>
            </w:rPr>
          </w:pPr>
        </w:p>
        <w:p w14:paraId="22111116"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10BC410F" w14:textId="77777777" w:rsidTr="00664C07">
            <w:trPr>
              <w:jc w:val="right"/>
            </w:trPr>
            <w:tc>
              <w:tcPr>
                <w:tcW w:w="0" w:type="auto"/>
              </w:tcPr>
              <w:p w14:paraId="03C9426D" w14:textId="6B176994" w:rsidR="00920C27" w:rsidRPr="00066AB7" w:rsidRDefault="000D26D5" w:rsidP="001748B3">
                <w:pPr>
                  <w:framePr w:hSpace="180" w:wrap="around" w:vAnchor="text" w:hAnchor="text" w:y="1"/>
                  <w:suppressOverlap/>
                  <w:jc w:val="left"/>
                  <w:rPr>
                    <w:szCs w:val="22"/>
                  </w:rPr>
                </w:pPr>
                <w:bookmarkStart w:id="2"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20272F">
                  <w:rPr>
                    <w:szCs w:val="22"/>
                  </w:rPr>
                  <w:t>9</w:t>
                </w:r>
                <w:r w:rsidR="00FC389A">
                  <w:rPr>
                    <w:szCs w:val="22"/>
                  </w:rPr>
                  <w:t>-</w:t>
                </w:r>
                <w:r w:rsidR="00920C27" w:rsidRPr="00066AB7">
                  <w:rPr>
                    <w:szCs w:val="22"/>
                  </w:rPr>
                  <w:t>WP/</w:t>
                </w:r>
                <w:bookmarkEnd w:id="2"/>
                <w:r w:rsidR="001748B3">
                  <w:rPr>
                    <w:szCs w:val="22"/>
                  </w:rPr>
                  <w:t>22</w:t>
                </w:r>
              </w:p>
              <w:p w14:paraId="5B06035F" w14:textId="77777777" w:rsidR="00920C27" w:rsidRPr="00066AB7" w:rsidRDefault="00885035" w:rsidP="001748B3">
                <w:pPr>
                  <w:framePr w:hSpace="180" w:wrap="around" w:vAnchor="text" w:hAnchor="text" w:y="1"/>
                  <w:suppressOverlap/>
                  <w:jc w:val="left"/>
                  <w:rPr>
                    <w:b/>
                  </w:rPr>
                </w:pPr>
                <w:bookmarkStart w:id="3" w:name="restricted"/>
                <w:bookmarkStart w:id="4" w:name="addendum_corrigendum_appendix"/>
                <w:bookmarkStart w:id="5" w:name="revision_no"/>
                <w:bookmarkStart w:id="6" w:name="revision_date"/>
                <w:bookmarkStart w:id="7" w:name="related_to"/>
                <w:bookmarkEnd w:id="3"/>
                <w:bookmarkEnd w:id="4"/>
                <w:bookmarkEnd w:id="5"/>
                <w:bookmarkEnd w:id="6"/>
                <w:bookmarkEnd w:id="7"/>
                <w:r>
                  <w:rPr>
                    <w:sz w:val="18"/>
                    <w:szCs w:val="18"/>
                  </w:rPr>
                  <w:t>202</w:t>
                </w:r>
                <w:r w:rsidR="0009326E">
                  <w:rPr>
                    <w:sz w:val="18"/>
                    <w:szCs w:val="18"/>
                  </w:rPr>
                  <w:t>4</w:t>
                </w:r>
                <w:r>
                  <w:rPr>
                    <w:sz w:val="18"/>
                    <w:szCs w:val="18"/>
                  </w:rPr>
                  <w:t>-0</w:t>
                </w:r>
                <w:r w:rsidR="0020272F">
                  <w:rPr>
                    <w:sz w:val="18"/>
                    <w:szCs w:val="18"/>
                  </w:rPr>
                  <w:t>7</w:t>
                </w:r>
                <w:r>
                  <w:rPr>
                    <w:sz w:val="18"/>
                    <w:szCs w:val="18"/>
                  </w:rPr>
                  <w:t>-</w:t>
                </w:r>
                <w:r w:rsidR="0020272F">
                  <w:rPr>
                    <w:sz w:val="18"/>
                    <w:szCs w:val="18"/>
                  </w:rPr>
                  <w:t>15</w:t>
                </w:r>
                <w:r w:rsidR="00920C27" w:rsidRPr="00066AB7">
                  <w:rPr>
                    <w:b/>
                    <w:sz w:val="18"/>
                    <w:szCs w:val="18"/>
                  </w:rPr>
                  <w:t xml:space="preserve"> </w:t>
                </w:r>
                <w:bookmarkStart w:id="8" w:name="info_paper"/>
                <w:bookmarkEnd w:id="8"/>
              </w:p>
            </w:tc>
          </w:tr>
          <w:tr w:rsidR="00920C27" w14:paraId="498C63C8" w14:textId="77777777" w:rsidTr="00664C07">
            <w:trPr>
              <w:jc w:val="right"/>
            </w:trPr>
            <w:tc>
              <w:tcPr>
                <w:tcW w:w="0" w:type="auto"/>
              </w:tcPr>
              <w:p w14:paraId="2118A55B" w14:textId="77777777" w:rsidR="00920C27" w:rsidRPr="00066AB7" w:rsidRDefault="00920C27" w:rsidP="001748B3">
                <w:pPr>
                  <w:framePr w:hSpace="180" w:wrap="around" w:vAnchor="text" w:hAnchor="text" w:y="1"/>
                  <w:suppressOverlap/>
                  <w:jc w:val="left"/>
                  <w:rPr>
                    <w:szCs w:val="22"/>
                  </w:rPr>
                </w:pPr>
              </w:p>
            </w:tc>
          </w:tr>
        </w:tbl>
        <w:p w14:paraId="29DCD3B0"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6D1FFEA8" w14:textId="000BBAAA" w:rsidR="00770160" w:rsidRDefault="00770160" w:rsidP="00575117">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F1C620C"/>
    <w:multiLevelType w:val="hybridMultilevel"/>
    <w:tmpl w:val="14A8B074"/>
    <w:lvl w:ilvl="0" w:tplc="6CBC08E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B3CDA"/>
    <w:multiLevelType w:val="hybridMultilevel"/>
    <w:tmpl w:val="52FE3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5F7446"/>
    <w:multiLevelType w:val="hybridMultilevel"/>
    <w:tmpl w:val="FAD2109A"/>
    <w:lvl w:ilvl="0" w:tplc="52225CC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2865D3"/>
    <w:multiLevelType w:val="hybridMultilevel"/>
    <w:tmpl w:val="D4987898"/>
    <w:lvl w:ilvl="0" w:tplc="AD82CAF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53843B70"/>
    <w:multiLevelType w:val="hybridMultilevel"/>
    <w:tmpl w:val="BA84EE32"/>
    <w:lvl w:ilvl="0" w:tplc="52225CC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112411331">
    <w:abstractNumId w:val="7"/>
  </w:num>
  <w:num w:numId="2" w16cid:durableId="1022702232">
    <w:abstractNumId w:val="9"/>
  </w:num>
  <w:num w:numId="3" w16cid:durableId="1468819359">
    <w:abstractNumId w:val="2"/>
  </w:num>
  <w:num w:numId="4" w16cid:durableId="259028700">
    <w:abstractNumId w:val="0"/>
  </w:num>
  <w:num w:numId="5" w16cid:durableId="192153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9664501">
    <w:abstractNumId w:val="3"/>
  </w:num>
  <w:num w:numId="7" w16cid:durableId="289633896">
    <w:abstractNumId w:val="4"/>
  </w:num>
  <w:num w:numId="8" w16cid:durableId="1868710156">
    <w:abstractNumId w:val="6"/>
  </w:num>
  <w:num w:numId="9" w16cid:durableId="1939294143">
    <w:abstractNumId w:val="8"/>
  </w:num>
  <w:num w:numId="10" w16cid:durableId="1903638441">
    <w:abstractNumId w:val="5"/>
  </w:num>
  <w:num w:numId="11" w16cid:durableId="203759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0810"/>
    <w:rsid w:val="00012DEA"/>
    <w:rsid w:val="0002582F"/>
    <w:rsid w:val="00025A19"/>
    <w:rsid w:val="000273D2"/>
    <w:rsid w:val="0003792E"/>
    <w:rsid w:val="000517A7"/>
    <w:rsid w:val="000651E1"/>
    <w:rsid w:val="00067C56"/>
    <w:rsid w:val="000735D5"/>
    <w:rsid w:val="000858BE"/>
    <w:rsid w:val="000908F0"/>
    <w:rsid w:val="0009326E"/>
    <w:rsid w:val="00096817"/>
    <w:rsid w:val="000C7DFF"/>
    <w:rsid w:val="000D26D5"/>
    <w:rsid w:val="000E218A"/>
    <w:rsid w:val="00104C51"/>
    <w:rsid w:val="00105C0E"/>
    <w:rsid w:val="00117593"/>
    <w:rsid w:val="001425C4"/>
    <w:rsid w:val="001566B0"/>
    <w:rsid w:val="00163009"/>
    <w:rsid w:val="00165059"/>
    <w:rsid w:val="001748B3"/>
    <w:rsid w:val="0017508B"/>
    <w:rsid w:val="00176036"/>
    <w:rsid w:val="0019674E"/>
    <w:rsid w:val="001A5EC0"/>
    <w:rsid w:val="001B1F4B"/>
    <w:rsid w:val="001B375F"/>
    <w:rsid w:val="001D7C25"/>
    <w:rsid w:val="001D7EAD"/>
    <w:rsid w:val="001E52A6"/>
    <w:rsid w:val="0020272F"/>
    <w:rsid w:val="00202FF2"/>
    <w:rsid w:val="002102D6"/>
    <w:rsid w:val="00244F79"/>
    <w:rsid w:val="00251FF7"/>
    <w:rsid w:val="00264D4A"/>
    <w:rsid w:val="00296C3E"/>
    <w:rsid w:val="002A20EE"/>
    <w:rsid w:val="002C2D0B"/>
    <w:rsid w:val="002E58FB"/>
    <w:rsid w:val="002F10C6"/>
    <w:rsid w:val="002F53C3"/>
    <w:rsid w:val="002F5DDE"/>
    <w:rsid w:val="00306F02"/>
    <w:rsid w:val="00334590"/>
    <w:rsid w:val="003371AE"/>
    <w:rsid w:val="00347561"/>
    <w:rsid w:val="003715A0"/>
    <w:rsid w:val="0037295A"/>
    <w:rsid w:val="00372F79"/>
    <w:rsid w:val="0038518D"/>
    <w:rsid w:val="00385624"/>
    <w:rsid w:val="003925AD"/>
    <w:rsid w:val="003D7FD8"/>
    <w:rsid w:val="003E5BCC"/>
    <w:rsid w:val="003F10D8"/>
    <w:rsid w:val="003F16D9"/>
    <w:rsid w:val="003F1BEC"/>
    <w:rsid w:val="00403DD6"/>
    <w:rsid w:val="00406090"/>
    <w:rsid w:val="00412BA8"/>
    <w:rsid w:val="00412D7C"/>
    <w:rsid w:val="00423C6F"/>
    <w:rsid w:val="00432419"/>
    <w:rsid w:val="004735BC"/>
    <w:rsid w:val="00487388"/>
    <w:rsid w:val="0049280E"/>
    <w:rsid w:val="00492CD2"/>
    <w:rsid w:val="00494F25"/>
    <w:rsid w:val="004D4D96"/>
    <w:rsid w:val="004E1186"/>
    <w:rsid w:val="004E6F80"/>
    <w:rsid w:val="004F1FC9"/>
    <w:rsid w:val="004F2AFD"/>
    <w:rsid w:val="00505F6E"/>
    <w:rsid w:val="0051574F"/>
    <w:rsid w:val="005249C1"/>
    <w:rsid w:val="0054025E"/>
    <w:rsid w:val="00552B85"/>
    <w:rsid w:val="005629C0"/>
    <w:rsid w:val="00575117"/>
    <w:rsid w:val="00585077"/>
    <w:rsid w:val="00593466"/>
    <w:rsid w:val="005A74D2"/>
    <w:rsid w:val="005C11C2"/>
    <w:rsid w:val="005C3D20"/>
    <w:rsid w:val="005C475C"/>
    <w:rsid w:val="005F535B"/>
    <w:rsid w:val="00600778"/>
    <w:rsid w:val="00605D79"/>
    <w:rsid w:val="00610A4D"/>
    <w:rsid w:val="00611433"/>
    <w:rsid w:val="00625E2A"/>
    <w:rsid w:val="006308B1"/>
    <w:rsid w:val="00654A34"/>
    <w:rsid w:val="00661B33"/>
    <w:rsid w:val="00664C07"/>
    <w:rsid w:val="006B0ECE"/>
    <w:rsid w:val="006D4772"/>
    <w:rsid w:val="006F1EC0"/>
    <w:rsid w:val="00725205"/>
    <w:rsid w:val="00735763"/>
    <w:rsid w:val="00742F50"/>
    <w:rsid w:val="007436E3"/>
    <w:rsid w:val="00753892"/>
    <w:rsid w:val="00754A05"/>
    <w:rsid w:val="00757F3B"/>
    <w:rsid w:val="00760654"/>
    <w:rsid w:val="00770160"/>
    <w:rsid w:val="00791636"/>
    <w:rsid w:val="00796019"/>
    <w:rsid w:val="007C77AB"/>
    <w:rsid w:val="007D6938"/>
    <w:rsid w:val="007E6A06"/>
    <w:rsid w:val="00802AB6"/>
    <w:rsid w:val="008178E8"/>
    <w:rsid w:val="00826307"/>
    <w:rsid w:val="00831A2E"/>
    <w:rsid w:val="00841798"/>
    <w:rsid w:val="0084379A"/>
    <w:rsid w:val="00846424"/>
    <w:rsid w:val="008468A4"/>
    <w:rsid w:val="00852A51"/>
    <w:rsid w:val="00860FB4"/>
    <w:rsid w:val="00885035"/>
    <w:rsid w:val="00886673"/>
    <w:rsid w:val="00896451"/>
    <w:rsid w:val="008A4222"/>
    <w:rsid w:val="008B54C4"/>
    <w:rsid w:val="008C2E2D"/>
    <w:rsid w:val="008C4D57"/>
    <w:rsid w:val="0090081C"/>
    <w:rsid w:val="0090204A"/>
    <w:rsid w:val="00905657"/>
    <w:rsid w:val="00920B80"/>
    <w:rsid w:val="00920C27"/>
    <w:rsid w:val="00954E97"/>
    <w:rsid w:val="00957BBA"/>
    <w:rsid w:val="009602EE"/>
    <w:rsid w:val="00975600"/>
    <w:rsid w:val="00990627"/>
    <w:rsid w:val="009A0C41"/>
    <w:rsid w:val="009A3BB6"/>
    <w:rsid w:val="009B2674"/>
    <w:rsid w:val="009C0506"/>
    <w:rsid w:val="009D35B5"/>
    <w:rsid w:val="009E0D7C"/>
    <w:rsid w:val="00A03CFF"/>
    <w:rsid w:val="00A12CBA"/>
    <w:rsid w:val="00A20089"/>
    <w:rsid w:val="00A232A8"/>
    <w:rsid w:val="00A279A1"/>
    <w:rsid w:val="00A4137C"/>
    <w:rsid w:val="00A418BF"/>
    <w:rsid w:val="00A47671"/>
    <w:rsid w:val="00A7046E"/>
    <w:rsid w:val="00A74B82"/>
    <w:rsid w:val="00A84907"/>
    <w:rsid w:val="00A84F03"/>
    <w:rsid w:val="00AA79C4"/>
    <w:rsid w:val="00AA7B30"/>
    <w:rsid w:val="00AB6DE9"/>
    <w:rsid w:val="00AB7A8C"/>
    <w:rsid w:val="00AD54BF"/>
    <w:rsid w:val="00B04D5F"/>
    <w:rsid w:val="00B92573"/>
    <w:rsid w:val="00B92FDF"/>
    <w:rsid w:val="00B94565"/>
    <w:rsid w:val="00B95AA6"/>
    <w:rsid w:val="00BA389D"/>
    <w:rsid w:val="00BA59B2"/>
    <w:rsid w:val="00BB0AFA"/>
    <w:rsid w:val="00BB7EE5"/>
    <w:rsid w:val="00BC5391"/>
    <w:rsid w:val="00BD5EC0"/>
    <w:rsid w:val="00C05DFD"/>
    <w:rsid w:val="00C2608A"/>
    <w:rsid w:val="00C32F4A"/>
    <w:rsid w:val="00C62726"/>
    <w:rsid w:val="00C65CE3"/>
    <w:rsid w:val="00C7403D"/>
    <w:rsid w:val="00CE3D63"/>
    <w:rsid w:val="00CF2F7F"/>
    <w:rsid w:val="00CF72A2"/>
    <w:rsid w:val="00D1410A"/>
    <w:rsid w:val="00D22255"/>
    <w:rsid w:val="00D613C4"/>
    <w:rsid w:val="00D64535"/>
    <w:rsid w:val="00D8375B"/>
    <w:rsid w:val="00D94FD3"/>
    <w:rsid w:val="00DA654F"/>
    <w:rsid w:val="00DB5510"/>
    <w:rsid w:val="00DF76D3"/>
    <w:rsid w:val="00E153F2"/>
    <w:rsid w:val="00E16D62"/>
    <w:rsid w:val="00E3071B"/>
    <w:rsid w:val="00E31A7F"/>
    <w:rsid w:val="00E35D0F"/>
    <w:rsid w:val="00E416D9"/>
    <w:rsid w:val="00E434CD"/>
    <w:rsid w:val="00E56150"/>
    <w:rsid w:val="00E5621A"/>
    <w:rsid w:val="00E7263C"/>
    <w:rsid w:val="00E77340"/>
    <w:rsid w:val="00E80B8E"/>
    <w:rsid w:val="00E91DF2"/>
    <w:rsid w:val="00EB1EAC"/>
    <w:rsid w:val="00EB3658"/>
    <w:rsid w:val="00EC2D3D"/>
    <w:rsid w:val="00F33444"/>
    <w:rsid w:val="00F45409"/>
    <w:rsid w:val="00F54982"/>
    <w:rsid w:val="00F56F90"/>
    <w:rsid w:val="00F84DC1"/>
    <w:rsid w:val="00F975FD"/>
    <w:rsid w:val="00FB0E7F"/>
    <w:rsid w:val="00FC2B87"/>
    <w:rsid w:val="00FC389A"/>
    <w:rsid w:val="00FE06EA"/>
    <w:rsid w:val="00FF1252"/>
    <w:rsid w:val="00FF4BC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04A8"/>
  <w15:chartTrackingRefBased/>
  <w15:docId w15:val="{D6CB1F8D-FC04-4F84-AA5B-21EB5A1F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rsid w:val="00975600"/>
    <w:rPr>
      <w:color w:val="0563C1"/>
      <w:u w:val="single"/>
    </w:rPr>
  </w:style>
  <w:style w:type="character" w:styleId="UnresolvedMention">
    <w:name w:val="Unresolved Mention"/>
    <w:uiPriority w:val="99"/>
    <w:semiHidden/>
    <w:unhideWhenUsed/>
    <w:rsid w:val="00975600"/>
    <w:rPr>
      <w:color w:val="605E5C"/>
      <w:shd w:val="clear" w:color="auto" w:fill="E1DFDD"/>
    </w:rPr>
  </w:style>
  <w:style w:type="paragraph" w:styleId="ListParagraph">
    <w:name w:val="List Paragraph"/>
    <w:basedOn w:val="Normal"/>
    <w:uiPriority w:val="34"/>
    <w:qFormat/>
    <w:rsid w:val="00E434CD"/>
    <w:pPr>
      <w:ind w:left="720"/>
      <w:contextualSpacing/>
    </w:pPr>
  </w:style>
  <w:style w:type="character" w:styleId="FollowedHyperlink">
    <w:name w:val="FollowedHyperlink"/>
    <w:basedOn w:val="DefaultParagraphFont"/>
    <w:rsid w:val="000517A7"/>
    <w:rPr>
      <w:color w:val="954F72" w:themeColor="followedHyperlink"/>
      <w:u w:val="single"/>
    </w:rPr>
  </w:style>
  <w:style w:type="character" w:styleId="CommentReference">
    <w:name w:val="annotation reference"/>
    <w:basedOn w:val="DefaultParagraphFont"/>
    <w:rsid w:val="000517A7"/>
    <w:rPr>
      <w:sz w:val="16"/>
      <w:szCs w:val="16"/>
    </w:rPr>
  </w:style>
  <w:style w:type="paragraph" w:styleId="CommentText">
    <w:name w:val="annotation text"/>
    <w:basedOn w:val="Normal"/>
    <w:link w:val="CommentTextChar"/>
    <w:rsid w:val="000517A7"/>
    <w:rPr>
      <w:sz w:val="20"/>
    </w:rPr>
  </w:style>
  <w:style w:type="character" w:customStyle="1" w:styleId="CommentTextChar">
    <w:name w:val="Comment Text Char"/>
    <w:basedOn w:val="DefaultParagraphFont"/>
    <w:link w:val="CommentText"/>
    <w:rsid w:val="000517A7"/>
    <w:rPr>
      <w:lang w:val="en-GB" w:eastAsia="en-US"/>
    </w:rPr>
  </w:style>
  <w:style w:type="paragraph" w:styleId="CommentSubject">
    <w:name w:val="annotation subject"/>
    <w:basedOn w:val="CommentText"/>
    <w:next w:val="CommentText"/>
    <w:link w:val="CommentSubjectChar"/>
    <w:rsid w:val="000517A7"/>
    <w:rPr>
      <w:b/>
      <w:bCs/>
    </w:rPr>
  </w:style>
  <w:style w:type="character" w:customStyle="1" w:styleId="CommentSubjectChar">
    <w:name w:val="Comment Subject Char"/>
    <w:basedOn w:val="CommentTextChar"/>
    <w:link w:val="CommentSubject"/>
    <w:rsid w:val="000517A7"/>
    <w:rPr>
      <w:b/>
      <w:bCs/>
      <w:lang w:val="en-GB" w:eastAsia="en-US"/>
    </w:rPr>
  </w:style>
  <w:style w:type="table" w:styleId="TableGrid">
    <w:name w:val="Table Grid"/>
    <w:basedOn w:val="TableNormal"/>
    <w:rsid w:val="00CF2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379A"/>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3285">
      <w:bodyDiv w:val="1"/>
      <w:marLeft w:val="0"/>
      <w:marRight w:val="0"/>
      <w:marTop w:val="0"/>
      <w:marBottom w:val="0"/>
      <w:divBdr>
        <w:top w:val="none" w:sz="0" w:space="0" w:color="auto"/>
        <w:left w:val="none" w:sz="0" w:space="0" w:color="auto"/>
        <w:bottom w:val="none" w:sz="0" w:space="0" w:color="auto"/>
        <w:right w:val="none" w:sz="0" w:space="0" w:color="auto"/>
      </w:divBdr>
    </w:div>
    <w:div w:id="1087654929">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213092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cao.int/FSMP/Documents/FSMP-WG18_restricted_documents/FSMP-WG18-IP05R1_C-Band%20Spectrum%20Compatibility%20R1.doc"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icao.int/FSMP/Documents/FSMP-WG18_restricted_documents/FSMP-WG18-IP05R1_C-Band%20Spectrum%20Compatibility%20R1.do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3.xml><?xml version="1.0" encoding="utf-8"?>
<ds:datastoreItem xmlns:ds="http://schemas.openxmlformats.org/officeDocument/2006/customXml" ds:itemID="{176DFB07-D2B8-47C5-9E73-96BD336701AA}">
  <ds:schemaRefs>
    <ds:schemaRef ds:uri="http://schemas.openxmlformats.org/officeDocument/2006/bibliography"/>
  </ds:schemaRefs>
</ds:datastoreItem>
</file>

<file path=customXml/itemProps4.xml><?xml version="1.0" encoding="utf-8"?>
<ds:datastoreItem xmlns:ds="http://schemas.openxmlformats.org/officeDocument/2006/customXml" ds:itemID="{D5B65DE3-2C81-43B3-BA27-08B0DDB86D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10</TotalTime>
  <Pages>3</Pages>
  <Words>653</Words>
  <Characters>3507</Characters>
  <Application>Microsoft Office Word</Application>
  <DocSecurity>0</DocSecurity>
  <Lines>77</Lines>
  <Paragraphs>30</Paragraphs>
  <ScaleCrop>false</ScaleCrop>
  <HeadingPairs>
    <vt:vector size="6" baseType="variant">
      <vt:variant>
        <vt:lpstr>Titre</vt:lpstr>
      </vt:variant>
      <vt:variant>
        <vt:i4>1</vt:i4>
      </vt:variant>
      <vt:variant>
        <vt:lpstr>Title</vt:lpstr>
      </vt:variant>
      <vt:variant>
        <vt:i4>1</vt:i4>
      </vt:variant>
      <vt:variant>
        <vt:lpstr>Headings</vt:lpstr>
      </vt:variant>
      <vt:variant>
        <vt:i4>3</vt:i4>
      </vt:variant>
    </vt:vector>
  </HeadingPairs>
  <TitlesOfParts>
    <vt:vector size="5" baseType="lpstr">
      <vt:lpstr>1</vt:lpstr>
      <vt:lpstr>1</vt:lpstr>
      <vt:lpstr>    Just a few lines with a brief background to introduce your paper.</vt:lpstr>
      <vt:lpstr>    This MS Word template is arranged with the following margins: top 2.87 cm, botto</vt:lpstr>
      <vt:lpstr>    The meeting is invited to:</vt:lpstr>
    </vt:vector>
  </TitlesOfParts>
  <Company>ICAO</Company>
  <LinksUpToDate>false</LinksUpToDate>
  <CharactersWithSpaces>4155</CharactersWithSpaces>
  <SharedDoc>false</SharedDoc>
  <HLinks>
    <vt:vector size="6" baseType="variant">
      <vt:variant>
        <vt:i4>458810</vt:i4>
      </vt:variant>
      <vt:variant>
        <vt:i4>0</vt:i4>
      </vt:variant>
      <vt:variant>
        <vt:i4>0</vt:i4>
      </vt:variant>
      <vt:variant>
        <vt:i4>5</vt:i4>
      </vt:variant>
      <vt:variant>
        <vt:lpwstr>https://www.icao.int/safety/FSMP/MeetingDocs/FSMP WG18/IP - Copy/FSMP-WG18-IP06_Proposed updates to Doc.9718 Vol 1C-Band Spectrum Compatibility.doc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5</cp:revision>
  <cp:lastPrinted>2005-03-16T12:26:00Z</cp:lastPrinted>
  <dcterms:created xsi:type="dcterms:W3CDTF">2024-07-05T13:33:00Z</dcterms:created>
  <dcterms:modified xsi:type="dcterms:W3CDTF">2024-07-09T22:22:00Z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1d732fcd8200311a7a6039d9e28ca1b28c481ee74aa1da008a0739260095f6ba</vt:lpwstr>
  </property>
  <property fmtid="{D5CDD505-2E9C-101B-9397-08002B2CF9AE}" pid="3" name="TitusGUID">
    <vt:lpwstr>9194a8d6-18fa-4d5e-b30e-c29a81eb8a8e</vt:lpwstr>
  </property>
  <property fmtid="{D5CDD505-2E9C-101B-9397-08002B2CF9AE}" pid="4" name="LABEL">
    <vt:lpwstr>N</vt:lpwstr>
  </property>
  <property fmtid="{D5CDD505-2E9C-101B-9397-08002B2CF9AE}" pid="5" name="Visual">
    <vt:lpwstr>0</vt:lpwstr>
  </property>
</Properties>
</file>