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6DB22" w14:textId="77777777" w:rsidR="00A47C40" w:rsidRDefault="00A47C40" w:rsidP="00A47C40">
      <w:pPr>
        <w:jc w:val="center"/>
        <w:rPr>
          <w:b/>
        </w:rPr>
      </w:pPr>
      <w:r>
        <w:rPr>
          <w:b/>
        </w:rPr>
        <w:t>FREQUENCY SPECTRUM MANAGEMENT PANEL (FSMP)</w:t>
      </w:r>
    </w:p>
    <w:p w14:paraId="2C914D0B" w14:textId="77777777" w:rsidR="00A47C40" w:rsidRDefault="00A47C40" w:rsidP="00A47C40">
      <w:pPr>
        <w:tabs>
          <w:tab w:val="left" w:pos="6972"/>
        </w:tabs>
        <w:jc w:val="center"/>
        <w:rPr>
          <w:b/>
        </w:rPr>
      </w:pPr>
    </w:p>
    <w:p w14:paraId="5D45607B" w14:textId="77777777" w:rsidR="00A47C40" w:rsidRDefault="00A47C40" w:rsidP="00A47C40">
      <w:pPr>
        <w:pStyle w:val="Maintitle"/>
      </w:pPr>
      <w:r>
        <w:t>Seventeenth Working Group meeting</w:t>
      </w:r>
    </w:p>
    <w:p w14:paraId="49934572" w14:textId="77777777" w:rsidR="00A47C40" w:rsidRDefault="00A47C40" w:rsidP="00A47C40"/>
    <w:p w14:paraId="31DBFC6F" w14:textId="77777777" w:rsidR="00A47C40" w:rsidRDefault="00A47C40" w:rsidP="00A47C40">
      <w:pPr>
        <w:jc w:val="center"/>
        <w:rPr>
          <w:b/>
          <w:bCs/>
          <w:szCs w:val="22"/>
        </w:rPr>
      </w:pPr>
      <w:bookmarkStart w:id="0" w:name="agenda_item"/>
      <w:bookmarkEnd w:id="0"/>
      <w:r>
        <w:rPr>
          <w:b/>
          <w:bCs/>
          <w:szCs w:val="22"/>
        </w:rPr>
        <w:t>Cairo, Egypt, 30 August – 8 September 2023</w:t>
      </w:r>
    </w:p>
    <w:p w14:paraId="5F6FF5E1" w14:textId="77777777" w:rsidR="00A47C40" w:rsidRDefault="00A47C40" w:rsidP="00A47C40">
      <w:pPr>
        <w:tabs>
          <w:tab w:val="left" w:pos="0"/>
          <w:tab w:val="left" w:pos="1570"/>
          <w:tab w:val="left" w:pos="1857"/>
        </w:tabs>
      </w:pPr>
    </w:p>
    <w:p w14:paraId="6538A47C" w14:textId="77777777" w:rsidR="00A47C40" w:rsidRDefault="00A47C40" w:rsidP="00A47C40">
      <w:pPr>
        <w:tabs>
          <w:tab w:val="left" w:pos="0"/>
          <w:tab w:val="left" w:pos="1570"/>
          <w:tab w:val="left" w:pos="1857"/>
        </w:tabs>
      </w:pPr>
    </w:p>
    <w:p w14:paraId="490B0A87" w14:textId="3253D6B7" w:rsidR="00A47C40" w:rsidRDefault="00A47C40" w:rsidP="00A47C40">
      <w:pPr>
        <w:pStyle w:val="Agendaitemtitle"/>
        <w:rPr>
          <w:lang w:val="sv-SE"/>
        </w:rPr>
      </w:pPr>
      <w:r>
        <w:rPr>
          <w:lang w:val="sv-SE"/>
        </w:rPr>
        <w:t>Agenda Item </w:t>
      </w:r>
      <w:r w:rsidR="00D631AD">
        <w:rPr>
          <w:lang w:val="sv-SE"/>
        </w:rPr>
        <w:t>8</w:t>
      </w:r>
      <w:r>
        <w:rPr>
          <w:lang w:val="sv-SE"/>
        </w:rPr>
        <w:t>:</w:t>
      </w:r>
      <w:r>
        <w:rPr>
          <w:lang w:val="sv-SE"/>
        </w:rPr>
        <w:tab/>
        <w:t>A</w:t>
      </w:r>
      <w:r w:rsidR="00D631AD">
        <w:rPr>
          <w:lang w:val="sv-SE"/>
        </w:rPr>
        <w:t>ny Other Business</w:t>
      </w:r>
    </w:p>
    <w:p w14:paraId="479FC2F2" w14:textId="77777777" w:rsidR="00A47C40" w:rsidRDefault="00A47C40" w:rsidP="00A47C40">
      <w:pPr>
        <w:pStyle w:val="Agendaitemtitle"/>
        <w:rPr>
          <w:b w:val="0"/>
          <w:lang w:val="sv-SE"/>
        </w:rPr>
      </w:pPr>
    </w:p>
    <w:p w14:paraId="570698F3" w14:textId="77777777" w:rsidR="00A47C40" w:rsidRDefault="00A47C40" w:rsidP="00A47C40">
      <w:pPr>
        <w:tabs>
          <w:tab w:val="left" w:pos="6972"/>
        </w:tabs>
        <w:rPr>
          <w:b/>
          <w:lang w:val="sv-SE"/>
        </w:rPr>
      </w:pPr>
    </w:p>
    <w:p w14:paraId="332696B8" w14:textId="77777777" w:rsidR="00A47C40" w:rsidRDefault="00A47C40" w:rsidP="00A47C40">
      <w:pPr>
        <w:pStyle w:val="Maintitle"/>
      </w:pPr>
      <w:r>
        <w:t>LDACS/GNSS compatibility – Outcomes of NSP JWGs/10</w:t>
      </w:r>
    </w:p>
    <w:p w14:paraId="6A70CEA8" w14:textId="77777777" w:rsidR="00A47C40" w:rsidRDefault="00A47C40" w:rsidP="00A47C40">
      <w:pPr>
        <w:tabs>
          <w:tab w:val="left" w:pos="6972"/>
        </w:tabs>
      </w:pPr>
    </w:p>
    <w:p w14:paraId="04B4FD9E" w14:textId="77777777" w:rsidR="00A47C40" w:rsidRDefault="00A47C40" w:rsidP="00A47C40">
      <w:pPr>
        <w:tabs>
          <w:tab w:val="left" w:pos="6972"/>
        </w:tabs>
      </w:pPr>
    </w:p>
    <w:p w14:paraId="2E72502B" w14:textId="0C5B380C" w:rsidR="00A47C40" w:rsidRDefault="00A47C40" w:rsidP="00A47C40">
      <w:pPr>
        <w:jc w:val="center"/>
      </w:pPr>
      <w:r>
        <w:t>Presented by</w:t>
      </w:r>
      <w:bookmarkStart w:id="1" w:name="presented_by"/>
      <w:bookmarkEnd w:id="1"/>
      <w:r w:rsidR="00781C24">
        <w:t xml:space="preserve"> </w:t>
      </w:r>
      <w:r w:rsidR="00B71FB5">
        <w:t>Guillaume Novella (France)</w:t>
      </w:r>
    </w:p>
    <w:p w14:paraId="2281E0E7" w14:textId="0FB44EBA" w:rsidR="00FC5288" w:rsidRDefault="00FC5288" w:rsidP="00A47C40">
      <w:pPr>
        <w:jc w:val="center"/>
      </w:pPr>
      <w:r>
        <w:t xml:space="preserve">Prepared by Guillaume Novella, Julien </w:t>
      </w:r>
      <w:proofErr w:type="spellStart"/>
      <w:r>
        <w:t>Lesouple</w:t>
      </w:r>
      <w:proofErr w:type="spellEnd"/>
      <w:r>
        <w:t>, Christophe Macabiau</w:t>
      </w:r>
    </w:p>
    <w:p w14:paraId="727A5D2E" w14:textId="77777777" w:rsidR="00A47C40" w:rsidRDefault="00A47C40" w:rsidP="00A47C40"/>
    <w:p w14:paraId="5B55AC90" w14:textId="77777777" w:rsidR="00A47C40" w:rsidRDefault="00A47C40" w:rsidP="00A47C4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A47C40" w14:paraId="60254970" w14:textId="77777777" w:rsidTr="00A4656A">
        <w:trPr>
          <w:cantSplit/>
          <w:trHeight w:hRule="exact" w:val="480"/>
          <w:jc w:val="center"/>
        </w:trPr>
        <w:tc>
          <w:tcPr>
            <w:tcW w:w="7200" w:type="dxa"/>
            <w:vAlign w:val="center"/>
          </w:tcPr>
          <w:p w14:paraId="00C9FE16" w14:textId="77777777" w:rsidR="00A47C40" w:rsidRDefault="00A47C40" w:rsidP="00A4656A">
            <w:pPr>
              <w:jc w:val="center"/>
              <w:rPr>
                <w:sz w:val="24"/>
                <w:lang w:val="en-US"/>
              </w:rPr>
            </w:pPr>
            <w:r>
              <w:rPr>
                <w:b/>
              </w:rPr>
              <w:t>SUMMARY</w:t>
            </w:r>
          </w:p>
        </w:tc>
      </w:tr>
      <w:tr w:rsidR="00A47C40" w14:paraId="587DA7C3" w14:textId="77777777" w:rsidTr="00A4656A">
        <w:trPr>
          <w:cantSplit/>
          <w:jc w:val="center"/>
        </w:trPr>
        <w:tc>
          <w:tcPr>
            <w:tcW w:w="7200" w:type="dxa"/>
          </w:tcPr>
          <w:p w14:paraId="117F376A" w14:textId="55B6F909" w:rsidR="00A47C40" w:rsidRDefault="00A47C40" w:rsidP="00A4656A">
            <w:pPr>
              <w:rPr>
                <w:lang w:val="en-US"/>
              </w:rPr>
            </w:pPr>
            <w:r>
              <w:rPr>
                <w:lang w:val="en-US"/>
              </w:rPr>
              <w:t xml:space="preserve">This paper recaps the discussion on LDACS vs GNSS compatibility </w:t>
            </w:r>
            <w:r w:rsidR="00243801">
              <w:rPr>
                <w:lang w:val="en-US"/>
              </w:rPr>
              <w:t xml:space="preserve">which </w:t>
            </w:r>
            <w:r>
              <w:rPr>
                <w:lang w:val="en-US"/>
              </w:rPr>
              <w:t>took place at NSP JWGs/10</w:t>
            </w:r>
            <w:r w:rsidR="00097C19">
              <w:rPr>
                <w:lang w:val="en-US"/>
              </w:rPr>
              <w:t xml:space="preserve"> and at RTCA SC-159 WG-6</w:t>
            </w:r>
            <w:r>
              <w:rPr>
                <w:lang w:val="en-US"/>
              </w:rPr>
              <w:t xml:space="preserve">. </w:t>
            </w:r>
          </w:p>
        </w:tc>
      </w:tr>
    </w:tbl>
    <w:p w14:paraId="6799BDE7" w14:textId="77777777" w:rsidR="00A47C40" w:rsidRDefault="00A47C40" w:rsidP="00A47C40"/>
    <w:p w14:paraId="10172D80" w14:textId="77777777" w:rsidR="00A47C40" w:rsidRDefault="00A47C40" w:rsidP="00A47C40"/>
    <w:p w14:paraId="64392E29" w14:textId="77777777" w:rsidR="00A47C40" w:rsidRDefault="00A47C40" w:rsidP="00A47C40">
      <w:pPr>
        <w:pStyle w:val="1Heading"/>
      </w:pPr>
      <w:r>
        <w:t>INTRODUCTION</w:t>
      </w:r>
    </w:p>
    <w:p w14:paraId="080CEB7F" w14:textId="0C1B0162" w:rsidR="00EF550E" w:rsidRDefault="00EF550E" w:rsidP="00EF550E">
      <w:pPr>
        <w:pStyle w:val="2para"/>
      </w:pPr>
      <w:r>
        <w:t>FSMP WG/16 WP/07 analysed the compliance of LDACS ground-to-air (forward link) and air-to-ground (return link) links with GNSS regulatory framework. It was concluded that there was no major issue concerning the LDACS ground-to-air link</w:t>
      </w:r>
      <w:r w:rsidR="00A71760">
        <w:t xml:space="preserve"> with the assumptions we made (ITU Res 417 met, LDACS-GNSS distance &gt;500 ft, assumptions </w:t>
      </w:r>
      <w:r w:rsidR="00C96071">
        <w:t>that</w:t>
      </w:r>
      <w:r w:rsidR="00A71760">
        <w:t xml:space="preserve"> LDCAS ground station antenna pattern</w:t>
      </w:r>
      <w:r w:rsidR="00C96071">
        <w:t xml:space="preserve"> is identical to DME beacon pattern</w:t>
      </w:r>
      <w:r w:rsidR="00A71760">
        <w:t>, assumptions on LDACS ground stations network distribution over Europe</w:t>
      </w:r>
      <w:r w:rsidR="00C96071">
        <w:t xml:space="preserve"> from LDACS paper</w:t>
      </w:r>
      <w:r w:rsidR="00A71760">
        <w:t>)</w:t>
      </w:r>
      <w:r>
        <w:t xml:space="preserve">, but the compliance of LDACS air-to-ground link with GNSS interference mask deserves further discussion.   </w:t>
      </w:r>
    </w:p>
    <w:p w14:paraId="00ACD09C" w14:textId="5BFBB258" w:rsidR="00A47C40" w:rsidRDefault="00A47C40" w:rsidP="00A47C40">
      <w:pPr>
        <w:pStyle w:val="2para"/>
      </w:pPr>
      <w:r>
        <w:t xml:space="preserve">FSMP WG/16 took the action (Action item 16-07) to forward WP/07 on compatibility between GNSS and LDACS to NSP GNSS SARPs WG for any comments on </w:t>
      </w:r>
      <w:r w:rsidR="00BF20F5">
        <w:t>hypothesis concerning</w:t>
      </w:r>
      <w:r>
        <w:t xml:space="preserve"> LDACS</w:t>
      </w:r>
      <w:r w:rsidR="00BF20F5">
        <w:t xml:space="preserve"> which were assumed</w:t>
      </w:r>
      <w:r>
        <w:t>.</w:t>
      </w:r>
    </w:p>
    <w:p w14:paraId="00CBB1DD" w14:textId="1722A596" w:rsidR="00A47C40" w:rsidRPr="00EF550E" w:rsidRDefault="00A47C40" w:rsidP="00A47C40">
      <w:pPr>
        <w:pStyle w:val="2para"/>
      </w:pPr>
      <w:r>
        <w:t>The topic has been discussed by NSP GNSS SARPs WG (WP/13</w:t>
      </w:r>
      <w:r w:rsidR="00CF2A47">
        <w:t>, submitted by France</w:t>
      </w:r>
      <w:r>
        <w:t xml:space="preserve">). This contribution summarizes the discussion that took place at </w:t>
      </w:r>
      <w:r>
        <w:rPr>
          <w:lang w:val="en-US"/>
        </w:rPr>
        <w:t xml:space="preserve">NSP JWGs/10 </w:t>
      </w:r>
      <w:r w:rsidR="00CF06F0">
        <w:rPr>
          <w:lang w:val="en-US"/>
        </w:rPr>
        <w:t xml:space="preserve">and at RTCA SC-159 WG-6 </w:t>
      </w:r>
      <w:r>
        <w:rPr>
          <w:lang w:val="en-US"/>
        </w:rPr>
        <w:t>on the compatibility analysis between LDACS and GNSS.</w:t>
      </w:r>
    </w:p>
    <w:p w14:paraId="387A5EE5" w14:textId="677CBECF" w:rsidR="00EF550E" w:rsidRPr="00FC5288" w:rsidRDefault="00EF550E" w:rsidP="00FC5288">
      <w:pPr>
        <w:pStyle w:val="2para"/>
        <w:numPr>
          <w:ilvl w:val="0"/>
          <w:numId w:val="0"/>
        </w:numPr>
        <w:rPr>
          <w:lang w:val="en-US"/>
        </w:rPr>
      </w:pPr>
      <w:r w:rsidRPr="00FC5288">
        <w:rPr>
          <w:lang w:val="en-US"/>
        </w:rPr>
        <w:t>FSMP WG/16 WP/07 and NSP JWGs/10 WP/13 are attached in annex.</w:t>
      </w:r>
    </w:p>
    <w:p w14:paraId="21731FD0" w14:textId="77777777" w:rsidR="00A47C40" w:rsidRDefault="00A47C40" w:rsidP="00A47C40">
      <w:pPr>
        <w:pStyle w:val="1Heading"/>
      </w:pPr>
      <w:r>
        <w:lastRenderedPageBreak/>
        <w:t>DISCUSSION</w:t>
      </w:r>
    </w:p>
    <w:p w14:paraId="58983A33" w14:textId="081B5CC4" w:rsidR="00A47C40" w:rsidRPr="00290F24" w:rsidRDefault="00A47C40" w:rsidP="00A47C40">
      <w:pPr>
        <w:pStyle w:val="2para"/>
      </w:pPr>
      <w:r>
        <w:t xml:space="preserve">The main concern risen in </w:t>
      </w:r>
      <w:r>
        <w:rPr>
          <w:lang w:val="en-US"/>
        </w:rPr>
        <w:t xml:space="preserve">NSP JWGs/10 WP/13 is the compliance of LDACS air-to-ground signal, as defined in Draft LDACS SARPs, with GNSS interference </w:t>
      </w:r>
      <w:r w:rsidR="00C96071">
        <w:rPr>
          <w:lang w:val="en-US"/>
        </w:rPr>
        <w:t xml:space="preserve">power </w:t>
      </w:r>
      <w:r w:rsidR="00C8036E">
        <w:rPr>
          <w:lang w:val="en-US"/>
        </w:rPr>
        <w:t xml:space="preserve">thresholds (also called the GNSS RFI </w:t>
      </w:r>
      <w:r>
        <w:rPr>
          <w:lang w:val="en-US"/>
        </w:rPr>
        <w:t>mask</w:t>
      </w:r>
      <w:r w:rsidR="00C8036E">
        <w:rPr>
          <w:lang w:val="en-US"/>
        </w:rPr>
        <w:t>)</w:t>
      </w:r>
      <w:r>
        <w:rPr>
          <w:lang w:val="en-US"/>
        </w:rPr>
        <w:t xml:space="preserve"> published in the Annex 10 to the </w:t>
      </w:r>
      <w:r w:rsidR="00B0720F">
        <w:rPr>
          <w:lang w:val="en-US"/>
        </w:rPr>
        <w:t>ICAO</w:t>
      </w:r>
      <w:r>
        <w:rPr>
          <w:lang w:val="en-US"/>
        </w:rPr>
        <w:t xml:space="preserve"> convention. The GNSS interference mask provides the maximum power at the GNSS antenna port of an external interference that can be tolerated by a GNSS receiver. </w:t>
      </w:r>
      <w:r w:rsidR="003E4206">
        <w:rPr>
          <w:lang w:val="en-US"/>
        </w:rPr>
        <w:t xml:space="preserve">This set of power interference thresholds is derived by evaluating how much margin exists on the </w:t>
      </w:r>
      <w:r w:rsidR="00BF20F5">
        <w:rPr>
          <w:lang w:val="en-US"/>
        </w:rPr>
        <w:t>effective</w:t>
      </w:r>
      <w:r w:rsidR="003E4206">
        <w:rPr>
          <w:lang w:val="en-US"/>
        </w:rPr>
        <w:t xml:space="preserve"> C/N</w:t>
      </w:r>
      <w:r w:rsidR="003E4206" w:rsidRPr="00B71FB5">
        <w:rPr>
          <w:vertAlign w:val="subscript"/>
          <w:lang w:val="en-US"/>
        </w:rPr>
        <w:t>0</w:t>
      </w:r>
      <w:r w:rsidR="003E4206">
        <w:rPr>
          <w:lang w:val="en-US"/>
        </w:rPr>
        <w:t xml:space="preserve"> for all aeronautical GNSS receivers to operate while complying with the minimum performance requirements. The equivalent wide-band noise margin identified is converted in a maximum tolerable power level from external interference. In the case of GNSS L5/E5a, the C/N</w:t>
      </w:r>
      <w:r w:rsidR="003E4206" w:rsidRPr="00B71FB5">
        <w:rPr>
          <w:vertAlign w:val="subscript"/>
          <w:lang w:val="en-US"/>
        </w:rPr>
        <w:t>0</w:t>
      </w:r>
      <w:r w:rsidR="003E4206">
        <w:rPr>
          <w:lang w:val="en-US"/>
        </w:rPr>
        <w:t xml:space="preserve"> margin is extremely thin.</w:t>
      </w:r>
    </w:p>
    <w:p w14:paraId="62FD9A98" w14:textId="362CC0F0" w:rsidR="00A47C40" w:rsidRPr="00290F24" w:rsidRDefault="00A47C40" w:rsidP="00A47C40">
      <w:pPr>
        <w:pStyle w:val="2para"/>
      </w:pPr>
      <w:r>
        <w:rPr>
          <w:lang w:val="en-US"/>
        </w:rPr>
        <w:t>The LDACS</w:t>
      </w:r>
      <w:r w:rsidR="00CC3C0C">
        <w:rPr>
          <w:lang w:val="en-US"/>
        </w:rPr>
        <w:t xml:space="preserve"> air-to-ground link</w:t>
      </w:r>
      <w:r>
        <w:rPr>
          <w:lang w:val="en-US"/>
        </w:rPr>
        <w:t xml:space="preserve"> received power at the GNSS antenna port is given by</w:t>
      </w:r>
      <w:r w:rsidR="00DC6FB5">
        <w:rPr>
          <w:lang w:val="en-US"/>
        </w:rPr>
        <w:t xml:space="preserve"> </w:t>
      </w:r>
      <w:r w:rsidR="00DC6FB5">
        <w:rPr>
          <w:lang w:val="en-US"/>
        </w:rPr>
        <w:fldChar w:fldCharType="begin"/>
      </w:r>
      <w:r w:rsidR="00DC6FB5">
        <w:rPr>
          <w:lang w:val="en-US"/>
        </w:rPr>
        <w:instrText xml:space="preserve"> REF _Ref134458610 \h </w:instrText>
      </w:r>
      <w:r w:rsidR="00DC6FB5">
        <w:rPr>
          <w:lang w:val="en-US"/>
        </w:rPr>
      </w:r>
      <w:r w:rsidR="00DC6FB5">
        <w:rPr>
          <w:lang w:val="en-US"/>
        </w:rPr>
        <w:fldChar w:fldCharType="separate"/>
      </w:r>
      <w:r w:rsidR="00DC6FB5">
        <w:t>(</w:t>
      </w:r>
      <w:proofErr w:type="spellStart"/>
      <w:r w:rsidR="00DC6FB5">
        <w:t>Eq</w:t>
      </w:r>
      <w:proofErr w:type="spellEnd"/>
      <w:r w:rsidR="00DC6FB5">
        <w:t xml:space="preserve"> </w:t>
      </w:r>
      <w:r w:rsidR="00DC6FB5">
        <w:rPr>
          <w:noProof/>
        </w:rPr>
        <w:t>1</w:t>
      </w:r>
      <w:r w:rsidR="00DC6FB5">
        <w:t>)</w:t>
      </w:r>
      <w:r w:rsidR="00DC6FB5">
        <w:rPr>
          <w:lang w:val="en-US"/>
        </w:rPr>
        <w:fldChar w:fldCharType="end"/>
      </w:r>
      <w:r w:rsidR="00DC6FB5">
        <w:rPr>
          <w:lang w:val="en-US"/>
        </w:rPr>
        <w:t>.</w:t>
      </w:r>
    </w:p>
    <w:tbl>
      <w:tblPr>
        <w:tblW w:w="0" w:type="auto"/>
        <w:tblLayout w:type="fixed"/>
        <w:tblLook w:val="04A0" w:firstRow="1" w:lastRow="0" w:firstColumn="1" w:lastColumn="0" w:noHBand="0" w:noVBand="1"/>
      </w:tblPr>
      <w:tblGrid>
        <w:gridCol w:w="992"/>
        <w:gridCol w:w="7371"/>
        <w:gridCol w:w="992"/>
      </w:tblGrid>
      <w:tr w:rsidR="00A47C40" w14:paraId="4CB3B6A5" w14:textId="77777777" w:rsidTr="00DC6FB5">
        <w:tc>
          <w:tcPr>
            <w:tcW w:w="992" w:type="dxa"/>
            <w:shd w:val="clear" w:color="auto" w:fill="auto"/>
          </w:tcPr>
          <w:p w14:paraId="4115D50E" w14:textId="77777777" w:rsidR="00A47C40" w:rsidRDefault="00A47C40" w:rsidP="00A4656A">
            <w:pPr>
              <w:pStyle w:val="2Para0"/>
              <w:tabs>
                <w:tab w:val="clear" w:pos="0"/>
              </w:tabs>
            </w:pPr>
          </w:p>
        </w:tc>
        <w:tc>
          <w:tcPr>
            <w:tcW w:w="7371" w:type="dxa"/>
            <w:shd w:val="clear" w:color="auto" w:fill="auto"/>
            <w:vAlign w:val="bottom"/>
          </w:tcPr>
          <w:p w14:paraId="7D9B5B0A" w14:textId="5495D796" w:rsidR="00A47C40" w:rsidRPr="00A47C40" w:rsidRDefault="00000000" w:rsidP="00A4656A">
            <w:pPr>
              <w:pStyle w:val="2Para0"/>
              <w:keepNext/>
              <w:tabs>
                <w:tab w:val="clear" w:pos="0"/>
              </w:tabs>
              <w:jc w:val="center"/>
            </w:pPr>
            <m:oMathPara>
              <m:oMath>
                <m:sSub>
                  <m:sSubPr>
                    <m:ctrlPr>
                      <w:rPr>
                        <w:rFonts w:ascii="Cambria Math" w:hAnsi="Cambria Math"/>
                        <w:i/>
                      </w:rPr>
                    </m:ctrlPr>
                  </m:sSubPr>
                  <m:e>
                    <m:r>
                      <w:rPr>
                        <w:rFonts w:ascii="Cambria Math" w:hAnsi="Cambria Math"/>
                      </w:rPr>
                      <m:t>P</m:t>
                    </m:r>
                  </m:e>
                  <m:sub>
                    <m:r>
                      <w:rPr>
                        <w:rFonts w:ascii="Cambria Math" w:hAnsi="Cambria Math"/>
                      </w:rPr>
                      <m:t>LDACS</m:t>
                    </m:r>
                  </m:sub>
                </m:sSub>
                <m:r>
                  <w:rPr>
                    <w:rFonts w:ascii="Cambria Math" w:hAnsi="Cambria Math"/>
                  </w:rPr>
                  <m:t>=EIR</m:t>
                </m:r>
                <m:sSub>
                  <m:sSubPr>
                    <m:ctrlPr>
                      <w:rPr>
                        <w:rFonts w:ascii="Cambria Math" w:hAnsi="Cambria Math"/>
                        <w:i/>
                      </w:rPr>
                    </m:ctrlPr>
                  </m:sSubPr>
                  <m:e>
                    <m:r>
                      <w:rPr>
                        <w:rFonts w:ascii="Cambria Math" w:hAnsi="Cambria Math"/>
                      </w:rPr>
                      <m:t>P</m:t>
                    </m:r>
                  </m:e>
                  <m:sub>
                    <m:r>
                      <w:rPr>
                        <w:rFonts w:ascii="Cambria Math" w:hAnsi="Cambria Math"/>
                      </w:rPr>
                      <m:t>LDACS</m:t>
                    </m:r>
                  </m:sub>
                </m:sSub>
                <m:r>
                  <w:rPr>
                    <w:rFonts w:ascii="Cambria Math" w:hAnsi="Cambria Math"/>
                  </w:rPr>
                  <m:t>∙PAPR∙PL∙</m:t>
                </m:r>
                <m:sSub>
                  <m:sSubPr>
                    <m:ctrlPr>
                      <w:rPr>
                        <w:rFonts w:ascii="Cambria Math" w:hAnsi="Cambria Math"/>
                        <w:i/>
                      </w:rPr>
                    </m:ctrlPr>
                  </m:sSubPr>
                  <m:e>
                    <m:r>
                      <w:rPr>
                        <w:rFonts w:ascii="Cambria Math" w:hAnsi="Cambria Math"/>
                      </w:rPr>
                      <m:t>G</m:t>
                    </m:r>
                  </m:e>
                  <m:sub>
                    <m:r>
                      <w:rPr>
                        <w:rFonts w:ascii="Cambria Math" w:hAnsi="Cambria Math"/>
                      </w:rPr>
                      <m:t>Rx</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polar</m:t>
                    </m:r>
                  </m:sub>
                </m:sSub>
              </m:oMath>
            </m:oMathPara>
          </w:p>
        </w:tc>
        <w:tc>
          <w:tcPr>
            <w:tcW w:w="992" w:type="dxa"/>
            <w:shd w:val="clear" w:color="auto" w:fill="auto"/>
            <w:vAlign w:val="center"/>
          </w:tcPr>
          <w:p w14:paraId="4C00907C" w14:textId="77777777" w:rsidR="00A47C40" w:rsidRDefault="00A47C40" w:rsidP="00A4656A">
            <w:pPr>
              <w:pStyle w:val="2Para0"/>
              <w:tabs>
                <w:tab w:val="clear" w:pos="0"/>
              </w:tabs>
              <w:jc w:val="right"/>
            </w:pPr>
            <w:bookmarkStart w:id="2" w:name="_Ref134458610"/>
            <w:r>
              <w:t>(</w:t>
            </w:r>
            <w:proofErr w:type="spellStart"/>
            <w:r>
              <w:t>Eq</w:t>
            </w:r>
            <w:proofErr w:type="spellEnd"/>
            <w:r>
              <w:t xml:space="preserve"> </w:t>
            </w:r>
            <w:r>
              <w:fldChar w:fldCharType="begin"/>
            </w:r>
            <w:r>
              <w:instrText xml:space="preserve"> SEQ Eq \* ARABIC </w:instrText>
            </w:r>
            <w:r>
              <w:fldChar w:fldCharType="separate"/>
            </w:r>
            <w:r>
              <w:rPr>
                <w:noProof/>
              </w:rPr>
              <w:t>1</w:t>
            </w:r>
            <w:r>
              <w:fldChar w:fldCharType="end"/>
            </w:r>
            <w:r>
              <w:t>)</w:t>
            </w:r>
            <w:bookmarkEnd w:id="2"/>
          </w:p>
        </w:tc>
      </w:tr>
    </w:tbl>
    <w:p w14:paraId="2572AA5D" w14:textId="457FE827" w:rsidR="00A47C40" w:rsidRDefault="00DC6FB5" w:rsidP="00DC6FB5">
      <w:pPr>
        <w:pStyle w:val="2para"/>
        <w:numPr>
          <w:ilvl w:val="0"/>
          <w:numId w:val="5"/>
        </w:numPr>
      </w:pPr>
      <m:oMath>
        <m:r>
          <w:rPr>
            <w:rFonts w:ascii="Cambria Math" w:hAnsi="Cambria Math"/>
          </w:rPr>
          <m:t>EIR</m:t>
        </m:r>
        <m:sSub>
          <m:sSubPr>
            <m:ctrlPr>
              <w:rPr>
                <w:rFonts w:ascii="Cambria Math" w:hAnsi="Cambria Math"/>
                <w:i/>
              </w:rPr>
            </m:ctrlPr>
          </m:sSubPr>
          <m:e>
            <m:r>
              <w:rPr>
                <w:rFonts w:ascii="Cambria Math" w:hAnsi="Cambria Math"/>
              </w:rPr>
              <m:t>P</m:t>
            </m:r>
          </m:e>
          <m:sub>
            <m:r>
              <w:rPr>
                <w:rFonts w:ascii="Cambria Math" w:hAnsi="Cambria Math"/>
              </w:rPr>
              <m:t>LDACS</m:t>
            </m:r>
          </m:sub>
        </m:sSub>
      </m:oMath>
      <w:r w:rsidRPr="00DC6FB5">
        <w:t xml:space="preserve"> is the maximum average EIRP of airborne transmitter (41 dBm according to Draft LDACS SARPs)</w:t>
      </w:r>
      <w:r w:rsidR="003421E0">
        <w:t>.</w:t>
      </w:r>
    </w:p>
    <w:p w14:paraId="56F9EA1F" w14:textId="399B2A6B" w:rsidR="003421E0" w:rsidRDefault="003421E0" w:rsidP="00DC6FB5">
      <w:pPr>
        <w:pStyle w:val="2para"/>
        <w:numPr>
          <w:ilvl w:val="0"/>
          <w:numId w:val="5"/>
        </w:numPr>
      </w:pPr>
      <m:oMath>
        <m:r>
          <w:rPr>
            <w:rFonts w:ascii="Cambria Math" w:hAnsi="Cambria Math"/>
          </w:rPr>
          <m:t>PAPR</m:t>
        </m:r>
      </m:oMath>
      <w:r>
        <w:t xml:space="preserve"> refers to the peak-to-average power ratio </w:t>
      </w:r>
      <w:proofErr w:type="gramStart"/>
      <w:r>
        <w:t>in order to</w:t>
      </w:r>
      <w:proofErr w:type="gramEnd"/>
      <w:r>
        <w:t xml:space="preserve"> take into account that for OFDM, the peak power can exceed the average power. </w:t>
      </w:r>
    </w:p>
    <w:p w14:paraId="7911CAF8" w14:textId="77777777" w:rsidR="003421E0" w:rsidRDefault="003421E0" w:rsidP="003421E0">
      <w:pPr>
        <w:pStyle w:val="2Para0"/>
        <w:numPr>
          <w:ilvl w:val="0"/>
          <w:numId w:val="5"/>
        </w:numPr>
      </w:pPr>
      <m:oMath>
        <m:r>
          <w:rPr>
            <w:rFonts w:ascii="Cambria Math" w:hAnsi="Cambria Math"/>
          </w:rPr>
          <m:t>PL</m:t>
        </m:r>
      </m:oMath>
      <w:r>
        <w:t xml:space="preserve"> refers to propagation losses.</w:t>
      </w:r>
    </w:p>
    <w:p w14:paraId="3AA492AA" w14:textId="77777777" w:rsidR="003421E0" w:rsidRDefault="00000000" w:rsidP="003421E0">
      <w:pPr>
        <w:pStyle w:val="2Para0"/>
        <w:numPr>
          <w:ilvl w:val="0"/>
          <w:numId w:val="5"/>
        </w:numPr>
      </w:pPr>
      <m:oMath>
        <m:sSub>
          <m:sSubPr>
            <m:ctrlPr>
              <w:rPr>
                <w:rFonts w:ascii="Cambria Math" w:hAnsi="Cambria Math"/>
                <w:i/>
              </w:rPr>
            </m:ctrlPr>
          </m:sSubPr>
          <m:e>
            <m:r>
              <w:rPr>
                <w:rFonts w:ascii="Cambria Math" w:hAnsi="Cambria Math"/>
              </w:rPr>
              <m:t>G</m:t>
            </m:r>
          </m:e>
          <m:sub>
            <m:r>
              <w:rPr>
                <w:rFonts w:ascii="Cambria Math" w:hAnsi="Cambria Math"/>
              </w:rPr>
              <m:t>Rx</m:t>
            </m:r>
          </m:sub>
        </m:sSub>
      </m:oMath>
      <w:r w:rsidR="003421E0">
        <w:t xml:space="preserve"> is the GNSS receiver antenna gain.</w:t>
      </w:r>
    </w:p>
    <w:p w14:paraId="78C8AD29" w14:textId="569B664A" w:rsidR="003421E0" w:rsidRDefault="00000000" w:rsidP="003421E0">
      <w:pPr>
        <w:pStyle w:val="2para"/>
        <w:numPr>
          <w:ilvl w:val="0"/>
          <w:numId w:val="5"/>
        </w:numPr>
      </w:pPr>
      <m:oMath>
        <m:sSub>
          <m:sSubPr>
            <m:ctrlPr>
              <w:rPr>
                <w:rFonts w:ascii="Cambria Math" w:hAnsi="Cambria Math"/>
                <w:i/>
              </w:rPr>
            </m:ctrlPr>
          </m:sSubPr>
          <m:e>
            <m:r>
              <w:rPr>
                <w:rFonts w:ascii="Cambria Math" w:hAnsi="Cambria Math"/>
              </w:rPr>
              <m:t>L</m:t>
            </m:r>
          </m:e>
          <m:sub>
            <m:r>
              <w:rPr>
                <w:rFonts w:ascii="Cambria Math" w:hAnsi="Cambria Math"/>
              </w:rPr>
              <m:t>polar</m:t>
            </m:r>
          </m:sub>
        </m:sSub>
      </m:oMath>
      <w:r w:rsidR="003421E0">
        <w:t xml:space="preserve"> refers to polarization losses.</w:t>
      </w:r>
    </w:p>
    <w:p w14:paraId="3AFE8422" w14:textId="0F4AFE0A" w:rsidR="00A47C40" w:rsidRPr="004F21E0" w:rsidRDefault="003421E0" w:rsidP="00A47C40">
      <w:pPr>
        <w:pStyle w:val="2para"/>
      </w:pPr>
      <w:r>
        <w:t xml:space="preserve">Discussion at </w:t>
      </w:r>
      <w:r>
        <w:rPr>
          <w:lang w:val="en-US"/>
        </w:rPr>
        <w:t>NSP JWGs/10</w:t>
      </w:r>
      <w:r w:rsidR="00193C79">
        <w:rPr>
          <w:lang w:val="en-US"/>
        </w:rPr>
        <w:t xml:space="preserve"> and RTCA SC-159 WG-6</w:t>
      </w:r>
      <w:r>
        <w:rPr>
          <w:lang w:val="en-US"/>
        </w:rPr>
        <w:t xml:space="preserve"> mainly focused on:</w:t>
      </w:r>
    </w:p>
    <w:p w14:paraId="6A475866" w14:textId="616B1807" w:rsidR="004F21E0" w:rsidRPr="004F21E0" w:rsidRDefault="004F21E0" w:rsidP="004F21E0">
      <w:pPr>
        <w:pStyle w:val="2para"/>
        <w:numPr>
          <w:ilvl w:val="0"/>
          <w:numId w:val="5"/>
        </w:numPr>
      </w:pPr>
      <w:r>
        <w:rPr>
          <w:lang w:val="en-US"/>
        </w:rPr>
        <w:t xml:space="preserve">A relevant value to be used for </w:t>
      </w:r>
      <m:oMath>
        <m:r>
          <w:rPr>
            <w:rFonts w:ascii="Cambria Math" w:hAnsi="Cambria Math"/>
            <w:lang w:val="en-US"/>
          </w:rPr>
          <m:t>PAPR</m:t>
        </m:r>
      </m:oMath>
      <w:r w:rsidR="00EF550E">
        <w:rPr>
          <w:lang w:val="en-US"/>
        </w:rPr>
        <w:t xml:space="preserve"> in the link budget between LDACS airborne transmitter and GNSS airborne receiver.</w:t>
      </w:r>
    </w:p>
    <w:p w14:paraId="761743EB" w14:textId="5B61228A" w:rsidR="004F21E0" w:rsidRPr="004F21E0" w:rsidRDefault="004F21E0" w:rsidP="004F21E0">
      <w:pPr>
        <w:pStyle w:val="2para"/>
        <w:numPr>
          <w:ilvl w:val="0"/>
          <w:numId w:val="5"/>
        </w:numPr>
      </w:pPr>
      <w:r>
        <w:rPr>
          <w:lang w:val="en-US"/>
        </w:rPr>
        <w:t>The interpretation of the GNSS interference mask to consider a relevant threshold in the compatibility analysis.</w:t>
      </w:r>
    </w:p>
    <w:p w14:paraId="6B2CB46E" w14:textId="2B9C3E29" w:rsidR="004F21E0" w:rsidRPr="00190176" w:rsidRDefault="004F21E0" w:rsidP="00A47C40">
      <w:pPr>
        <w:pStyle w:val="2para"/>
        <w:rPr>
          <w:b/>
          <w:bCs/>
        </w:rPr>
      </w:pPr>
      <w:r w:rsidRPr="00190176">
        <w:rPr>
          <w:b/>
          <w:bCs/>
          <w:lang w:val="en-US"/>
        </w:rPr>
        <w:t>Discussion on peak-to-average power ratio</w:t>
      </w:r>
    </w:p>
    <w:p w14:paraId="2A24674D" w14:textId="28EFD499" w:rsidR="004F21E0" w:rsidRDefault="00190176" w:rsidP="004F21E0">
      <w:pPr>
        <w:pStyle w:val="3para"/>
      </w:pPr>
      <w:r>
        <w:t xml:space="preserve">PAPR complementary cumulative density function (CCDF) is represented in </w:t>
      </w:r>
      <w:r w:rsidR="00591CB7">
        <w:fldChar w:fldCharType="begin"/>
      </w:r>
      <w:r w:rsidR="00591CB7">
        <w:instrText xml:space="preserve"> REF _Ref143094815 \h </w:instrText>
      </w:r>
      <w:r w:rsidR="00591CB7">
        <w:fldChar w:fldCharType="separate"/>
      </w:r>
      <w:r w:rsidR="00591CB7" w:rsidRPr="00591CB7">
        <w:t>Figure 1</w:t>
      </w:r>
      <w:r w:rsidR="00591CB7">
        <w:fldChar w:fldCharType="end"/>
      </w:r>
      <w:r>
        <w:t xml:space="preserve">. </w:t>
      </w:r>
    </w:p>
    <w:p w14:paraId="3B036664" w14:textId="77777777" w:rsidR="00591CB7" w:rsidRDefault="00591CB7" w:rsidP="00591CB7">
      <w:pPr>
        <w:pStyle w:val="3para"/>
        <w:keepNext/>
        <w:numPr>
          <w:ilvl w:val="0"/>
          <w:numId w:val="0"/>
        </w:numPr>
        <w:jc w:val="center"/>
      </w:pPr>
      <w:r w:rsidRPr="00A442CD">
        <w:rPr>
          <w:noProof/>
        </w:rPr>
        <w:drawing>
          <wp:inline distT="0" distB="0" distL="0" distR="0" wp14:anchorId="198B5D67" wp14:editId="71F93A44">
            <wp:extent cx="3737217" cy="2713341"/>
            <wp:effectExtent l="0" t="0" r="0" b="0"/>
            <wp:docPr id="52" name="Image 51">
              <a:extLst xmlns:a="http://schemas.openxmlformats.org/drawingml/2006/main">
                <a:ext uri="{FF2B5EF4-FFF2-40B4-BE49-F238E27FC236}">
                  <a16:creationId xmlns:a16="http://schemas.microsoft.com/office/drawing/2014/main" id="{39015D74-B987-74E2-8C5F-BA8E2F63F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1">
                      <a:extLst>
                        <a:ext uri="{FF2B5EF4-FFF2-40B4-BE49-F238E27FC236}">
                          <a16:creationId xmlns:a16="http://schemas.microsoft.com/office/drawing/2014/main" id="{39015D74-B987-74E2-8C5F-BA8E2F63F66A}"/>
                        </a:ext>
                      </a:extLst>
                    </pic:cNvPr>
                    <pic:cNvPicPr>
                      <a:picLocks noChangeAspect="1"/>
                    </pic:cNvPicPr>
                  </pic:nvPicPr>
                  <pic:blipFill rotWithShape="1">
                    <a:blip r:embed="rId11"/>
                    <a:srcRect l="51166"/>
                    <a:stretch/>
                  </pic:blipFill>
                  <pic:spPr>
                    <a:xfrm>
                      <a:off x="0" y="0"/>
                      <a:ext cx="3737217" cy="2713341"/>
                    </a:xfrm>
                    <a:prstGeom prst="rect">
                      <a:avLst/>
                    </a:prstGeom>
                  </pic:spPr>
                </pic:pic>
              </a:graphicData>
            </a:graphic>
          </wp:inline>
        </w:drawing>
      </w:r>
    </w:p>
    <w:p w14:paraId="32F80CE6" w14:textId="0B57B9DF" w:rsidR="00591CB7" w:rsidRPr="00591CB7" w:rsidRDefault="00591CB7" w:rsidP="00591CB7">
      <w:pPr>
        <w:pStyle w:val="Caption"/>
      </w:pPr>
      <w:bookmarkStart w:id="3" w:name="_Ref143094815"/>
      <w:r w:rsidRPr="00591CB7">
        <w:t xml:space="preserve">Figure </w:t>
      </w:r>
      <w:r>
        <w:fldChar w:fldCharType="begin"/>
      </w:r>
      <w:r>
        <w:instrText xml:space="preserve"> SEQ Figure \* ARABIC </w:instrText>
      </w:r>
      <w:r>
        <w:fldChar w:fldCharType="separate"/>
      </w:r>
      <w:r w:rsidR="005D3920">
        <w:rPr>
          <w:noProof/>
        </w:rPr>
        <w:t>1</w:t>
      </w:r>
      <w:r>
        <w:fldChar w:fldCharType="end"/>
      </w:r>
      <w:bookmarkEnd w:id="3"/>
      <w:r w:rsidRPr="00591CB7">
        <w:t>: LDACS PAPR CCDF</w:t>
      </w:r>
    </w:p>
    <w:p w14:paraId="21D77531" w14:textId="0FD1FE5F" w:rsidR="00591CB7" w:rsidRDefault="00591CB7" w:rsidP="00591CB7">
      <w:pPr>
        <w:pStyle w:val="3para"/>
      </w:pPr>
      <w:r>
        <w:t xml:space="preserve">A rule of thumb </w:t>
      </w:r>
      <w:r w:rsidR="00AB0D19">
        <w:t>for GNSS is to tolerate a maximum rate of interference</w:t>
      </w:r>
      <w:r w:rsidR="00792FC1">
        <w:t xml:space="preserve"> above the threshold</w:t>
      </w:r>
      <w:r w:rsidR="00AB0D19">
        <w:t xml:space="preserve"> of 10</w:t>
      </w:r>
      <w:r w:rsidR="00AB0D19" w:rsidRPr="00AB0D19">
        <w:rPr>
          <w:vertAlign w:val="superscript"/>
        </w:rPr>
        <w:t>-6</w:t>
      </w:r>
      <w:r w:rsidR="00AB0D19">
        <w:t xml:space="preserve"> h</w:t>
      </w:r>
      <w:r w:rsidR="00AB0D19" w:rsidRPr="00AB0D19">
        <w:rPr>
          <w:vertAlign w:val="superscript"/>
        </w:rPr>
        <w:t>-1</w:t>
      </w:r>
      <w:r w:rsidR="00AB0D19">
        <w:t xml:space="preserve"> (see ITU Recommendation M.1903). </w:t>
      </w:r>
    </w:p>
    <w:p w14:paraId="279A4716" w14:textId="20B1E480" w:rsidR="00AB0D19" w:rsidRPr="00792FC1" w:rsidRDefault="00792FC1" w:rsidP="00591CB7">
      <w:pPr>
        <w:pStyle w:val="3para"/>
      </w:pPr>
      <w:r>
        <w:t xml:space="preserve">In </w:t>
      </w:r>
      <w:r>
        <w:rPr>
          <w:lang w:val="en-US"/>
        </w:rPr>
        <w:t>NSP JWGs/10 WP/13, two approaches were presented. T</w:t>
      </w:r>
      <w:r>
        <w:t>he first approach considered only the instantaneous 10</w:t>
      </w:r>
      <w:r w:rsidRPr="00E757EC">
        <w:rPr>
          <w:vertAlign w:val="superscript"/>
        </w:rPr>
        <w:t>-6</w:t>
      </w:r>
      <w:r>
        <w:t xml:space="preserve"> probability</w:t>
      </w:r>
      <w:r w:rsidR="00C8036E">
        <w:t xml:space="preserve"> of exceedance by the peak envelope power</w:t>
      </w:r>
      <w:r>
        <w:t xml:space="preserve">, meaning that it was considered that if at any time the peak envelope power during 1 LDACS sample exceeds the RFI mask, then </w:t>
      </w:r>
      <w:r w:rsidR="00C8036E">
        <w:t xml:space="preserve">continuity of </w:t>
      </w:r>
      <w:r>
        <w:t xml:space="preserve">GNSS operation is compromised. With this approach, a margin </w:t>
      </w:r>
      <m:oMath>
        <m:r>
          <w:rPr>
            <w:rFonts w:ascii="Cambria Math" w:hAnsi="Cambria Math"/>
          </w:rPr>
          <m:t>PAPR=11 dB</m:t>
        </m:r>
      </m:oMath>
      <w:r>
        <w:t xml:space="preserve"> would be required according to </w:t>
      </w:r>
      <w:r>
        <w:fldChar w:fldCharType="begin"/>
      </w:r>
      <w:r>
        <w:instrText xml:space="preserve"> REF _Ref134467070 \h </w:instrText>
      </w:r>
      <w:r>
        <w:fldChar w:fldCharType="separate"/>
      </w:r>
      <w:r>
        <w:t xml:space="preserve">Figure </w:t>
      </w:r>
      <w:r>
        <w:rPr>
          <w:noProof/>
        </w:rPr>
        <w:t>1</w:t>
      </w:r>
      <w:r>
        <w:fldChar w:fldCharType="end"/>
      </w:r>
      <w:r>
        <w:t xml:space="preserve">. This is a conservative approach because, since LDACS symbol period is 1.6 µs according to draft LDACS SARPs, and this 1.6 µs duration is much lower than typical GNSS coherent integration time of 1ms to 20 </w:t>
      </w:r>
      <w:proofErr w:type="spellStart"/>
      <w:r>
        <w:t>ms</w:t>
      </w:r>
      <w:proofErr w:type="spellEnd"/>
      <w:r>
        <w:t>, exceeding the GNSS interference threshold during one LDACS symbol does not necessarily induce a disruption</w:t>
      </w:r>
      <w:r w:rsidR="00252E76">
        <w:t xml:space="preserve"> of continuity</w:t>
      </w:r>
      <w:r w:rsidR="00252E76" w:rsidRPr="00252E76">
        <w:t xml:space="preserve"> </w:t>
      </w:r>
      <w:r w:rsidR="00252E76">
        <w:t>of GNSS service.</w:t>
      </w:r>
    </w:p>
    <w:p w14:paraId="4F454945" w14:textId="3648092A" w:rsidR="00792FC1" w:rsidRDefault="00792FC1" w:rsidP="00792FC1">
      <w:pPr>
        <w:pStyle w:val="3para"/>
        <w:numPr>
          <w:ilvl w:val="0"/>
          <w:numId w:val="0"/>
        </w:numPr>
        <w:rPr>
          <w:lang w:val="en-US"/>
        </w:rPr>
      </w:pPr>
      <w:r>
        <w:rPr>
          <w:lang w:val="en-US"/>
        </w:rPr>
        <w:t xml:space="preserve">In the second approach, </w:t>
      </w:r>
      <w:r>
        <w:t>a disruption</w:t>
      </w:r>
      <w:r w:rsidR="00252E76">
        <w:t xml:space="preserve"> of GNSS servi</w:t>
      </w:r>
      <w:r w:rsidR="004A32BF">
        <w:t>c</w:t>
      </w:r>
      <w:r w:rsidR="00252E76">
        <w:t>e continuity</w:t>
      </w:r>
      <w:r>
        <w:t xml:space="preserve"> is supposed to occur when the LDACS interference power at the antenna port averaged over the integration time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t xml:space="preserve"> exceeds the </w:t>
      </w:r>
      <w:r w:rsidR="00CF06F0">
        <w:t>threshold</w:t>
      </w:r>
      <w:r>
        <w:t xml:space="preserve">. In this analysis,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t xml:space="preserve"> is set to 1 ms </w:t>
      </w:r>
      <w:proofErr w:type="gramStart"/>
      <w:r>
        <w:t>in order to</w:t>
      </w:r>
      <w:proofErr w:type="gramEnd"/>
      <w:r>
        <w:t xml:space="preserve"> address the GNSS L5/E5a signal acquisition function, which is the GNSS function using the shortest integration time, therefore inducing the smallest power averaging. Assuming independent LDACS samples, it was demonstrated in </w:t>
      </w:r>
      <w:r>
        <w:rPr>
          <w:lang w:val="en-US"/>
        </w:rPr>
        <w:t xml:space="preserve">NSP JWGs/10 WP/13 that </w:t>
      </w:r>
      <m:oMath>
        <m:r>
          <w:rPr>
            <w:rFonts w:ascii="Cambria Math" w:hAnsi="Cambria Math"/>
            <w:lang w:val="en-US"/>
          </w:rPr>
          <m:t>PAPR=2 dB</m:t>
        </m:r>
      </m:oMath>
      <w:r>
        <w:rPr>
          <w:lang w:val="en-US"/>
        </w:rPr>
        <w:t xml:space="preserve"> is sufficient to respect the maximum GNSS </w:t>
      </w:r>
      <w:r w:rsidR="00252E76">
        <w:rPr>
          <w:lang w:val="en-US"/>
        </w:rPr>
        <w:t xml:space="preserve">service continuity </w:t>
      </w:r>
      <w:r>
        <w:rPr>
          <w:lang w:val="en-US"/>
        </w:rPr>
        <w:t>disruption rate of 10</w:t>
      </w:r>
      <w:r w:rsidRPr="00792FC1">
        <w:rPr>
          <w:vertAlign w:val="superscript"/>
          <w:lang w:val="en-US"/>
        </w:rPr>
        <w:t>-6</w:t>
      </w:r>
      <w:r>
        <w:rPr>
          <w:lang w:val="en-US"/>
        </w:rPr>
        <w:t xml:space="preserve"> per hour.</w:t>
      </w:r>
      <w:r w:rsidR="00252E76">
        <w:rPr>
          <w:lang w:val="en-US"/>
        </w:rPr>
        <w:t xml:space="preserve"> </w:t>
      </w:r>
      <w:r w:rsidR="00B71FB5">
        <w:rPr>
          <w:lang w:val="en-US"/>
        </w:rPr>
        <w:t>Assuming independence between LDACS samples and therefore also independence of occurrences of events of no exceedance of 1ms-average LDACS RL power over 1 hour may not be the most realistic assumption. But no other guaranteed model for time correlation scheme of LDACS RL power is known by the authors at this stage so we prefer to keep this model of independence for now.</w:t>
      </w:r>
    </w:p>
    <w:p w14:paraId="04947231" w14:textId="595DDB8A" w:rsidR="00277CE9" w:rsidRDefault="00277CE9" w:rsidP="00792FC1">
      <w:pPr>
        <w:pStyle w:val="3para"/>
        <w:numPr>
          <w:ilvl w:val="0"/>
          <w:numId w:val="0"/>
        </w:numPr>
        <w:rPr>
          <w:lang w:val="en-US"/>
        </w:rPr>
      </w:pPr>
      <w:r>
        <w:rPr>
          <w:lang w:val="en-US"/>
        </w:rPr>
        <w:t xml:space="preserve">It is mentioned in WP-02 that the assumption of independence between LDACS samples is not correct. </w:t>
      </w:r>
      <w:r w:rsidR="00FC5288">
        <w:rPr>
          <w:lang w:val="en-US"/>
        </w:rPr>
        <w:t xml:space="preserve">As illustrated in </w:t>
      </w:r>
      <w:r w:rsidR="005D3920">
        <w:rPr>
          <w:lang w:val="en-US"/>
        </w:rPr>
        <w:fldChar w:fldCharType="begin"/>
      </w:r>
      <w:r w:rsidR="005D3920">
        <w:rPr>
          <w:lang w:val="en-US"/>
        </w:rPr>
        <w:instrText xml:space="preserve"> REF _Ref144579627 \h </w:instrText>
      </w:r>
      <w:r w:rsidR="005D3920">
        <w:rPr>
          <w:lang w:val="en-US"/>
        </w:rPr>
      </w:r>
      <w:r w:rsidR="005D3920">
        <w:rPr>
          <w:lang w:val="en-US"/>
        </w:rPr>
        <w:fldChar w:fldCharType="separate"/>
      </w:r>
      <w:r w:rsidR="005D3920">
        <w:t xml:space="preserve">Figure </w:t>
      </w:r>
      <w:r w:rsidR="005D3920">
        <w:rPr>
          <w:noProof/>
        </w:rPr>
        <w:t>2</w:t>
      </w:r>
      <w:r w:rsidR="005D3920">
        <w:rPr>
          <w:lang w:val="en-US"/>
        </w:rPr>
        <w:fldChar w:fldCharType="end"/>
      </w:r>
      <w:r w:rsidR="00FC5288">
        <w:rPr>
          <w:lang w:val="en-US"/>
        </w:rPr>
        <w:t xml:space="preserve">, comparing the LDACS power averaged over 1 </w:t>
      </w:r>
      <w:proofErr w:type="spellStart"/>
      <w:r w:rsidR="00FC5288">
        <w:rPr>
          <w:lang w:val="en-US"/>
        </w:rPr>
        <w:t>ms</w:t>
      </w:r>
      <w:proofErr w:type="spellEnd"/>
      <w:r w:rsidR="00FC5288">
        <w:rPr>
          <w:lang w:val="en-US"/>
        </w:rPr>
        <w:t xml:space="preserve"> (normalized) computed from generated samples from </w:t>
      </w:r>
      <w:proofErr w:type="spellStart"/>
      <w:r w:rsidR="00FC5288">
        <w:rPr>
          <w:lang w:val="en-US"/>
        </w:rPr>
        <w:t>matlab</w:t>
      </w:r>
      <w:proofErr w:type="spellEnd"/>
      <w:r w:rsidR="00FC5288">
        <w:rPr>
          <w:lang w:val="en-US"/>
        </w:rPr>
        <w:t xml:space="preserve"> software with the theoretical approach assuming independence, p</w:t>
      </w:r>
      <w:r>
        <w:rPr>
          <w:lang w:val="en-US"/>
        </w:rPr>
        <w:t xml:space="preserve">reliminary simulations indeed </w:t>
      </w:r>
      <w:r w:rsidR="00E86FB4">
        <w:rPr>
          <w:lang w:val="en-US"/>
        </w:rPr>
        <w:t xml:space="preserve">tend to </w:t>
      </w:r>
      <w:r>
        <w:rPr>
          <w:lang w:val="en-US"/>
        </w:rPr>
        <w:t xml:space="preserve">confirm this statement, and it may be considered to lower this value down to 0.5 dB at a </w:t>
      </w:r>
      <w:proofErr w:type="spellStart"/>
      <w:r>
        <w:rPr>
          <w:lang w:val="en-US"/>
        </w:rPr>
        <w:t>latter</w:t>
      </w:r>
      <w:proofErr w:type="spellEnd"/>
      <w:r>
        <w:rPr>
          <w:lang w:val="en-US"/>
        </w:rPr>
        <w:t xml:space="preserve"> stage, but further validations are needed.</w:t>
      </w:r>
    </w:p>
    <w:p w14:paraId="6B2AD3BE" w14:textId="77777777" w:rsidR="005D3920" w:rsidRDefault="005D3920" w:rsidP="005719C3">
      <w:pPr>
        <w:pStyle w:val="3para"/>
        <w:keepNext/>
        <w:numPr>
          <w:ilvl w:val="0"/>
          <w:numId w:val="0"/>
        </w:numPr>
        <w:jc w:val="center"/>
      </w:pPr>
      <w:r w:rsidRPr="005D3920">
        <w:rPr>
          <w:noProof/>
          <w:lang w:val="en-US"/>
        </w:rPr>
        <w:drawing>
          <wp:inline distT="0" distB="0" distL="0" distR="0" wp14:anchorId="7981AF49" wp14:editId="45B75664">
            <wp:extent cx="3625850" cy="271830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4385" cy="2739700"/>
                    </a:xfrm>
                    <a:prstGeom prst="rect">
                      <a:avLst/>
                    </a:prstGeom>
                    <a:noFill/>
                    <a:ln>
                      <a:noFill/>
                    </a:ln>
                  </pic:spPr>
                </pic:pic>
              </a:graphicData>
            </a:graphic>
          </wp:inline>
        </w:drawing>
      </w:r>
    </w:p>
    <w:p w14:paraId="0944A39F" w14:textId="10E65C0B" w:rsidR="00277CE9" w:rsidRDefault="005D3920">
      <w:pPr>
        <w:pStyle w:val="Caption"/>
      </w:pPr>
      <w:bookmarkStart w:id="4" w:name="_Ref144579627"/>
      <w:r>
        <w:t xml:space="preserve">Figure </w:t>
      </w:r>
      <w:r>
        <w:fldChar w:fldCharType="begin"/>
      </w:r>
      <w:r>
        <w:instrText xml:space="preserve"> SEQ Figure \* ARABIC </w:instrText>
      </w:r>
      <w:r>
        <w:fldChar w:fldCharType="separate"/>
      </w:r>
      <w:r>
        <w:rPr>
          <w:noProof/>
        </w:rPr>
        <w:t>2</w:t>
      </w:r>
      <w:r>
        <w:fldChar w:fldCharType="end"/>
      </w:r>
      <w:bookmarkEnd w:id="4"/>
      <w:r>
        <w:t xml:space="preserve">: Comparison of CCDF of LDACS power averaged over 1 </w:t>
      </w:r>
      <w:proofErr w:type="spellStart"/>
      <w:r>
        <w:t>ms</w:t>
      </w:r>
      <w:proofErr w:type="spellEnd"/>
      <w:r>
        <w:t xml:space="preserve">, from LDACS </w:t>
      </w:r>
      <w:proofErr w:type="spellStart"/>
      <w:r>
        <w:t>Matlab</w:t>
      </w:r>
      <w:proofErr w:type="spellEnd"/>
      <w:r>
        <w:t xml:space="preserve"> software and from the theoretical approach assuming </w:t>
      </w:r>
      <w:proofErr w:type="gramStart"/>
      <w:r w:rsidR="007B4043">
        <w:t>independence</w:t>
      </w:r>
      <w:proofErr w:type="gramEnd"/>
    </w:p>
    <w:p w14:paraId="7065DE1F" w14:textId="2F318B71" w:rsidR="007B4043" w:rsidRDefault="007B4043" w:rsidP="007B4043">
      <w:r>
        <w:t xml:space="preserve">It can be noted that LDACS SARPs indicated that the duty cycle of LDACS RL is limited. However, in absence of further information (transmission duration, duty cycle value, dependence with phase of flight), this assumption is not </w:t>
      </w:r>
      <w:proofErr w:type="gramStart"/>
      <w:r>
        <w:t>taken into account</w:t>
      </w:r>
      <w:proofErr w:type="gramEnd"/>
      <w:r>
        <w:t xml:space="preserve"> in order to stay conservative.</w:t>
      </w:r>
    </w:p>
    <w:p w14:paraId="1ABF4A35" w14:textId="77777777" w:rsidR="007B4043" w:rsidRPr="005719C3" w:rsidRDefault="007B4043" w:rsidP="005719C3"/>
    <w:p w14:paraId="7B2E7997" w14:textId="675D816A" w:rsidR="004F21E0" w:rsidRPr="00097C19" w:rsidRDefault="00CF06F0" w:rsidP="00A47C40">
      <w:pPr>
        <w:pStyle w:val="2para"/>
        <w:rPr>
          <w:b/>
          <w:bCs/>
        </w:rPr>
      </w:pPr>
      <w:r w:rsidRPr="00097C19">
        <w:rPr>
          <w:b/>
          <w:bCs/>
          <w:lang w:val="en-US"/>
        </w:rPr>
        <w:t>Discussion on the interpretation of the GNSS interference mask</w:t>
      </w:r>
    </w:p>
    <w:p w14:paraId="388DD9B6" w14:textId="358B0999" w:rsidR="00097C19" w:rsidRDefault="00097C19" w:rsidP="00CF06F0">
      <w:pPr>
        <w:pStyle w:val="3para"/>
      </w:pPr>
      <w:r>
        <w:t>RTCA SC-159 WG-6 brought clarification of the interpretation and usage of the GNSS interference mask. The interference threshold</w:t>
      </w:r>
      <w:r w:rsidR="007908DF">
        <w:t xml:space="preserve"> to be applied to LDACS signal</w:t>
      </w:r>
      <w:r>
        <w:t xml:space="preserve"> is derived from the GNSS interference mask as follows:</w:t>
      </w:r>
    </w:p>
    <w:p w14:paraId="07ED509B" w14:textId="43909AD4" w:rsidR="00193C79" w:rsidRDefault="00097C19" w:rsidP="00097C19">
      <w:pPr>
        <w:pStyle w:val="4para"/>
        <w:numPr>
          <w:ilvl w:val="0"/>
          <w:numId w:val="5"/>
        </w:numPr>
      </w:pPr>
      <w:r>
        <w:t xml:space="preserve">A 6 dB </w:t>
      </w:r>
      <w:r w:rsidR="00C96071">
        <w:t xml:space="preserve">power level </w:t>
      </w:r>
      <w:r>
        <w:t xml:space="preserve">margin is applied to the RFI mask, </w:t>
      </w:r>
      <w:proofErr w:type="gramStart"/>
      <w:r>
        <w:t>in order to</w:t>
      </w:r>
      <w:proofErr w:type="gramEnd"/>
      <w:r>
        <w:t xml:space="preserve"> account </w:t>
      </w:r>
      <w:r w:rsidR="00F52FCA">
        <w:t xml:space="preserve">for the </w:t>
      </w:r>
      <w:r>
        <w:t>unknowns</w:t>
      </w:r>
      <w:r w:rsidR="00AF7D59">
        <w:t xml:space="preserve"> (known and unknown)</w:t>
      </w:r>
      <w:r w:rsidR="00A71760">
        <w:t>, whatever the interfering system to be considered</w:t>
      </w:r>
      <w:r>
        <w:t>.</w:t>
      </w:r>
      <w:r w:rsidR="00F52FCA">
        <w:t xml:space="preserve"> </w:t>
      </w:r>
      <w:r w:rsidR="00792ACF">
        <w:t xml:space="preserve">According to ITU-R Rec M.1903, this margin </w:t>
      </w:r>
      <w:r w:rsidR="00792ACF" w:rsidRPr="00792ACF">
        <w:t>may be consumed by variations in the GNSS</w:t>
      </w:r>
      <w:r w:rsidR="00792ACF">
        <w:t xml:space="preserve"> </w:t>
      </w:r>
      <w:r w:rsidR="00792ACF" w:rsidRPr="00792ACF">
        <w:t>C/N</w:t>
      </w:r>
      <w:proofErr w:type="gramStart"/>
      <w:r w:rsidR="00792ACF" w:rsidRPr="005719C3">
        <w:rPr>
          <w:vertAlign w:val="subscript"/>
        </w:rPr>
        <w:t>0</w:t>
      </w:r>
      <w:r w:rsidR="00792ACF">
        <w:rPr>
          <w:vertAlign w:val="subscript"/>
        </w:rPr>
        <w:t>,eff</w:t>
      </w:r>
      <w:proofErr w:type="gramEnd"/>
      <w:r w:rsidR="00792ACF">
        <w:t>, and therefore, n</w:t>
      </w:r>
      <w:r w:rsidR="00792ACF" w:rsidRPr="00792ACF">
        <w:t>o credit is assigned the interfering signal</w:t>
      </w:r>
      <w:r w:rsidR="00792ACF">
        <w:t xml:space="preserve"> </w:t>
      </w:r>
      <w:r w:rsidR="00792ACF" w:rsidRPr="00792ACF">
        <w:t>because of the existence of the safety margin</w:t>
      </w:r>
      <w:r w:rsidR="00792ACF">
        <w:t xml:space="preserve">. </w:t>
      </w:r>
      <w:r w:rsidR="00F52FCA">
        <w:t>This margin is therefore applicable to all interference sources</w:t>
      </w:r>
      <w:r w:rsidR="00792ACF">
        <w:t xml:space="preserve"> not accounted </w:t>
      </w:r>
      <w:r w:rsidR="00243801">
        <w:t>in</w:t>
      </w:r>
      <w:r w:rsidR="00792ACF">
        <w:t xml:space="preserve"> the RFI mask.</w:t>
      </w:r>
      <w:r w:rsidR="00F52FCA">
        <w:t xml:space="preserve"> </w:t>
      </w:r>
      <w:r w:rsidR="00AF7D59">
        <w:t xml:space="preserve"> </w:t>
      </w:r>
      <w:r w:rsidR="00A71760">
        <w:t xml:space="preserve">In the case of LDACS Return Link, this </w:t>
      </w:r>
      <w:r w:rsidR="00CF2A47">
        <w:t xml:space="preserve">margin </w:t>
      </w:r>
      <w:r w:rsidR="00AA524D">
        <w:t>may</w:t>
      </w:r>
      <w:r w:rsidR="00CF2A47">
        <w:t xml:space="preserve"> cover uncertainties in </w:t>
      </w:r>
      <w:r w:rsidR="00F52FCA">
        <w:t>modelling</w:t>
      </w:r>
      <w:r w:rsidR="00CF2A47">
        <w:t xml:space="preserve"> </w:t>
      </w:r>
      <w:r w:rsidR="00F52FCA">
        <w:t>(</w:t>
      </w:r>
      <w:r w:rsidR="00CF2A47">
        <w:t>such as propagation model near aircraft fuselage</w:t>
      </w:r>
      <w:r w:rsidR="00F52FCA">
        <w:t>)</w:t>
      </w:r>
      <w:r w:rsidR="00CF2A47">
        <w:t xml:space="preserve">, uncertainties in LDACS parameters since Draft LDACS SARPs are not yet definitive and </w:t>
      </w:r>
      <w:r w:rsidR="0015171D">
        <w:t xml:space="preserve">because of a lack of step back and </w:t>
      </w:r>
      <w:r w:rsidR="00FA1A39">
        <w:t>long-term</w:t>
      </w:r>
      <w:r w:rsidR="0015171D">
        <w:t xml:space="preserve"> data with LDACS</w:t>
      </w:r>
      <w:r w:rsidR="00CF2A47">
        <w:t>, as well as</w:t>
      </w:r>
      <w:r w:rsidR="00F52FCA">
        <w:t xml:space="preserve"> </w:t>
      </w:r>
      <w:proofErr w:type="gramStart"/>
      <w:r w:rsidR="00F52FCA">
        <w:t>other</w:t>
      </w:r>
      <w:proofErr w:type="gramEnd"/>
      <w:r w:rsidR="00CF2A47">
        <w:t xml:space="preserve"> </w:t>
      </w:r>
      <w:r w:rsidR="001A195F">
        <w:t>phenomen</w:t>
      </w:r>
      <w:r w:rsidR="00F52FCA">
        <w:t>on</w:t>
      </w:r>
      <w:r w:rsidR="001A195F">
        <w:t xml:space="preserve"> that are hardly predictable. </w:t>
      </w:r>
      <w:r w:rsidR="00A71760">
        <w:t xml:space="preserve">Again, this </w:t>
      </w:r>
      <w:r w:rsidR="001A195F">
        <w:t>margin is applied to all interference sources</w:t>
      </w:r>
      <w:r w:rsidR="00792ACF" w:rsidRPr="00792ACF">
        <w:t xml:space="preserve"> </w:t>
      </w:r>
      <w:r w:rsidR="00792ACF">
        <w:t xml:space="preserve">not accounted </w:t>
      </w:r>
      <w:r w:rsidR="00243801">
        <w:t>in</w:t>
      </w:r>
      <w:r w:rsidR="00792ACF">
        <w:t xml:space="preserve"> the RFI mask</w:t>
      </w:r>
      <w:r w:rsidR="001A195F">
        <w:t>.</w:t>
      </w:r>
      <w:r w:rsidR="00AF7D59">
        <w:t xml:space="preserve"> </w:t>
      </w:r>
      <w:r w:rsidR="00F52FCA">
        <w:t xml:space="preserve">Historically, this 6 dB margin was based on the interference environment before LDACS was considered. </w:t>
      </w:r>
      <w:proofErr w:type="gramStart"/>
      <w:r w:rsidR="00AF7D59">
        <w:t>As a consequence</w:t>
      </w:r>
      <w:proofErr w:type="gramEnd"/>
      <w:r w:rsidR="00AF7D59">
        <w:t>, the margin to be taken into account to</w:t>
      </w:r>
      <w:r w:rsidR="0030138D">
        <w:t xml:space="preserve"> </w:t>
      </w:r>
      <w:r w:rsidR="00AF7D59">
        <w:t xml:space="preserve">cover known unknowns and unknown unknowns cannot be under 6 </w:t>
      </w:r>
      <w:proofErr w:type="spellStart"/>
      <w:r w:rsidR="00AF7D59">
        <w:t>dB.</w:t>
      </w:r>
      <w:proofErr w:type="spellEnd"/>
    </w:p>
    <w:p w14:paraId="20C90522" w14:textId="390E430B" w:rsidR="00CF06F0" w:rsidRPr="00CF06F0" w:rsidRDefault="00193C79" w:rsidP="00334915">
      <w:pPr>
        <w:pStyle w:val="4para"/>
        <w:numPr>
          <w:ilvl w:val="0"/>
          <w:numId w:val="5"/>
        </w:numPr>
      </w:pPr>
      <w:r>
        <w:t xml:space="preserve">A 3 dB </w:t>
      </w:r>
      <w:r w:rsidR="00C96071">
        <w:t xml:space="preserve">power level </w:t>
      </w:r>
      <w:r w:rsidR="00B0720F">
        <w:t xml:space="preserve">apportionment </w:t>
      </w:r>
      <w:r>
        <w:t xml:space="preserve">margin </w:t>
      </w:r>
      <w:r w:rsidR="00744B07">
        <w:t>should</w:t>
      </w:r>
      <w:r>
        <w:t xml:space="preserve"> also</w:t>
      </w:r>
      <w:r w:rsidR="00744B07">
        <w:t xml:space="preserve"> be</w:t>
      </w:r>
      <w:r>
        <w:t xml:space="preserve"> added</w:t>
      </w:r>
      <w:r w:rsidR="00F52FCA">
        <w:t xml:space="preserve"> for LDACS</w:t>
      </w:r>
      <w:r>
        <w:t xml:space="preserve">, to </w:t>
      </w:r>
      <w:r w:rsidR="00F52FCA">
        <w:t>accommodate for</w:t>
      </w:r>
      <w:r>
        <w:t xml:space="preserve"> other interference </w:t>
      </w:r>
      <w:r w:rsidR="00F52FCA">
        <w:t xml:space="preserve">impacting </w:t>
      </w:r>
      <w:r>
        <w:t xml:space="preserve">the GNSS receiver. </w:t>
      </w:r>
      <w:r w:rsidR="00F52FCA">
        <w:t xml:space="preserve">For example, </w:t>
      </w:r>
      <w:r w:rsidR="00C275C0">
        <w:t xml:space="preserve">DO-292 </w:t>
      </w:r>
      <w:r w:rsidR="00C96071">
        <w:t xml:space="preserve">already </w:t>
      </w:r>
      <w:r w:rsidR="00C275C0">
        <w:t xml:space="preserve">identified at least two external sources that have a non-negligible impact on GNSS receiver performance. </w:t>
      </w:r>
      <w:r w:rsidR="00C96071">
        <w:t xml:space="preserve">The impact of these 2 known external sources is modelled as an equivalent wide band noise affecting the GNSS correlator outputs. </w:t>
      </w:r>
      <w:r>
        <w:t xml:space="preserve">DO-292 estimates the equivalent </w:t>
      </w:r>
      <w:r w:rsidR="00277CE9">
        <w:t xml:space="preserve">in-band </w:t>
      </w:r>
      <w:r>
        <w:t xml:space="preserve">noise </w:t>
      </w:r>
      <w:r w:rsidR="00C96071">
        <w:t xml:space="preserve">level </w:t>
      </w:r>
      <w:r>
        <w:t xml:space="preserve">induced by on-board PEDs and terrestrial emitters at </w:t>
      </w:r>
      <w:r w:rsidR="003906AB">
        <w:t xml:space="preserve">-207.2 </w:t>
      </w:r>
      <w:proofErr w:type="spellStart"/>
      <w:r w:rsidR="003906AB">
        <w:t>dBW</w:t>
      </w:r>
      <w:proofErr w:type="spellEnd"/>
      <w:r w:rsidR="00D631AD">
        <w:t>/Hz</w:t>
      </w:r>
      <w:r w:rsidR="003906AB">
        <w:t xml:space="preserve">, whereas the maximum equivalent noise </w:t>
      </w:r>
      <w:r w:rsidR="00C96071">
        <w:t xml:space="preserve">level </w:t>
      </w:r>
      <w:r w:rsidR="003906AB">
        <w:t>from interference</w:t>
      </w:r>
      <w:r w:rsidR="00243801">
        <w:t xml:space="preserve"> not accounted in the RFI mask</w:t>
      </w:r>
      <w:r w:rsidR="003906AB">
        <w:t xml:space="preserve"> that can be tolerated by a GNSS receiver is -201.58 </w:t>
      </w:r>
      <w:proofErr w:type="spellStart"/>
      <w:r w:rsidR="003906AB">
        <w:t>dBW</w:t>
      </w:r>
      <w:proofErr w:type="spellEnd"/>
      <w:r w:rsidR="003906AB">
        <w:t>/Hz</w:t>
      </w:r>
      <w:r w:rsidR="00ED3D2F">
        <w:t xml:space="preserve"> (this is the input value to derive the interference mask)</w:t>
      </w:r>
      <w:r w:rsidR="003906AB">
        <w:t>.</w:t>
      </w:r>
      <w:r>
        <w:t xml:space="preserve"> </w:t>
      </w:r>
      <w:r w:rsidR="00277CE9">
        <w:t>Therefore</w:t>
      </w:r>
      <w:r w:rsidR="001A195F">
        <w:t xml:space="preserve">, the room left for other interference sources is -203 </w:t>
      </w:r>
      <w:proofErr w:type="spellStart"/>
      <w:r w:rsidR="001A195F">
        <w:t>dBW</w:t>
      </w:r>
      <w:proofErr w:type="spellEnd"/>
      <w:r w:rsidR="001A195F">
        <w:t>/Hz.</w:t>
      </w:r>
      <w:r w:rsidR="00277CE9">
        <w:t xml:space="preserve"> A similar approach applies for out-of-band sources of RFI such as LDACS.</w:t>
      </w:r>
      <w:r w:rsidR="003E4206">
        <w:t xml:space="preserve"> These 3 numbers are given as an indication that known external interference besides LDACS already exist, and that the margin on the equivalent wide-band noise induced by RFI is thin because the noise induced at the correlator outputs is already close to the maximum tolerable. </w:t>
      </w:r>
      <w:proofErr w:type="gramStart"/>
      <w:r w:rsidR="003E4206">
        <w:t>Thus</w:t>
      </w:r>
      <w:proofErr w:type="gramEnd"/>
      <w:r w:rsidR="003E4206">
        <w:t xml:space="preserve"> a minimum back-off of 3dB on LDACS RL received power is recommended.</w:t>
      </w:r>
    </w:p>
    <w:p w14:paraId="413E7B28" w14:textId="17EF1E1D" w:rsidR="00CF06F0" w:rsidRDefault="001A195F" w:rsidP="00A47C40">
      <w:pPr>
        <w:pStyle w:val="2para"/>
      </w:pPr>
      <w:r>
        <w:t xml:space="preserve">From the discussion above, the relevant LDACS </w:t>
      </w:r>
      <w:r w:rsidR="003E4206">
        <w:t xml:space="preserve">RL </w:t>
      </w:r>
      <w:r>
        <w:t xml:space="preserve">interference threshold to be considered are given in </w:t>
      </w:r>
      <w:r>
        <w:fldChar w:fldCharType="begin"/>
      </w:r>
      <w:r>
        <w:instrText xml:space="preserve"> REF _Ref143153570 \h </w:instrText>
      </w:r>
      <w:r>
        <w:fldChar w:fldCharType="separate"/>
      </w:r>
      <w:r>
        <w:t xml:space="preserve">Table </w:t>
      </w:r>
      <w:r>
        <w:rPr>
          <w:noProof/>
        </w:rPr>
        <w:t>1</w:t>
      </w:r>
      <w:r>
        <w:fldChar w:fldCharType="end"/>
      </w:r>
      <w:r>
        <w:t>.</w:t>
      </w:r>
    </w:p>
    <w:tbl>
      <w:tblPr>
        <w:tblStyle w:val="TableGrid"/>
        <w:tblW w:w="0" w:type="auto"/>
        <w:jc w:val="center"/>
        <w:tblLook w:val="04A0" w:firstRow="1" w:lastRow="0" w:firstColumn="1" w:lastColumn="0" w:noHBand="0" w:noVBand="1"/>
      </w:tblPr>
      <w:tblGrid>
        <w:gridCol w:w="2782"/>
        <w:gridCol w:w="1054"/>
        <w:gridCol w:w="1054"/>
        <w:gridCol w:w="1164"/>
      </w:tblGrid>
      <w:tr w:rsidR="001A195F" w14:paraId="185515C1" w14:textId="77777777" w:rsidTr="001A195F">
        <w:trPr>
          <w:jc w:val="center"/>
        </w:trPr>
        <w:tc>
          <w:tcPr>
            <w:tcW w:w="0" w:type="auto"/>
          </w:tcPr>
          <w:p w14:paraId="0FD43347" w14:textId="77777777" w:rsidR="001A195F" w:rsidRDefault="001A195F" w:rsidP="001A195F">
            <w:pPr>
              <w:pStyle w:val="2para"/>
              <w:numPr>
                <w:ilvl w:val="0"/>
                <w:numId w:val="0"/>
              </w:numPr>
            </w:pPr>
          </w:p>
        </w:tc>
        <w:tc>
          <w:tcPr>
            <w:tcW w:w="0" w:type="auto"/>
          </w:tcPr>
          <w:p w14:paraId="03E29FF8" w14:textId="3FD8F0B3" w:rsidR="001A195F" w:rsidRDefault="001A195F" w:rsidP="001A195F">
            <w:pPr>
              <w:pStyle w:val="2para"/>
              <w:numPr>
                <w:ilvl w:val="0"/>
                <w:numId w:val="0"/>
              </w:numPr>
            </w:pPr>
            <w:r>
              <w:t>964 MHz</w:t>
            </w:r>
          </w:p>
        </w:tc>
        <w:tc>
          <w:tcPr>
            <w:tcW w:w="0" w:type="auto"/>
          </w:tcPr>
          <w:p w14:paraId="281F982E" w14:textId="2895E3B4" w:rsidR="001A195F" w:rsidRDefault="001A195F" w:rsidP="001A195F">
            <w:pPr>
              <w:pStyle w:val="2para"/>
              <w:numPr>
                <w:ilvl w:val="0"/>
                <w:numId w:val="0"/>
              </w:numPr>
            </w:pPr>
            <w:r>
              <w:t>979 MHz</w:t>
            </w:r>
          </w:p>
        </w:tc>
        <w:tc>
          <w:tcPr>
            <w:tcW w:w="0" w:type="auto"/>
          </w:tcPr>
          <w:p w14:paraId="5F1DE132" w14:textId="3C8E263D" w:rsidR="001A195F" w:rsidRDefault="001A195F" w:rsidP="001A195F">
            <w:pPr>
              <w:pStyle w:val="2para"/>
              <w:numPr>
                <w:ilvl w:val="0"/>
                <w:numId w:val="0"/>
              </w:numPr>
            </w:pPr>
            <w:r>
              <w:t>1010 MHz</w:t>
            </w:r>
          </w:p>
        </w:tc>
      </w:tr>
      <w:tr w:rsidR="001A195F" w14:paraId="34264535" w14:textId="77777777" w:rsidTr="001A195F">
        <w:trPr>
          <w:jc w:val="center"/>
        </w:trPr>
        <w:tc>
          <w:tcPr>
            <w:tcW w:w="0" w:type="auto"/>
          </w:tcPr>
          <w:p w14:paraId="6455714A" w14:textId="09D723F0" w:rsidR="001A195F" w:rsidRDefault="00F46B75" w:rsidP="001A195F">
            <w:pPr>
              <w:pStyle w:val="2para"/>
              <w:numPr>
                <w:ilvl w:val="0"/>
                <w:numId w:val="0"/>
              </w:numPr>
            </w:pPr>
            <w:r>
              <w:t>I</w:t>
            </w:r>
            <w:r w:rsidR="001A195F">
              <w:t>nterference threshold (dBm)</w:t>
            </w:r>
          </w:p>
        </w:tc>
        <w:tc>
          <w:tcPr>
            <w:tcW w:w="0" w:type="auto"/>
          </w:tcPr>
          <w:p w14:paraId="133057BF" w14:textId="22F8E43C" w:rsidR="001A195F" w:rsidRDefault="00F46B75" w:rsidP="001A195F">
            <w:pPr>
              <w:pStyle w:val="2para"/>
              <w:numPr>
                <w:ilvl w:val="0"/>
                <w:numId w:val="0"/>
              </w:numPr>
            </w:pPr>
            <w:r>
              <w:t>-1</w:t>
            </w:r>
          </w:p>
        </w:tc>
        <w:tc>
          <w:tcPr>
            <w:tcW w:w="0" w:type="auto"/>
          </w:tcPr>
          <w:p w14:paraId="40A2EA91" w14:textId="411AA269" w:rsidR="001A195F" w:rsidRDefault="00F46B75" w:rsidP="001A195F">
            <w:pPr>
              <w:pStyle w:val="2para"/>
              <w:numPr>
                <w:ilvl w:val="0"/>
                <w:numId w:val="0"/>
              </w:numPr>
            </w:pPr>
            <w:r>
              <w:t>-1</w:t>
            </w:r>
          </w:p>
        </w:tc>
        <w:tc>
          <w:tcPr>
            <w:tcW w:w="0" w:type="auto"/>
          </w:tcPr>
          <w:p w14:paraId="450D8EA6" w14:textId="1A10A317" w:rsidR="001A195F" w:rsidRDefault="00F46B75" w:rsidP="001A195F">
            <w:pPr>
              <w:pStyle w:val="2para"/>
              <w:keepNext/>
              <w:numPr>
                <w:ilvl w:val="0"/>
                <w:numId w:val="0"/>
              </w:numPr>
            </w:pPr>
            <w:r>
              <w:t>-3.29</w:t>
            </w:r>
          </w:p>
        </w:tc>
      </w:tr>
    </w:tbl>
    <w:p w14:paraId="2180EE51" w14:textId="6BE0774E" w:rsidR="001A195F" w:rsidRDefault="001A195F" w:rsidP="001A195F">
      <w:pPr>
        <w:pStyle w:val="Caption"/>
      </w:pPr>
      <w:bookmarkStart w:id="5" w:name="_Ref143153570"/>
      <w:r>
        <w:t xml:space="preserve">Table </w:t>
      </w:r>
      <w:r>
        <w:fldChar w:fldCharType="begin"/>
      </w:r>
      <w:r>
        <w:instrText xml:space="preserve"> SEQ Table \* ARABIC </w:instrText>
      </w:r>
      <w:r>
        <w:fldChar w:fldCharType="separate"/>
      </w:r>
      <w:r w:rsidR="00F46B75">
        <w:rPr>
          <w:noProof/>
        </w:rPr>
        <w:t>1</w:t>
      </w:r>
      <w:r>
        <w:fldChar w:fldCharType="end"/>
      </w:r>
      <w:bookmarkEnd w:id="5"/>
      <w:r>
        <w:t xml:space="preserve">: </w:t>
      </w:r>
      <w:r w:rsidR="00F46B75">
        <w:t>GNSS</w:t>
      </w:r>
      <w:r>
        <w:t xml:space="preserve"> interference threshold</w:t>
      </w:r>
      <w:r w:rsidR="00F46B75">
        <w:t xml:space="preserve"> for LDACS</w:t>
      </w:r>
      <w:r w:rsidR="003E4206">
        <w:t xml:space="preserve"> RL</w:t>
      </w:r>
      <w:r w:rsidR="00F46B75">
        <w:t xml:space="preserve"> signal</w:t>
      </w:r>
    </w:p>
    <w:p w14:paraId="5159B315" w14:textId="618530A5" w:rsidR="001A195F" w:rsidRPr="003813B0" w:rsidRDefault="003813B0" w:rsidP="00A47C40">
      <w:pPr>
        <w:pStyle w:val="2para"/>
        <w:rPr>
          <w:b/>
          <w:bCs/>
        </w:rPr>
      </w:pPr>
      <w:r w:rsidRPr="003813B0">
        <w:rPr>
          <w:b/>
          <w:bCs/>
        </w:rPr>
        <w:t>Results</w:t>
      </w:r>
    </w:p>
    <w:p w14:paraId="77461498" w14:textId="10B570D3" w:rsidR="00F46B75" w:rsidRDefault="003813B0" w:rsidP="00C826B6">
      <w:pPr>
        <w:pStyle w:val="3para"/>
      </w:pPr>
      <w:r>
        <w:t>Applying assumptions of 2.5 and 2.6, and assuming the LDACS antenna is mounted on the top of the fuselage, the comparison between the LDACS</w:t>
      </w:r>
      <w:r w:rsidR="003E4206">
        <w:t xml:space="preserve"> RL</w:t>
      </w:r>
      <w:r>
        <w:t xml:space="preserve"> received power and the interference threshold is presented in </w:t>
      </w:r>
      <w:r w:rsidR="00F46B75">
        <w:fldChar w:fldCharType="begin"/>
      </w:r>
      <w:r w:rsidR="00F46B75">
        <w:instrText xml:space="preserve"> REF _Ref143154662 \h </w:instrText>
      </w:r>
      <w:r w:rsidR="00F46B75">
        <w:fldChar w:fldCharType="separate"/>
      </w:r>
      <w:r w:rsidR="00F46B75">
        <w:t xml:space="preserve">Table </w:t>
      </w:r>
      <w:r w:rsidR="00F46B75">
        <w:rPr>
          <w:noProof/>
        </w:rPr>
        <w:t>2</w:t>
      </w:r>
      <w:r w:rsidR="00F46B75">
        <w:fldChar w:fldCharType="end"/>
      </w:r>
      <w:r>
        <w:t>.</w:t>
      </w:r>
    </w:p>
    <w:tbl>
      <w:tblPr>
        <w:tblW w:w="9564" w:type="dxa"/>
        <w:jc w:val="center"/>
        <w:tblCellMar>
          <w:left w:w="70" w:type="dxa"/>
          <w:right w:w="70" w:type="dxa"/>
        </w:tblCellMar>
        <w:tblLook w:val="04A0" w:firstRow="1" w:lastRow="0" w:firstColumn="1" w:lastColumn="0" w:noHBand="0" w:noVBand="1"/>
      </w:tblPr>
      <w:tblGrid>
        <w:gridCol w:w="4764"/>
        <w:gridCol w:w="1200"/>
        <w:gridCol w:w="1200"/>
        <w:gridCol w:w="1200"/>
        <w:gridCol w:w="1200"/>
      </w:tblGrid>
      <w:tr w:rsidR="00F46B75" w:rsidRPr="00F46B75" w14:paraId="3773B6FB" w14:textId="77777777" w:rsidTr="00F46B75">
        <w:trPr>
          <w:trHeight w:val="290"/>
          <w:jc w:val="center"/>
        </w:trPr>
        <w:tc>
          <w:tcPr>
            <w:tcW w:w="4764"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73A4DDC" w14:textId="77777777" w:rsidR="00F46B75" w:rsidRPr="00C8036E" w:rsidRDefault="00F46B75" w:rsidP="00F46B75">
            <w:pPr>
              <w:jc w:val="left"/>
              <w:rPr>
                <w:rFonts w:ascii="Calibri" w:hAnsi="Calibri" w:cs="Calibri"/>
                <w:color w:val="000000"/>
                <w:szCs w:val="22"/>
                <w:lang w:val="en-US" w:eastAsia="fr-FR"/>
              </w:rPr>
            </w:pPr>
            <w:r w:rsidRPr="00C8036E">
              <w:rPr>
                <w:rFonts w:ascii="Calibri" w:hAnsi="Calibri" w:cs="Calibri"/>
                <w:color w:val="000000"/>
                <w:szCs w:val="22"/>
                <w:lang w:val="en-US" w:eastAsia="fr-FR"/>
              </w:rPr>
              <w:t> </w:t>
            </w:r>
          </w:p>
        </w:tc>
        <w:tc>
          <w:tcPr>
            <w:tcW w:w="1200" w:type="dxa"/>
            <w:tcBorders>
              <w:top w:val="single" w:sz="8" w:space="0" w:color="auto"/>
              <w:left w:val="nil"/>
              <w:bottom w:val="single" w:sz="4" w:space="0" w:color="auto"/>
              <w:right w:val="single" w:sz="8" w:space="0" w:color="auto"/>
            </w:tcBorders>
            <w:shd w:val="clear" w:color="auto" w:fill="auto"/>
            <w:noWrap/>
            <w:vAlign w:val="bottom"/>
            <w:hideMark/>
          </w:tcPr>
          <w:p w14:paraId="22C9CAC3" w14:textId="77777777" w:rsidR="00F46B75" w:rsidRPr="00C8036E" w:rsidRDefault="00F46B75" w:rsidP="00F46B75">
            <w:pPr>
              <w:jc w:val="left"/>
              <w:rPr>
                <w:rFonts w:ascii="Calibri" w:hAnsi="Calibri" w:cs="Calibri"/>
                <w:color w:val="000000"/>
                <w:szCs w:val="22"/>
                <w:lang w:val="en-US" w:eastAsia="fr-FR"/>
              </w:rPr>
            </w:pPr>
            <w:r w:rsidRPr="00C8036E">
              <w:rPr>
                <w:rFonts w:ascii="Calibri" w:hAnsi="Calibri" w:cs="Calibri"/>
                <w:color w:val="000000"/>
                <w:szCs w:val="22"/>
                <w:lang w:val="en-US" w:eastAsia="fr-FR"/>
              </w:rPr>
              <w:t> </w:t>
            </w:r>
          </w:p>
        </w:tc>
        <w:tc>
          <w:tcPr>
            <w:tcW w:w="3600" w:type="dxa"/>
            <w:gridSpan w:val="3"/>
            <w:tcBorders>
              <w:top w:val="single" w:sz="8" w:space="0" w:color="auto"/>
              <w:left w:val="nil"/>
              <w:bottom w:val="nil"/>
              <w:right w:val="single" w:sz="8" w:space="0" w:color="000000"/>
            </w:tcBorders>
            <w:shd w:val="clear" w:color="auto" w:fill="auto"/>
            <w:noWrap/>
            <w:vAlign w:val="bottom"/>
            <w:hideMark/>
          </w:tcPr>
          <w:p w14:paraId="32746C83" w14:textId="77777777" w:rsidR="00F46B75" w:rsidRPr="00F46B75" w:rsidRDefault="00F46B75" w:rsidP="00F46B75">
            <w:pPr>
              <w:jc w:val="center"/>
              <w:rPr>
                <w:rFonts w:ascii="Calibri" w:hAnsi="Calibri" w:cs="Calibri"/>
                <w:color w:val="000000"/>
                <w:szCs w:val="22"/>
                <w:lang w:val="fr-FR" w:eastAsia="fr-FR"/>
              </w:rPr>
            </w:pPr>
            <w:r w:rsidRPr="00F46B75">
              <w:rPr>
                <w:rFonts w:ascii="Calibri" w:hAnsi="Calibri" w:cs="Calibri"/>
                <w:color w:val="000000"/>
                <w:szCs w:val="22"/>
                <w:lang w:val="fr-FR" w:eastAsia="fr-FR"/>
              </w:rPr>
              <w:t>Frequency (MHz)</w:t>
            </w:r>
          </w:p>
        </w:tc>
      </w:tr>
      <w:tr w:rsidR="00F46B75" w:rsidRPr="00F46B75" w14:paraId="301F2144" w14:textId="77777777" w:rsidTr="00F46B75">
        <w:trPr>
          <w:trHeight w:val="300"/>
          <w:jc w:val="center"/>
        </w:trPr>
        <w:tc>
          <w:tcPr>
            <w:tcW w:w="4764" w:type="dxa"/>
            <w:tcBorders>
              <w:top w:val="nil"/>
              <w:left w:val="single" w:sz="8" w:space="0" w:color="auto"/>
              <w:bottom w:val="single" w:sz="8" w:space="0" w:color="auto"/>
              <w:right w:val="single" w:sz="8" w:space="0" w:color="auto"/>
            </w:tcBorders>
            <w:shd w:val="clear" w:color="auto" w:fill="auto"/>
            <w:noWrap/>
            <w:vAlign w:val="bottom"/>
            <w:hideMark/>
          </w:tcPr>
          <w:p w14:paraId="6D3F8968" w14:textId="77777777" w:rsidR="00F46B75" w:rsidRPr="00F46B75" w:rsidRDefault="00F46B75" w:rsidP="00F46B75">
            <w:pPr>
              <w:jc w:val="left"/>
              <w:rPr>
                <w:rFonts w:ascii="Calibri" w:hAnsi="Calibri" w:cs="Calibri"/>
                <w:color w:val="000000"/>
                <w:szCs w:val="22"/>
                <w:lang w:val="fr-FR" w:eastAsia="fr-FR"/>
              </w:rPr>
            </w:pPr>
            <w:r w:rsidRPr="00F46B75">
              <w:rPr>
                <w:rFonts w:ascii="Calibri" w:hAnsi="Calibri" w:cs="Calibri"/>
                <w:color w:val="000000"/>
                <w:szCs w:val="22"/>
                <w:lang w:val="fr-FR" w:eastAsia="fr-FR"/>
              </w:rPr>
              <w:t> </w:t>
            </w:r>
          </w:p>
        </w:tc>
        <w:tc>
          <w:tcPr>
            <w:tcW w:w="1200" w:type="dxa"/>
            <w:tcBorders>
              <w:top w:val="nil"/>
              <w:left w:val="nil"/>
              <w:bottom w:val="single" w:sz="8" w:space="0" w:color="auto"/>
              <w:right w:val="nil"/>
            </w:tcBorders>
            <w:shd w:val="clear" w:color="auto" w:fill="auto"/>
            <w:noWrap/>
            <w:vAlign w:val="bottom"/>
            <w:hideMark/>
          </w:tcPr>
          <w:p w14:paraId="39874CE6" w14:textId="77777777" w:rsidR="00F46B75" w:rsidRPr="00F46B75" w:rsidRDefault="00F46B75" w:rsidP="00F46B75">
            <w:pPr>
              <w:jc w:val="left"/>
              <w:rPr>
                <w:rFonts w:ascii="Calibri" w:hAnsi="Calibri" w:cs="Calibri"/>
                <w:color w:val="000000"/>
                <w:szCs w:val="22"/>
                <w:lang w:val="fr-FR" w:eastAsia="fr-FR"/>
              </w:rPr>
            </w:pPr>
            <w:r w:rsidRPr="00F46B75">
              <w:rPr>
                <w:rFonts w:ascii="Calibri" w:hAnsi="Calibri" w:cs="Calibri"/>
                <w:color w:val="000000"/>
                <w:szCs w:val="22"/>
                <w:lang w:val="fr-FR" w:eastAsia="fr-FR"/>
              </w:rPr>
              <w:t> </w:t>
            </w:r>
          </w:p>
        </w:tc>
        <w:tc>
          <w:tcPr>
            <w:tcW w:w="12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69DDF9C"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964</w:t>
            </w:r>
          </w:p>
        </w:tc>
        <w:tc>
          <w:tcPr>
            <w:tcW w:w="1200" w:type="dxa"/>
            <w:tcBorders>
              <w:top w:val="single" w:sz="4" w:space="0" w:color="auto"/>
              <w:left w:val="nil"/>
              <w:bottom w:val="single" w:sz="8" w:space="0" w:color="auto"/>
              <w:right w:val="single" w:sz="4" w:space="0" w:color="auto"/>
            </w:tcBorders>
            <w:shd w:val="clear" w:color="auto" w:fill="auto"/>
            <w:noWrap/>
            <w:vAlign w:val="bottom"/>
            <w:hideMark/>
          </w:tcPr>
          <w:p w14:paraId="41982529"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979</w:t>
            </w:r>
          </w:p>
        </w:tc>
        <w:tc>
          <w:tcPr>
            <w:tcW w:w="1200" w:type="dxa"/>
            <w:tcBorders>
              <w:top w:val="single" w:sz="4" w:space="0" w:color="auto"/>
              <w:left w:val="nil"/>
              <w:bottom w:val="single" w:sz="8" w:space="0" w:color="auto"/>
              <w:right w:val="single" w:sz="8" w:space="0" w:color="auto"/>
            </w:tcBorders>
            <w:shd w:val="clear" w:color="auto" w:fill="auto"/>
            <w:noWrap/>
            <w:vAlign w:val="bottom"/>
            <w:hideMark/>
          </w:tcPr>
          <w:p w14:paraId="04D6664C"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1010</w:t>
            </w:r>
          </w:p>
        </w:tc>
      </w:tr>
      <w:tr w:rsidR="00F46B75" w:rsidRPr="00F46B75" w14:paraId="744B3F84" w14:textId="77777777" w:rsidTr="00F46B75">
        <w:trPr>
          <w:trHeight w:val="290"/>
          <w:jc w:val="center"/>
        </w:trPr>
        <w:tc>
          <w:tcPr>
            <w:tcW w:w="4764" w:type="dxa"/>
            <w:vMerge w:val="restart"/>
            <w:tcBorders>
              <w:top w:val="nil"/>
              <w:left w:val="single" w:sz="8" w:space="0" w:color="auto"/>
              <w:bottom w:val="single" w:sz="4" w:space="0" w:color="auto"/>
              <w:right w:val="single" w:sz="8" w:space="0" w:color="auto"/>
            </w:tcBorders>
            <w:shd w:val="clear" w:color="auto" w:fill="auto"/>
            <w:vAlign w:val="center"/>
            <w:hideMark/>
          </w:tcPr>
          <w:p w14:paraId="354BF543" w14:textId="77777777" w:rsidR="00F46B75" w:rsidRPr="00C8036E" w:rsidRDefault="00F46B75" w:rsidP="00F46B75">
            <w:pPr>
              <w:jc w:val="center"/>
              <w:rPr>
                <w:rFonts w:ascii="Calibri" w:hAnsi="Calibri" w:cs="Calibri"/>
                <w:color w:val="000000"/>
                <w:szCs w:val="22"/>
                <w:lang w:val="en-US" w:eastAsia="fr-FR"/>
              </w:rPr>
            </w:pPr>
            <w:r w:rsidRPr="00C8036E">
              <w:rPr>
                <w:rFonts w:ascii="Calibri" w:hAnsi="Calibri" w:cs="Calibri"/>
                <w:color w:val="000000"/>
                <w:szCs w:val="22"/>
                <w:lang w:val="en-US" w:eastAsia="fr-FR"/>
              </w:rPr>
              <w:t>Distance between LDACS and GNSS antennas (m)</w:t>
            </w:r>
          </w:p>
        </w:tc>
        <w:tc>
          <w:tcPr>
            <w:tcW w:w="1200" w:type="dxa"/>
            <w:tcBorders>
              <w:top w:val="nil"/>
              <w:left w:val="nil"/>
              <w:bottom w:val="single" w:sz="4" w:space="0" w:color="auto"/>
              <w:right w:val="nil"/>
            </w:tcBorders>
            <w:shd w:val="clear" w:color="auto" w:fill="auto"/>
            <w:noWrap/>
            <w:vAlign w:val="bottom"/>
            <w:hideMark/>
          </w:tcPr>
          <w:p w14:paraId="3E0CD0B9"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0,5</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CB02AB1" w14:textId="77777777" w:rsidR="00F46B75" w:rsidRPr="00F46B75" w:rsidRDefault="00F46B75" w:rsidP="00F46B75">
            <w:pPr>
              <w:jc w:val="right"/>
              <w:rPr>
                <w:rFonts w:ascii="Calibri" w:hAnsi="Calibri" w:cs="Calibri"/>
                <w:color w:val="FF3300"/>
                <w:szCs w:val="22"/>
                <w:lang w:val="fr-FR" w:eastAsia="fr-FR"/>
              </w:rPr>
            </w:pPr>
            <w:r w:rsidRPr="00F46B75">
              <w:rPr>
                <w:rFonts w:ascii="Calibri" w:hAnsi="Calibri" w:cs="Calibri"/>
                <w:color w:val="FF3300"/>
                <w:szCs w:val="22"/>
                <w:lang w:val="fr-FR" w:eastAsia="fr-FR"/>
              </w:rPr>
              <w:t>10,90</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D6287D7" w14:textId="77777777" w:rsidR="00F46B75" w:rsidRPr="00F46B75" w:rsidRDefault="00F46B75" w:rsidP="00F46B75">
            <w:pPr>
              <w:jc w:val="right"/>
              <w:rPr>
                <w:rFonts w:ascii="Calibri" w:hAnsi="Calibri" w:cs="Calibri"/>
                <w:color w:val="FF3300"/>
                <w:szCs w:val="22"/>
                <w:lang w:val="fr-FR" w:eastAsia="fr-FR"/>
              </w:rPr>
            </w:pPr>
            <w:r w:rsidRPr="00F46B75">
              <w:rPr>
                <w:rFonts w:ascii="Calibri" w:hAnsi="Calibri" w:cs="Calibri"/>
                <w:color w:val="FF3300"/>
                <w:szCs w:val="22"/>
                <w:lang w:val="fr-FR" w:eastAsia="fr-FR"/>
              </w:rPr>
              <w:t>10,76</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8021E25" w14:textId="77777777" w:rsidR="00F46B75" w:rsidRPr="00F46B75" w:rsidRDefault="00F46B75" w:rsidP="00F46B75">
            <w:pPr>
              <w:jc w:val="right"/>
              <w:rPr>
                <w:rFonts w:ascii="Calibri" w:hAnsi="Calibri" w:cs="Calibri"/>
                <w:color w:val="FF3300"/>
                <w:szCs w:val="22"/>
                <w:lang w:val="fr-FR" w:eastAsia="fr-FR"/>
              </w:rPr>
            </w:pPr>
            <w:r w:rsidRPr="00F46B75">
              <w:rPr>
                <w:rFonts w:ascii="Calibri" w:hAnsi="Calibri" w:cs="Calibri"/>
                <w:color w:val="FF3300"/>
                <w:szCs w:val="22"/>
                <w:lang w:val="fr-FR" w:eastAsia="fr-FR"/>
              </w:rPr>
              <w:t>10,49</w:t>
            </w:r>
          </w:p>
        </w:tc>
      </w:tr>
      <w:tr w:rsidR="00F46B75" w:rsidRPr="00F46B75" w14:paraId="3BA6E166" w14:textId="77777777" w:rsidTr="00F46B75">
        <w:trPr>
          <w:trHeight w:val="290"/>
          <w:jc w:val="center"/>
        </w:trPr>
        <w:tc>
          <w:tcPr>
            <w:tcW w:w="4764" w:type="dxa"/>
            <w:vMerge/>
            <w:tcBorders>
              <w:top w:val="nil"/>
              <w:left w:val="single" w:sz="8" w:space="0" w:color="auto"/>
              <w:bottom w:val="single" w:sz="4" w:space="0" w:color="auto"/>
              <w:right w:val="single" w:sz="8" w:space="0" w:color="auto"/>
            </w:tcBorders>
            <w:vAlign w:val="center"/>
            <w:hideMark/>
          </w:tcPr>
          <w:p w14:paraId="05D08F23" w14:textId="77777777" w:rsidR="00F46B75" w:rsidRPr="00F46B75" w:rsidRDefault="00F46B75" w:rsidP="00F46B75">
            <w:pPr>
              <w:jc w:val="left"/>
              <w:rPr>
                <w:rFonts w:ascii="Calibri" w:hAnsi="Calibri" w:cs="Calibri"/>
                <w:color w:val="000000"/>
                <w:szCs w:val="22"/>
                <w:lang w:val="fr-FR" w:eastAsia="fr-FR"/>
              </w:rPr>
            </w:pPr>
          </w:p>
        </w:tc>
        <w:tc>
          <w:tcPr>
            <w:tcW w:w="1200" w:type="dxa"/>
            <w:tcBorders>
              <w:top w:val="nil"/>
              <w:left w:val="nil"/>
              <w:bottom w:val="single" w:sz="4" w:space="0" w:color="auto"/>
              <w:right w:val="nil"/>
            </w:tcBorders>
            <w:shd w:val="clear" w:color="auto" w:fill="auto"/>
            <w:noWrap/>
            <w:vAlign w:val="bottom"/>
            <w:hideMark/>
          </w:tcPr>
          <w:p w14:paraId="2D0FDFA6"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1</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503A40B" w14:textId="77777777" w:rsidR="00F46B75" w:rsidRPr="00F46B75" w:rsidRDefault="00F46B75" w:rsidP="00F46B75">
            <w:pPr>
              <w:jc w:val="right"/>
              <w:rPr>
                <w:rFonts w:ascii="Calibri" w:hAnsi="Calibri" w:cs="Calibri"/>
                <w:color w:val="FF3300"/>
                <w:szCs w:val="22"/>
                <w:lang w:val="fr-FR" w:eastAsia="fr-FR"/>
              </w:rPr>
            </w:pPr>
            <w:r w:rsidRPr="00F46B75">
              <w:rPr>
                <w:rFonts w:ascii="Calibri" w:hAnsi="Calibri" w:cs="Calibri"/>
                <w:color w:val="FF3300"/>
                <w:szCs w:val="22"/>
                <w:lang w:val="fr-FR" w:eastAsia="fr-FR"/>
              </w:rPr>
              <w:t>4,88</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7B91171" w14:textId="77777777" w:rsidR="00F46B75" w:rsidRPr="00F46B75" w:rsidRDefault="00F46B75" w:rsidP="00F46B75">
            <w:pPr>
              <w:jc w:val="right"/>
              <w:rPr>
                <w:rFonts w:ascii="Calibri" w:hAnsi="Calibri" w:cs="Calibri"/>
                <w:color w:val="FF3300"/>
                <w:szCs w:val="22"/>
                <w:lang w:val="fr-FR" w:eastAsia="fr-FR"/>
              </w:rPr>
            </w:pPr>
            <w:r w:rsidRPr="00F46B75">
              <w:rPr>
                <w:rFonts w:ascii="Calibri" w:hAnsi="Calibri" w:cs="Calibri"/>
                <w:color w:val="FF3300"/>
                <w:szCs w:val="22"/>
                <w:lang w:val="fr-FR" w:eastAsia="fr-FR"/>
              </w:rPr>
              <w:t>4,74</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1DECE8D" w14:textId="77777777" w:rsidR="00F46B75" w:rsidRPr="00F46B75" w:rsidRDefault="00F46B75" w:rsidP="00F46B75">
            <w:pPr>
              <w:jc w:val="right"/>
              <w:rPr>
                <w:rFonts w:ascii="Calibri" w:hAnsi="Calibri" w:cs="Calibri"/>
                <w:color w:val="FF3300"/>
                <w:szCs w:val="22"/>
                <w:lang w:val="fr-FR" w:eastAsia="fr-FR"/>
              </w:rPr>
            </w:pPr>
            <w:r w:rsidRPr="00F46B75">
              <w:rPr>
                <w:rFonts w:ascii="Calibri" w:hAnsi="Calibri" w:cs="Calibri"/>
                <w:color w:val="FF3300"/>
                <w:szCs w:val="22"/>
                <w:lang w:val="fr-FR" w:eastAsia="fr-FR"/>
              </w:rPr>
              <w:t>4,47</w:t>
            </w:r>
          </w:p>
        </w:tc>
      </w:tr>
      <w:tr w:rsidR="00F46B75" w:rsidRPr="00F46B75" w14:paraId="35F6147B" w14:textId="77777777" w:rsidTr="00F46B75">
        <w:trPr>
          <w:trHeight w:val="290"/>
          <w:jc w:val="center"/>
        </w:trPr>
        <w:tc>
          <w:tcPr>
            <w:tcW w:w="4764" w:type="dxa"/>
            <w:vMerge/>
            <w:tcBorders>
              <w:top w:val="nil"/>
              <w:left w:val="single" w:sz="8" w:space="0" w:color="auto"/>
              <w:bottom w:val="single" w:sz="4" w:space="0" w:color="auto"/>
              <w:right w:val="single" w:sz="8" w:space="0" w:color="auto"/>
            </w:tcBorders>
            <w:vAlign w:val="center"/>
            <w:hideMark/>
          </w:tcPr>
          <w:p w14:paraId="0C21C84B" w14:textId="77777777" w:rsidR="00F46B75" w:rsidRPr="00F46B75" w:rsidRDefault="00F46B75" w:rsidP="00F46B75">
            <w:pPr>
              <w:jc w:val="left"/>
              <w:rPr>
                <w:rFonts w:ascii="Calibri" w:hAnsi="Calibri" w:cs="Calibri"/>
                <w:color w:val="000000"/>
                <w:szCs w:val="22"/>
                <w:lang w:val="fr-FR" w:eastAsia="fr-FR"/>
              </w:rPr>
            </w:pPr>
          </w:p>
        </w:tc>
        <w:tc>
          <w:tcPr>
            <w:tcW w:w="1200" w:type="dxa"/>
            <w:tcBorders>
              <w:top w:val="nil"/>
              <w:left w:val="nil"/>
              <w:bottom w:val="single" w:sz="4" w:space="0" w:color="auto"/>
              <w:right w:val="nil"/>
            </w:tcBorders>
            <w:shd w:val="clear" w:color="auto" w:fill="auto"/>
            <w:noWrap/>
            <w:vAlign w:val="bottom"/>
            <w:hideMark/>
          </w:tcPr>
          <w:p w14:paraId="070DAE9B"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1,968</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2F01D1E" w14:textId="77777777" w:rsidR="00F46B75" w:rsidRPr="00F46B75" w:rsidRDefault="00F46B75" w:rsidP="00F46B75">
            <w:pPr>
              <w:jc w:val="right"/>
              <w:rPr>
                <w:rFonts w:ascii="Calibri" w:hAnsi="Calibri" w:cs="Calibri"/>
                <w:color w:val="FF3300"/>
                <w:szCs w:val="22"/>
                <w:lang w:val="fr-FR" w:eastAsia="fr-FR"/>
              </w:rPr>
            </w:pPr>
            <w:r w:rsidRPr="00F46B75">
              <w:rPr>
                <w:rFonts w:ascii="Calibri" w:hAnsi="Calibri" w:cs="Calibri"/>
                <w:color w:val="FF3300"/>
                <w:szCs w:val="22"/>
                <w:lang w:val="fr-FR" w:eastAsia="fr-FR"/>
              </w:rPr>
              <w:t>-1,00</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099D334" w14:textId="77777777" w:rsidR="00F46B75" w:rsidRPr="00F46B75" w:rsidRDefault="00F46B75" w:rsidP="00F46B75">
            <w:pPr>
              <w:jc w:val="right"/>
              <w:rPr>
                <w:rFonts w:ascii="Calibri" w:hAnsi="Calibri" w:cs="Calibri"/>
                <w:color w:val="FF3300"/>
                <w:szCs w:val="22"/>
                <w:lang w:val="fr-FR" w:eastAsia="fr-FR"/>
              </w:rPr>
            </w:pPr>
            <w:r w:rsidRPr="00F46B75">
              <w:rPr>
                <w:rFonts w:ascii="Calibri" w:hAnsi="Calibri" w:cs="Calibri"/>
                <w:color w:val="FF3300"/>
                <w:szCs w:val="22"/>
                <w:lang w:val="fr-FR" w:eastAsia="fr-FR"/>
              </w:rPr>
              <w:t>-1,14</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8483A6B" w14:textId="77777777" w:rsidR="00F46B75" w:rsidRPr="00F46B75" w:rsidRDefault="00F46B75" w:rsidP="00F46B75">
            <w:pPr>
              <w:jc w:val="right"/>
              <w:rPr>
                <w:rFonts w:ascii="Calibri" w:hAnsi="Calibri" w:cs="Calibri"/>
                <w:color w:val="FF3300"/>
                <w:szCs w:val="22"/>
                <w:lang w:val="fr-FR" w:eastAsia="fr-FR"/>
              </w:rPr>
            </w:pPr>
            <w:r w:rsidRPr="00F46B75">
              <w:rPr>
                <w:rFonts w:ascii="Calibri" w:hAnsi="Calibri" w:cs="Calibri"/>
                <w:color w:val="FF3300"/>
                <w:szCs w:val="22"/>
                <w:lang w:val="fr-FR" w:eastAsia="fr-FR"/>
              </w:rPr>
              <w:t>-1,41</w:t>
            </w:r>
          </w:p>
        </w:tc>
      </w:tr>
      <w:tr w:rsidR="00F46B75" w:rsidRPr="00F46B75" w14:paraId="4C980F82" w14:textId="77777777" w:rsidTr="00F46B75">
        <w:trPr>
          <w:trHeight w:val="290"/>
          <w:jc w:val="center"/>
        </w:trPr>
        <w:tc>
          <w:tcPr>
            <w:tcW w:w="4764" w:type="dxa"/>
            <w:vMerge/>
            <w:tcBorders>
              <w:top w:val="nil"/>
              <w:left w:val="single" w:sz="8" w:space="0" w:color="auto"/>
              <w:bottom w:val="single" w:sz="4" w:space="0" w:color="auto"/>
              <w:right w:val="single" w:sz="8" w:space="0" w:color="auto"/>
            </w:tcBorders>
            <w:vAlign w:val="center"/>
            <w:hideMark/>
          </w:tcPr>
          <w:p w14:paraId="3C7C84F5" w14:textId="77777777" w:rsidR="00F46B75" w:rsidRPr="00F46B75" w:rsidRDefault="00F46B75" w:rsidP="00F46B75">
            <w:pPr>
              <w:jc w:val="left"/>
              <w:rPr>
                <w:rFonts w:ascii="Calibri" w:hAnsi="Calibri" w:cs="Calibri"/>
                <w:color w:val="000000"/>
                <w:szCs w:val="22"/>
                <w:lang w:val="fr-FR" w:eastAsia="fr-FR"/>
              </w:rPr>
            </w:pPr>
          </w:p>
        </w:tc>
        <w:tc>
          <w:tcPr>
            <w:tcW w:w="1200" w:type="dxa"/>
            <w:tcBorders>
              <w:top w:val="nil"/>
              <w:left w:val="nil"/>
              <w:bottom w:val="single" w:sz="4" w:space="0" w:color="auto"/>
              <w:right w:val="nil"/>
            </w:tcBorders>
            <w:shd w:val="clear" w:color="auto" w:fill="auto"/>
            <w:noWrap/>
            <w:vAlign w:val="bottom"/>
            <w:hideMark/>
          </w:tcPr>
          <w:p w14:paraId="10056F6B"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2</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B900921"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-1,14</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FBB05BD"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-1,28</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4D7F9D3" w14:textId="77777777" w:rsidR="00F46B75" w:rsidRPr="00F46B75" w:rsidRDefault="00F46B75" w:rsidP="00F46B75">
            <w:pPr>
              <w:jc w:val="right"/>
              <w:rPr>
                <w:rFonts w:ascii="Calibri" w:hAnsi="Calibri" w:cs="Calibri"/>
                <w:color w:val="FF3300"/>
                <w:szCs w:val="22"/>
                <w:lang w:val="fr-FR" w:eastAsia="fr-FR"/>
              </w:rPr>
            </w:pPr>
            <w:r w:rsidRPr="00F46B75">
              <w:rPr>
                <w:rFonts w:ascii="Calibri" w:hAnsi="Calibri" w:cs="Calibri"/>
                <w:color w:val="FF3300"/>
                <w:szCs w:val="22"/>
                <w:lang w:val="fr-FR" w:eastAsia="fr-FR"/>
              </w:rPr>
              <w:t>-1,55</w:t>
            </w:r>
          </w:p>
        </w:tc>
      </w:tr>
      <w:tr w:rsidR="00F46B75" w:rsidRPr="00F46B75" w14:paraId="10F7A8F3" w14:textId="77777777" w:rsidTr="00F46B75">
        <w:trPr>
          <w:trHeight w:val="290"/>
          <w:jc w:val="center"/>
        </w:trPr>
        <w:tc>
          <w:tcPr>
            <w:tcW w:w="4764" w:type="dxa"/>
            <w:vMerge/>
            <w:tcBorders>
              <w:top w:val="nil"/>
              <w:left w:val="single" w:sz="8" w:space="0" w:color="auto"/>
              <w:bottom w:val="single" w:sz="4" w:space="0" w:color="auto"/>
              <w:right w:val="single" w:sz="8" w:space="0" w:color="auto"/>
            </w:tcBorders>
            <w:vAlign w:val="center"/>
            <w:hideMark/>
          </w:tcPr>
          <w:p w14:paraId="0097D1BC" w14:textId="77777777" w:rsidR="00F46B75" w:rsidRPr="00F46B75" w:rsidRDefault="00F46B75" w:rsidP="00F46B75">
            <w:pPr>
              <w:jc w:val="left"/>
              <w:rPr>
                <w:rFonts w:ascii="Calibri" w:hAnsi="Calibri" w:cs="Calibri"/>
                <w:color w:val="000000"/>
                <w:szCs w:val="22"/>
                <w:lang w:val="fr-FR" w:eastAsia="fr-FR"/>
              </w:rPr>
            </w:pPr>
          </w:p>
        </w:tc>
        <w:tc>
          <w:tcPr>
            <w:tcW w:w="1200" w:type="dxa"/>
            <w:tcBorders>
              <w:top w:val="nil"/>
              <w:left w:val="nil"/>
              <w:bottom w:val="single" w:sz="4" w:space="0" w:color="auto"/>
              <w:right w:val="nil"/>
            </w:tcBorders>
            <w:shd w:val="clear" w:color="auto" w:fill="auto"/>
            <w:noWrap/>
            <w:vAlign w:val="bottom"/>
            <w:hideMark/>
          </w:tcPr>
          <w:p w14:paraId="5B55D52A"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2,445</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6DF8B1F"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-2,89</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8E8E18E"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-3,02</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921CE64" w14:textId="77777777" w:rsidR="00F46B75" w:rsidRPr="00F46B75" w:rsidRDefault="00F46B75" w:rsidP="00F46B75">
            <w:pPr>
              <w:jc w:val="right"/>
              <w:rPr>
                <w:rFonts w:ascii="Calibri" w:hAnsi="Calibri" w:cs="Calibri"/>
                <w:color w:val="FF3300"/>
                <w:szCs w:val="22"/>
                <w:lang w:val="fr-FR" w:eastAsia="fr-FR"/>
              </w:rPr>
            </w:pPr>
            <w:r w:rsidRPr="00F46B75">
              <w:rPr>
                <w:rFonts w:ascii="Calibri" w:hAnsi="Calibri" w:cs="Calibri"/>
                <w:color w:val="FF3300"/>
                <w:szCs w:val="22"/>
                <w:lang w:val="fr-FR" w:eastAsia="fr-FR"/>
              </w:rPr>
              <w:t>-3,29</w:t>
            </w:r>
          </w:p>
        </w:tc>
      </w:tr>
      <w:tr w:rsidR="00F46B75" w:rsidRPr="00F46B75" w14:paraId="19C081CE" w14:textId="77777777" w:rsidTr="00F46B75">
        <w:trPr>
          <w:trHeight w:val="290"/>
          <w:jc w:val="center"/>
        </w:trPr>
        <w:tc>
          <w:tcPr>
            <w:tcW w:w="4764" w:type="dxa"/>
            <w:vMerge/>
            <w:tcBorders>
              <w:top w:val="nil"/>
              <w:left w:val="single" w:sz="8" w:space="0" w:color="auto"/>
              <w:bottom w:val="single" w:sz="4" w:space="0" w:color="auto"/>
              <w:right w:val="single" w:sz="8" w:space="0" w:color="auto"/>
            </w:tcBorders>
            <w:vAlign w:val="center"/>
            <w:hideMark/>
          </w:tcPr>
          <w:p w14:paraId="081924DC" w14:textId="77777777" w:rsidR="00F46B75" w:rsidRPr="00F46B75" w:rsidRDefault="00F46B75" w:rsidP="00F46B75">
            <w:pPr>
              <w:jc w:val="left"/>
              <w:rPr>
                <w:rFonts w:ascii="Calibri" w:hAnsi="Calibri" w:cs="Calibri"/>
                <w:color w:val="000000"/>
                <w:szCs w:val="22"/>
                <w:lang w:val="fr-FR" w:eastAsia="fr-FR"/>
              </w:rPr>
            </w:pPr>
          </w:p>
        </w:tc>
        <w:tc>
          <w:tcPr>
            <w:tcW w:w="1200" w:type="dxa"/>
            <w:tcBorders>
              <w:top w:val="nil"/>
              <w:left w:val="nil"/>
              <w:bottom w:val="single" w:sz="4" w:space="0" w:color="auto"/>
              <w:right w:val="nil"/>
            </w:tcBorders>
            <w:shd w:val="clear" w:color="auto" w:fill="auto"/>
            <w:noWrap/>
            <w:vAlign w:val="bottom"/>
            <w:hideMark/>
          </w:tcPr>
          <w:p w14:paraId="47A7B056"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5</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724B7BA"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-9,10</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6A8FDF0"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-9,24</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C22AFD6"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-9,51</w:t>
            </w:r>
          </w:p>
        </w:tc>
      </w:tr>
      <w:tr w:rsidR="00F46B75" w:rsidRPr="00F46B75" w14:paraId="425DBB70" w14:textId="77777777" w:rsidTr="00F46B75">
        <w:trPr>
          <w:trHeight w:val="290"/>
          <w:jc w:val="center"/>
        </w:trPr>
        <w:tc>
          <w:tcPr>
            <w:tcW w:w="4764" w:type="dxa"/>
            <w:vMerge/>
            <w:tcBorders>
              <w:top w:val="nil"/>
              <w:left w:val="single" w:sz="8" w:space="0" w:color="auto"/>
              <w:bottom w:val="single" w:sz="4" w:space="0" w:color="auto"/>
              <w:right w:val="single" w:sz="8" w:space="0" w:color="auto"/>
            </w:tcBorders>
            <w:vAlign w:val="center"/>
            <w:hideMark/>
          </w:tcPr>
          <w:p w14:paraId="0940863E" w14:textId="77777777" w:rsidR="00F46B75" w:rsidRPr="00F46B75" w:rsidRDefault="00F46B75" w:rsidP="00F46B75">
            <w:pPr>
              <w:jc w:val="left"/>
              <w:rPr>
                <w:rFonts w:ascii="Calibri" w:hAnsi="Calibri" w:cs="Calibri"/>
                <w:color w:val="000000"/>
                <w:szCs w:val="22"/>
                <w:lang w:val="fr-FR" w:eastAsia="fr-FR"/>
              </w:rPr>
            </w:pPr>
          </w:p>
        </w:tc>
        <w:tc>
          <w:tcPr>
            <w:tcW w:w="1200" w:type="dxa"/>
            <w:tcBorders>
              <w:top w:val="nil"/>
              <w:left w:val="nil"/>
              <w:bottom w:val="single" w:sz="4" w:space="0" w:color="auto"/>
              <w:right w:val="nil"/>
            </w:tcBorders>
            <w:shd w:val="clear" w:color="auto" w:fill="auto"/>
            <w:noWrap/>
            <w:vAlign w:val="bottom"/>
            <w:hideMark/>
          </w:tcPr>
          <w:p w14:paraId="0B6ABA2A"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10</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874953B"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-15,12</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B8DC635"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-15,26</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8F9CDED"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-15,53</w:t>
            </w:r>
          </w:p>
        </w:tc>
      </w:tr>
      <w:tr w:rsidR="00F46B75" w:rsidRPr="00F46B75" w14:paraId="5D908CFF" w14:textId="77777777" w:rsidTr="00F46B75">
        <w:trPr>
          <w:trHeight w:val="300"/>
          <w:jc w:val="center"/>
        </w:trPr>
        <w:tc>
          <w:tcPr>
            <w:tcW w:w="4764" w:type="dxa"/>
            <w:vMerge/>
            <w:tcBorders>
              <w:top w:val="nil"/>
              <w:left w:val="single" w:sz="8" w:space="0" w:color="auto"/>
              <w:bottom w:val="single" w:sz="4" w:space="0" w:color="auto"/>
              <w:right w:val="single" w:sz="8" w:space="0" w:color="auto"/>
            </w:tcBorders>
            <w:vAlign w:val="center"/>
            <w:hideMark/>
          </w:tcPr>
          <w:p w14:paraId="20EC9653" w14:textId="77777777" w:rsidR="00F46B75" w:rsidRPr="00F46B75" w:rsidRDefault="00F46B75" w:rsidP="00F46B75">
            <w:pPr>
              <w:jc w:val="left"/>
              <w:rPr>
                <w:rFonts w:ascii="Calibri" w:hAnsi="Calibri" w:cs="Calibri"/>
                <w:color w:val="000000"/>
                <w:szCs w:val="22"/>
                <w:lang w:val="fr-FR" w:eastAsia="fr-FR"/>
              </w:rPr>
            </w:pPr>
          </w:p>
        </w:tc>
        <w:tc>
          <w:tcPr>
            <w:tcW w:w="1200" w:type="dxa"/>
            <w:tcBorders>
              <w:top w:val="nil"/>
              <w:left w:val="nil"/>
              <w:bottom w:val="nil"/>
              <w:right w:val="nil"/>
            </w:tcBorders>
            <w:shd w:val="clear" w:color="auto" w:fill="auto"/>
            <w:noWrap/>
            <w:vAlign w:val="bottom"/>
            <w:hideMark/>
          </w:tcPr>
          <w:p w14:paraId="2F4FB170"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20</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F56F3E0"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-21,14</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5D69836"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-21,28</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49A4687" w14:textId="77777777" w:rsidR="00F46B75" w:rsidRPr="00F46B75" w:rsidRDefault="00F46B75" w:rsidP="00F46B75">
            <w:pPr>
              <w:jc w:val="right"/>
              <w:rPr>
                <w:rFonts w:ascii="Calibri" w:hAnsi="Calibri" w:cs="Calibri"/>
                <w:color w:val="70AD47"/>
                <w:szCs w:val="22"/>
                <w:lang w:val="fr-FR" w:eastAsia="fr-FR"/>
              </w:rPr>
            </w:pPr>
            <w:r w:rsidRPr="00F46B75">
              <w:rPr>
                <w:rFonts w:ascii="Calibri" w:hAnsi="Calibri" w:cs="Calibri"/>
                <w:color w:val="70AD47"/>
                <w:szCs w:val="22"/>
                <w:lang w:val="fr-FR" w:eastAsia="fr-FR"/>
              </w:rPr>
              <w:t>-21,55</w:t>
            </w:r>
          </w:p>
        </w:tc>
      </w:tr>
      <w:tr w:rsidR="00F46B75" w:rsidRPr="00F46B75" w14:paraId="496F4AFB" w14:textId="77777777" w:rsidTr="00F46B75">
        <w:trPr>
          <w:trHeight w:val="300"/>
          <w:jc w:val="center"/>
        </w:trPr>
        <w:tc>
          <w:tcPr>
            <w:tcW w:w="47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D7DF878" w14:textId="732EDC61" w:rsidR="00F46B75" w:rsidRPr="00F46B75" w:rsidRDefault="00754C1E" w:rsidP="00F46B75">
            <w:pPr>
              <w:jc w:val="left"/>
              <w:rPr>
                <w:rFonts w:ascii="Calibri" w:hAnsi="Calibri" w:cs="Calibri"/>
                <w:color w:val="000000"/>
                <w:szCs w:val="22"/>
                <w:lang w:val="fr-FR" w:eastAsia="fr-FR"/>
              </w:rPr>
            </w:pPr>
            <w:proofErr w:type="spellStart"/>
            <w:r>
              <w:rPr>
                <w:rFonts w:ascii="Calibri" w:hAnsi="Calibri" w:cs="Calibri"/>
                <w:color w:val="000000"/>
                <w:szCs w:val="22"/>
                <w:lang w:val="fr-FR" w:eastAsia="fr-FR"/>
              </w:rPr>
              <w:t>Interference</w:t>
            </w:r>
            <w:proofErr w:type="spellEnd"/>
            <w:r>
              <w:rPr>
                <w:rFonts w:ascii="Calibri" w:hAnsi="Calibri" w:cs="Calibri"/>
                <w:color w:val="000000"/>
                <w:szCs w:val="22"/>
                <w:lang w:val="fr-FR" w:eastAsia="fr-FR"/>
              </w:rPr>
              <w:t xml:space="preserve"> </w:t>
            </w:r>
            <w:proofErr w:type="spellStart"/>
            <w:r>
              <w:rPr>
                <w:rFonts w:ascii="Calibri" w:hAnsi="Calibri" w:cs="Calibri"/>
                <w:color w:val="000000"/>
                <w:szCs w:val="22"/>
                <w:lang w:val="fr-FR" w:eastAsia="fr-FR"/>
              </w:rPr>
              <w:t>threshold</w:t>
            </w:r>
            <w:proofErr w:type="spellEnd"/>
            <w:r w:rsidRPr="00F46B75">
              <w:rPr>
                <w:rFonts w:ascii="Calibri" w:hAnsi="Calibri" w:cs="Calibri"/>
                <w:color w:val="000000"/>
                <w:szCs w:val="22"/>
                <w:lang w:val="fr-FR" w:eastAsia="fr-FR"/>
              </w:rPr>
              <w:t xml:space="preserve"> </w:t>
            </w:r>
            <w:r w:rsidR="00F46B75" w:rsidRPr="00F46B75">
              <w:rPr>
                <w:rFonts w:ascii="Calibri" w:hAnsi="Calibri" w:cs="Calibri"/>
                <w:color w:val="000000"/>
                <w:szCs w:val="22"/>
                <w:lang w:val="fr-FR" w:eastAsia="fr-FR"/>
              </w:rPr>
              <w:t>(dBm)</w:t>
            </w:r>
          </w:p>
        </w:tc>
        <w:tc>
          <w:tcPr>
            <w:tcW w:w="1200" w:type="dxa"/>
            <w:tcBorders>
              <w:top w:val="single" w:sz="8" w:space="0" w:color="auto"/>
              <w:left w:val="nil"/>
              <w:bottom w:val="single" w:sz="8" w:space="0" w:color="auto"/>
              <w:right w:val="nil"/>
            </w:tcBorders>
            <w:shd w:val="clear" w:color="auto" w:fill="auto"/>
            <w:noWrap/>
            <w:vAlign w:val="bottom"/>
            <w:hideMark/>
          </w:tcPr>
          <w:p w14:paraId="34B1C14D" w14:textId="77777777" w:rsidR="00F46B75" w:rsidRPr="00F46B75" w:rsidRDefault="00F46B75" w:rsidP="00F46B75">
            <w:pPr>
              <w:jc w:val="left"/>
              <w:rPr>
                <w:rFonts w:ascii="Calibri" w:hAnsi="Calibri" w:cs="Calibri"/>
                <w:color w:val="000000"/>
                <w:szCs w:val="22"/>
                <w:lang w:val="fr-FR" w:eastAsia="fr-FR"/>
              </w:rPr>
            </w:pPr>
            <w:r w:rsidRPr="00F46B75">
              <w:rPr>
                <w:rFonts w:ascii="Calibri" w:hAnsi="Calibri" w:cs="Calibri"/>
                <w:color w:val="000000"/>
                <w:szCs w:val="22"/>
                <w:lang w:val="fr-FR" w:eastAsia="fr-FR"/>
              </w:rPr>
              <w:t> </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251792C"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-1</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14:paraId="2AA24A6D" w14:textId="77777777" w:rsidR="00F46B75" w:rsidRPr="00F46B75" w:rsidRDefault="00F46B75" w:rsidP="00F46B75">
            <w:pPr>
              <w:jc w:val="right"/>
              <w:rPr>
                <w:rFonts w:ascii="Calibri" w:hAnsi="Calibri" w:cs="Calibri"/>
                <w:color w:val="000000"/>
                <w:szCs w:val="22"/>
                <w:lang w:val="fr-FR" w:eastAsia="fr-FR"/>
              </w:rPr>
            </w:pPr>
            <w:r w:rsidRPr="00F46B75">
              <w:rPr>
                <w:rFonts w:ascii="Calibri" w:hAnsi="Calibri" w:cs="Calibri"/>
                <w:color w:val="000000"/>
                <w:szCs w:val="22"/>
                <w:lang w:val="fr-FR" w:eastAsia="fr-FR"/>
              </w:rPr>
              <w:t>-1</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14:paraId="2F0E0F57" w14:textId="77777777" w:rsidR="00F46B75" w:rsidRPr="00F46B75" w:rsidRDefault="00F46B75" w:rsidP="00F46B75">
            <w:pPr>
              <w:keepNext/>
              <w:jc w:val="right"/>
              <w:rPr>
                <w:rFonts w:ascii="Calibri" w:hAnsi="Calibri" w:cs="Calibri"/>
                <w:color w:val="000000"/>
                <w:szCs w:val="22"/>
                <w:lang w:val="fr-FR" w:eastAsia="fr-FR"/>
              </w:rPr>
            </w:pPr>
            <w:r w:rsidRPr="00F46B75">
              <w:rPr>
                <w:rFonts w:ascii="Calibri" w:hAnsi="Calibri" w:cs="Calibri"/>
                <w:color w:val="000000"/>
                <w:szCs w:val="22"/>
                <w:lang w:val="fr-FR" w:eastAsia="fr-FR"/>
              </w:rPr>
              <w:t>-3,29</w:t>
            </w:r>
          </w:p>
        </w:tc>
      </w:tr>
    </w:tbl>
    <w:p w14:paraId="0A96FF48" w14:textId="332BB306" w:rsidR="003813B0" w:rsidRDefault="00F46B75" w:rsidP="00F46B75">
      <w:pPr>
        <w:pStyle w:val="Caption"/>
      </w:pPr>
      <w:bookmarkStart w:id="6" w:name="_Ref143154662"/>
      <w:r>
        <w:t xml:space="preserve">Table </w:t>
      </w:r>
      <w:r>
        <w:fldChar w:fldCharType="begin"/>
      </w:r>
      <w:r>
        <w:instrText xml:space="preserve"> SEQ Table \* ARABIC </w:instrText>
      </w:r>
      <w:r>
        <w:fldChar w:fldCharType="separate"/>
      </w:r>
      <w:r>
        <w:rPr>
          <w:noProof/>
        </w:rPr>
        <w:t>2</w:t>
      </w:r>
      <w:r>
        <w:fldChar w:fldCharType="end"/>
      </w:r>
      <w:bookmarkEnd w:id="6"/>
      <w:r>
        <w:t xml:space="preserve">: Comparison between LDACS </w:t>
      </w:r>
      <w:r w:rsidR="00043868">
        <w:t xml:space="preserve">RL </w:t>
      </w:r>
      <w:r>
        <w:t xml:space="preserve">received power and interference </w:t>
      </w:r>
      <w:proofErr w:type="gramStart"/>
      <w:r>
        <w:t>threshold</w:t>
      </w:r>
      <w:proofErr w:type="gramEnd"/>
    </w:p>
    <w:p w14:paraId="6937B929" w14:textId="44F94768" w:rsidR="003813B0" w:rsidRDefault="00E16416" w:rsidP="003813B0">
      <w:pPr>
        <w:pStyle w:val="3para"/>
      </w:pPr>
      <w:r>
        <w:t xml:space="preserve">From </w:t>
      </w:r>
      <w:r>
        <w:fldChar w:fldCharType="begin"/>
      </w:r>
      <w:r>
        <w:instrText xml:space="preserve"> REF _Ref143154662 \h </w:instrText>
      </w:r>
      <w:r>
        <w:fldChar w:fldCharType="separate"/>
      </w:r>
      <w:r>
        <w:t xml:space="preserve">Table </w:t>
      </w:r>
      <w:r>
        <w:rPr>
          <w:noProof/>
        </w:rPr>
        <w:t>2</w:t>
      </w:r>
      <w:r>
        <w:fldChar w:fldCharType="end"/>
      </w:r>
      <w:r>
        <w:t>, a minimum separation of 2.45 m would be necessary between LDACS and GNSS antennas to respect the interference threshold.</w:t>
      </w:r>
    </w:p>
    <w:p w14:paraId="2A35274A" w14:textId="1B87AB7F" w:rsidR="00AF6EB7" w:rsidRDefault="00AF6EB7" w:rsidP="003813B0">
      <w:pPr>
        <w:pStyle w:val="3para"/>
      </w:pPr>
      <w:r>
        <w:t>When the LDACS antenna is on the bottom of the aircraft fuselage, no compatibility issue has been identified.</w:t>
      </w:r>
    </w:p>
    <w:p w14:paraId="3ECAD5D1" w14:textId="52D5FB09" w:rsidR="00EE7083" w:rsidRDefault="00EE7083" w:rsidP="003813B0">
      <w:pPr>
        <w:pStyle w:val="3para"/>
      </w:pPr>
      <w:r>
        <w:t xml:space="preserve">Discussion at NSP also highlighted that it would be relevant to address this isolation matter in certification or </w:t>
      </w:r>
      <w:proofErr w:type="gramStart"/>
      <w:r>
        <w:t>other</w:t>
      </w:r>
      <w:proofErr w:type="gramEnd"/>
      <w:r>
        <w:t xml:space="preserve"> </w:t>
      </w:r>
      <w:r w:rsidRPr="00EE7083">
        <w:rPr>
          <w:rFonts w:eastAsia="DengXian"/>
          <w:szCs w:val="22"/>
          <w:lang w:eastAsia="zh-CN"/>
        </w:rPr>
        <w:t>industrial document/standard</w:t>
      </w:r>
      <w:r w:rsidRPr="00EE7083">
        <w:t>.</w:t>
      </w:r>
      <w:r>
        <w:t xml:space="preserve"> </w:t>
      </w:r>
    </w:p>
    <w:p w14:paraId="7619B231" w14:textId="77777777" w:rsidR="00EE7083" w:rsidRPr="003421E0" w:rsidRDefault="00EE7083" w:rsidP="00EE7083">
      <w:pPr>
        <w:pStyle w:val="3para"/>
        <w:numPr>
          <w:ilvl w:val="0"/>
          <w:numId w:val="0"/>
        </w:numPr>
      </w:pPr>
    </w:p>
    <w:p w14:paraId="511FD7BB" w14:textId="0BF7D2EE" w:rsidR="00A47C40" w:rsidRDefault="00A47C40" w:rsidP="00A47C40">
      <w:pPr>
        <w:pStyle w:val="1Heading"/>
      </w:pPr>
      <w:r>
        <w:t>ACTION BY THE MEETING</w:t>
      </w:r>
    </w:p>
    <w:p w14:paraId="33E94B74" w14:textId="77777777" w:rsidR="00C826B6" w:rsidRDefault="00C826B6" w:rsidP="00C826B6">
      <w:pPr>
        <w:pStyle w:val="2para"/>
      </w:pPr>
      <w:r>
        <w:t>The meeting is invited to:</w:t>
      </w:r>
    </w:p>
    <w:p w14:paraId="18007B35" w14:textId="77777777" w:rsidR="00C826B6" w:rsidRDefault="00C826B6" w:rsidP="00C826B6">
      <w:pPr>
        <w:pStyle w:val="Listabc"/>
        <w:numPr>
          <w:ilvl w:val="0"/>
          <w:numId w:val="2"/>
        </w:numPr>
        <w:ind w:left="1800"/>
      </w:pPr>
      <w:r>
        <w:rPr>
          <w:lang w:val="en-GB"/>
        </w:rPr>
        <w:t>n</w:t>
      </w:r>
      <w:r>
        <w:t>ote and review the contents of this working paper;</w:t>
      </w:r>
    </w:p>
    <w:p w14:paraId="5CC6B90A" w14:textId="50FD5D89" w:rsidR="00C826B6" w:rsidRPr="00C826B6" w:rsidRDefault="00C826B6" w:rsidP="00C826B6">
      <w:pPr>
        <w:pStyle w:val="1Heading"/>
      </w:pPr>
      <w:r>
        <w:t>ANNEX</w:t>
      </w:r>
    </w:p>
    <w:bookmarkStart w:id="7" w:name="_MON_1753886435"/>
    <w:bookmarkEnd w:id="7"/>
    <w:p w14:paraId="36259B6D" w14:textId="4202A358" w:rsidR="00A47C40" w:rsidRDefault="0011035E" w:rsidP="00A47C40">
      <w:pPr>
        <w:pStyle w:val="Listabc"/>
        <w:numPr>
          <w:ilvl w:val="0"/>
          <w:numId w:val="0"/>
        </w:numPr>
      </w:pPr>
      <w:r>
        <w:object w:dxaOrig="1508" w:dyaOrig="983" w14:anchorId="51CDA4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pt;height:49pt;mso-width-percent:0;mso-height-percent:0;mso-width-percent:0;mso-height-percent:0" o:ole="">
            <v:imagedata r:id="rId13" o:title=""/>
          </v:shape>
          <o:OLEObject Type="Embed" ProgID="Word.Document.8" ShapeID="_x0000_i1025" DrawAspect="Icon" ObjectID="_1755258248" r:id="rId14">
            <o:FieldCodes>\s</o:FieldCodes>
          </o:OLEObject>
        </w:object>
      </w:r>
      <w:bookmarkStart w:id="8" w:name="_MON_1753886480"/>
      <w:bookmarkEnd w:id="8"/>
      <w:r>
        <w:object w:dxaOrig="1508" w:dyaOrig="983" w14:anchorId="7A4145F9">
          <v:shape id="_x0000_i1026" type="#_x0000_t75" alt="" style="width:76pt;height:49pt;mso-width-percent:0;mso-height-percent:0;mso-width-percent:0;mso-height-percent:0" o:ole="">
            <v:imagedata r:id="rId15" o:title=""/>
          </v:shape>
          <o:OLEObject Type="Embed" ProgID="Word.Document.12" ShapeID="_x0000_i1026" DrawAspect="Icon" ObjectID="_1755258249" r:id="rId16">
            <o:FieldCodes>\s</o:FieldCodes>
          </o:OLEObject>
        </w:object>
      </w:r>
    </w:p>
    <w:p w14:paraId="5BC87538" w14:textId="77777777" w:rsidR="00A47C40" w:rsidRDefault="00A47C40" w:rsidP="00A47C40">
      <w:pPr>
        <w:spacing w:before="600"/>
        <w:jc w:val="center"/>
      </w:pPr>
      <w:r>
        <w:t>— END —</w:t>
      </w:r>
    </w:p>
    <w:p w14:paraId="649B322E" w14:textId="77777777" w:rsidR="00B6484F" w:rsidRDefault="00B6484F"/>
    <w:sectPr w:rsidR="00B6484F">
      <w:headerReference w:type="even" r:id="rId17"/>
      <w:headerReference w:type="default" r:id="rId18"/>
      <w:headerReference w:type="first" r:id="rId19"/>
      <w:footerReference w:type="first" r:id="rId20"/>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5C441" w14:textId="77777777" w:rsidR="00496BA2" w:rsidRDefault="00496BA2" w:rsidP="00DC6FB5">
      <w:r>
        <w:separator/>
      </w:r>
    </w:p>
  </w:endnote>
  <w:endnote w:type="continuationSeparator" w:id="0">
    <w:p w14:paraId="64A67786" w14:textId="77777777" w:rsidR="00496BA2" w:rsidRDefault="00496BA2" w:rsidP="00DC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DF35" w14:textId="77777777" w:rsidR="00B42346" w:rsidRDefault="0000000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Pr>
        <w:noProof/>
        <w:sz w:val="18"/>
        <w:lang w:val="fr-FR"/>
      </w:rPr>
      <w:t>2</w:t>
    </w:r>
    <w:r>
      <w:rPr>
        <w:sz w:val="18"/>
        <w:lang w:val="en-US"/>
      </w:rPr>
      <w:fldChar w:fldCharType="end"/>
    </w:r>
    <w:r>
      <w:rPr>
        <w:sz w:val="18"/>
        <w:lang w:val="fr-FR"/>
      </w:rPr>
      <w:t xml:space="preserve"> pages)</w:t>
    </w:r>
  </w:p>
  <w:p w14:paraId="6D58A614" w14:textId="243CC764" w:rsidR="00B42346" w:rsidRPr="005C3C9E" w:rsidRDefault="00000000">
    <w:pPr>
      <w:pStyle w:val="Footer"/>
      <w:rPr>
        <w:lang w:val="en-CA"/>
      </w:rPr>
    </w:pPr>
    <w:r>
      <w:rPr>
        <w:sz w:val="18"/>
        <w:lang w:val="en-US"/>
      </w:rPr>
      <w:fldChar w:fldCharType="begin"/>
    </w:r>
    <w:r w:rsidRPr="005C3C9E">
      <w:rPr>
        <w:sz w:val="18"/>
        <w:lang w:val="en-CA"/>
      </w:rPr>
      <w:instrText xml:space="preserve"> FILENAME  \* MERGEFORMAT </w:instrText>
    </w:r>
    <w:r>
      <w:rPr>
        <w:sz w:val="18"/>
        <w:lang w:val="en-US"/>
      </w:rPr>
      <w:fldChar w:fldCharType="separate"/>
    </w:r>
    <w:r w:rsidR="005C3C9E" w:rsidRPr="005C3C9E">
      <w:rPr>
        <w:noProof/>
        <w:sz w:val="18"/>
        <w:lang w:val="en-CA"/>
      </w:rPr>
      <w:t>FSMP-WG17-WP16_Rev_LDACS_GNSS_compatibility.docx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5CC45" w14:textId="77777777" w:rsidR="00496BA2" w:rsidRDefault="00496BA2" w:rsidP="00DC6FB5">
      <w:r>
        <w:separator/>
      </w:r>
    </w:p>
  </w:footnote>
  <w:footnote w:type="continuationSeparator" w:id="0">
    <w:p w14:paraId="717AF605" w14:textId="77777777" w:rsidR="00496BA2" w:rsidRDefault="00496BA2" w:rsidP="00DC6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4AAD9" w14:textId="77777777" w:rsidR="00B42346" w:rsidRDefault="00000000" w:rsidP="00F56F90">
    <w:pPr>
      <w:tabs>
        <w:tab w:val="center" w:pos="4876"/>
      </w:tabs>
      <w:spacing w:after="600"/>
    </w:pPr>
    <w:r>
      <w:t>FSMP-WG/17 WP/xxx</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FD13" w14:textId="0A33A145" w:rsidR="00B42346" w:rsidRDefault="0000000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r>
      <w:rPr>
        <w:rStyle w:val="PageNumber"/>
      </w:rPr>
      <w:tab/>
    </w:r>
    <w:r>
      <w:t>FSMP-WG/1</w:t>
    </w:r>
    <w:r w:rsidR="00DC6FB5">
      <w:t>7</w:t>
    </w:r>
    <w:r w:rsidR="008800AA">
      <w:t>-</w:t>
    </w:r>
    <w:r>
      <w:t>WP/</w:t>
    </w:r>
    <w:r w:rsidR="008800AA">
      <w:t>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4BCF7A94" w14:textId="77777777" w:rsidTr="00664C07">
      <w:trPr>
        <w:trHeight w:val="1790"/>
      </w:trPr>
      <w:tc>
        <w:tcPr>
          <w:tcW w:w="1915" w:type="dxa"/>
          <w:shd w:val="clear" w:color="auto" w:fill="FFFFFF"/>
        </w:tcPr>
        <w:p w14:paraId="5B2B5741" w14:textId="6352BDCE" w:rsidR="00B42346" w:rsidRDefault="00A47C40" w:rsidP="00664C07">
          <w:bookmarkStart w:id="9" w:name="logo"/>
          <w:r w:rsidRPr="00484298">
            <w:rPr>
              <w:noProof/>
              <w:lang w:eastAsia="zh-CN"/>
            </w:rPr>
            <w:drawing>
              <wp:inline distT="0" distB="0" distL="0" distR="0" wp14:anchorId="7553A242" wp14:editId="700DFA93">
                <wp:extent cx="1092200" cy="863600"/>
                <wp:effectExtent l="0" t="0" r="0" b="0"/>
                <wp:docPr id="1" name="Imag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9"/>
        </w:p>
      </w:tc>
      <w:tc>
        <w:tcPr>
          <w:tcW w:w="3895" w:type="dxa"/>
          <w:shd w:val="clear" w:color="auto" w:fill="FFFFFF"/>
          <w:tcMar>
            <w:right w:w="0" w:type="dxa"/>
          </w:tcMar>
        </w:tcPr>
        <w:p w14:paraId="28BF3719" w14:textId="76F594A1" w:rsidR="00B42346" w:rsidRPr="00066AB7" w:rsidRDefault="00A47C40"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9264" behindDoc="0" locked="0" layoutInCell="1" allowOverlap="1" wp14:anchorId="3445D044" wp14:editId="76E2D440">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89194"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4AB195CB" w14:textId="77777777" w:rsidR="00B42346" w:rsidRPr="00066AB7" w:rsidRDefault="00000000" w:rsidP="00664C07">
          <w:pPr>
            <w:rPr>
              <w:rFonts w:ascii="Arial" w:hAnsi="Arial" w:cs="Arial"/>
              <w:szCs w:val="22"/>
            </w:rPr>
          </w:pPr>
          <w:r w:rsidRPr="00066AB7">
            <w:rPr>
              <w:rFonts w:ascii="Arial" w:hAnsi="Arial" w:cs="Arial"/>
              <w:szCs w:val="22"/>
            </w:rPr>
            <w:t>International Civil Aviation Organization</w:t>
          </w:r>
        </w:p>
        <w:p w14:paraId="19CC732D" w14:textId="77777777" w:rsidR="00B42346" w:rsidRPr="00066AB7" w:rsidRDefault="00B42346" w:rsidP="00664C07">
          <w:pPr>
            <w:rPr>
              <w:rFonts w:ascii="Arial" w:hAnsi="Arial" w:cs="Arial"/>
              <w:szCs w:val="22"/>
            </w:rPr>
          </w:pPr>
        </w:p>
        <w:p w14:paraId="536B4470" w14:textId="77777777" w:rsidR="00B42346" w:rsidRPr="00066AB7" w:rsidRDefault="00000000"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74C7BF26" w14:textId="77777777" w:rsidTr="00664C07">
            <w:trPr>
              <w:jc w:val="right"/>
            </w:trPr>
            <w:tc>
              <w:tcPr>
                <w:tcW w:w="0" w:type="auto"/>
              </w:tcPr>
              <w:p w14:paraId="552D5447" w14:textId="11BFFF3E" w:rsidR="00B42346" w:rsidRPr="00066AB7" w:rsidRDefault="00000000" w:rsidP="008800AA">
                <w:pPr>
                  <w:framePr w:hSpace="180" w:wrap="around" w:vAnchor="text" w:hAnchor="text" w:y="1"/>
                  <w:suppressOverlap/>
                  <w:jc w:val="left"/>
                  <w:rPr>
                    <w:szCs w:val="22"/>
                  </w:rPr>
                </w:pPr>
                <w:bookmarkStart w:id="10" w:name="document_no"/>
                <w:r>
                  <w:rPr>
                    <w:szCs w:val="22"/>
                  </w:rPr>
                  <w:t>FSMP-WG</w:t>
                </w:r>
                <w:r w:rsidRPr="00066AB7">
                  <w:rPr>
                    <w:szCs w:val="22"/>
                  </w:rPr>
                  <w:t>/</w:t>
                </w:r>
                <w:r>
                  <w:rPr>
                    <w:szCs w:val="22"/>
                  </w:rPr>
                  <w:t>17</w:t>
                </w:r>
                <w:r w:rsidR="008800AA">
                  <w:rPr>
                    <w:szCs w:val="22"/>
                  </w:rPr>
                  <w:t>-</w:t>
                </w:r>
                <w:r w:rsidRPr="00066AB7">
                  <w:rPr>
                    <w:szCs w:val="22"/>
                  </w:rPr>
                  <w:t>WP/</w:t>
                </w:r>
                <w:r w:rsidR="008800AA">
                  <w:rPr>
                    <w:szCs w:val="22"/>
                  </w:rPr>
                  <w:t>16</w:t>
                </w:r>
                <w:bookmarkEnd w:id="10"/>
              </w:p>
              <w:p w14:paraId="47070E98" w14:textId="77777777" w:rsidR="00B42346" w:rsidRPr="00066AB7" w:rsidRDefault="00000000" w:rsidP="008800AA">
                <w:pPr>
                  <w:framePr w:hSpace="180" w:wrap="around" w:vAnchor="text" w:hAnchor="text" w:y="1"/>
                  <w:suppressOverlap/>
                  <w:jc w:val="left"/>
                  <w:rPr>
                    <w:b/>
                  </w:rPr>
                </w:pPr>
                <w:bookmarkStart w:id="11" w:name="restricted"/>
                <w:bookmarkStart w:id="12" w:name="addendum_corrigendum_appendix"/>
                <w:bookmarkStart w:id="13" w:name="revision_no"/>
                <w:bookmarkStart w:id="14" w:name="revision_date"/>
                <w:bookmarkStart w:id="15" w:name="related_to"/>
                <w:bookmarkEnd w:id="11"/>
                <w:bookmarkEnd w:id="12"/>
                <w:bookmarkEnd w:id="13"/>
                <w:bookmarkEnd w:id="14"/>
                <w:bookmarkEnd w:id="15"/>
                <w:r>
                  <w:rPr>
                    <w:sz w:val="18"/>
                    <w:szCs w:val="18"/>
                  </w:rPr>
                  <w:t>2023-09-xx</w:t>
                </w:r>
                <w:r w:rsidRPr="00066AB7">
                  <w:rPr>
                    <w:b/>
                    <w:sz w:val="18"/>
                    <w:szCs w:val="18"/>
                  </w:rPr>
                  <w:t xml:space="preserve"> </w:t>
                </w:r>
                <w:bookmarkStart w:id="16" w:name="info_paper"/>
                <w:bookmarkEnd w:id="16"/>
              </w:p>
            </w:tc>
          </w:tr>
          <w:tr w:rsidR="00920C27" w14:paraId="5DAF06FE" w14:textId="77777777" w:rsidTr="00664C07">
            <w:trPr>
              <w:jc w:val="right"/>
            </w:trPr>
            <w:tc>
              <w:tcPr>
                <w:tcW w:w="0" w:type="auto"/>
              </w:tcPr>
              <w:p w14:paraId="2DFCFE28" w14:textId="77777777" w:rsidR="00B42346" w:rsidRPr="00066AB7" w:rsidRDefault="00B42346" w:rsidP="008800AA">
                <w:pPr>
                  <w:framePr w:hSpace="180" w:wrap="around" w:vAnchor="text" w:hAnchor="text" w:y="1"/>
                  <w:suppressOverlap/>
                  <w:jc w:val="left"/>
                  <w:rPr>
                    <w:szCs w:val="22"/>
                  </w:rPr>
                </w:pPr>
              </w:p>
            </w:tc>
          </w:tr>
        </w:tbl>
        <w:p w14:paraId="1EAC1C89" w14:textId="77777777" w:rsidR="00B42346" w:rsidRPr="00066AB7" w:rsidRDefault="00B42346" w:rsidP="00664C07">
          <w:pPr>
            <w:tabs>
              <w:tab w:val="left" w:pos="720"/>
              <w:tab w:val="left" w:pos="1440"/>
              <w:tab w:val="left" w:pos="1800"/>
              <w:tab w:val="left" w:pos="2160"/>
              <w:tab w:val="left" w:pos="2520"/>
              <w:tab w:val="left" w:pos="2880"/>
            </w:tabs>
            <w:ind w:left="4320"/>
            <w:rPr>
              <w:b/>
              <w:sz w:val="18"/>
              <w:szCs w:val="18"/>
            </w:rPr>
          </w:pPr>
        </w:p>
      </w:tc>
    </w:tr>
  </w:tbl>
  <w:p w14:paraId="60DDD821" w14:textId="7424CB5B" w:rsidR="00B42346" w:rsidRDefault="00B42346" w:rsidP="00DC6FB5">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700B"/>
    <w:multiLevelType w:val="hybridMultilevel"/>
    <w:tmpl w:val="7CC4DB20"/>
    <w:lvl w:ilvl="0" w:tplc="4FD29368">
      <w:start w:val="96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4BFB2ECF"/>
    <w:multiLevelType w:val="multilevel"/>
    <w:tmpl w:val="0B02A7C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5"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abstractNum w:abstractNumId="6"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7" w15:restartNumberingAfterBreak="0">
    <w:nsid w:val="70E67643"/>
    <w:multiLevelType w:val="hybridMultilevel"/>
    <w:tmpl w:val="B2B2063A"/>
    <w:lvl w:ilvl="0" w:tplc="F7ECE07C">
      <w:numFmt w:val="bullet"/>
      <w:lvlText w:val="-"/>
      <w:lvlJc w:val="left"/>
      <w:pPr>
        <w:ind w:left="420" w:hanging="360"/>
      </w:pPr>
      <w:rPr>
        <w:rFonts w:ascii="Times New Roman" w:eastAsia="Times New Roman"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16cid:durableId="1975285379">
    <w:abstractNumId w:val="3"/>
  </w:num>
  <w:num w:numId="2" w16cid:durableId="1547789621">
    <w:abstractNumId w:val="5"/>
  </w:num>
  <w:num w:numId="3" w16cid:durableId="1739981651">
    <w:abstractNumId w:val="2"/>
  </w:num>
  <w:num w:numId="4" w16cid:durableId="799805312">
    <w:abstractNumId w:val="1"/>
  </w:num>
  <w:num w:numId="5" w16cid:durableId="1581522561">
    <w:abstractNumId w:val="7"/>
  </w:num>
  <w:num w:numId="6" w16cid:durableId="1234126474">
    <w:abstractNumId w:val="6"/>
  </w:num>
  <w:num w:numId="7" w16cid:durableId="1849634849">
    <w:abstractNumId w:val="4"/>
  </w:num>
  <w:num w:numId="8" w16cid:durableId="693382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C40"/>
    <w:rsid w:val="00014601"/>
    <w:rsid w:val="0004242D"/>
    <w:rsid w:val="00043868"/>
    <w:rsid w:val="000672AC"/>
    <w:rsid w:val="00097C19"/>
    <w:rsid w:val="0010063F"/>
    <w:rsid w:val="0011035E"/>
    <w:rsid w:val="0015171D"/>
    <w:rsid w:val="00163E78"/>
    <w:rsid w:val="00190176"/>
    <w:rsid w:val="00193C79"/>
    <w:rsid w:val="001A195F"/>
    <w:rsid w:val="001C6FF3"/>
    <w:rsid w:val="001E091D"/>
    <w:rsid w:val="00243801"/>
    <w:rsid w:val="00252E76"/>
    <w:rsid w:val="00277CE9"/>
    <w:rsid w:val="002C43AE"/>
    <w:rsid w:val="002C6D48"/>
    <w:rsid w:val="002F22C6"/>
    <w:rsid w:val="0030138D"/>
    <w:rsid w:val="00317429"/>
    <w:rsid w:val="003421E0"/>
    <w:rsid w:val="003813B0"/>
    <w:rsid w:val="003906AB"/>
    <w:rsid w:val="003B1F72"/>
    <w:rsid w:val="003E4206"/>
    <w:rsid w:val="00496BA2"/>
    <w:rsid w:val="004A32BF"/>
    <w:rsid w:val="004C3718"/>
    <w:rsid w:val="004F21E0"/>
    <w:rsid w:val="00534B6A"/>
    <w:rsid w:val="00537E3B"/>
    <w:rsid w:val="005719C3"/>
    <w:rsid w:val="00591CB7"/>
    <w:rsid w:val="005C3C9E"/>
    <w:rsid w:val="005D3920"/>
    <w:rsid w:val="00625340"/>
    <w:rsid w:val="00647832"/>
    <w:rsid w:val="00681B90"/>
    <w:rsid w:val="006C7571"/>
    <w:rsid w:val="00744B07"/>
    <w:rsid w:val="00754C1E"/>
    <w:rsid w:val="007557A2"/>
    <w:rsid w:val="007712E3"/>
    <w:rsid w:val="00781C24"/>
    <w:rsid w:val="007908DF"/>
    <w:rsid w:val="00792ACF"/>
    <w:rsid w:val="00792FC1"/>
    <w:rsid w:val="007A5F65"/>
    <w:rsid w:val="007B4043"/>
    <w:rsid w:val="00816B26"/>
    <w:rsid w:val="008533BF"/>
    <w:rsid w:val="008800AA"/>
    <w:rsid w:val="00896BAE"/>
    <w:rsid w:val="00996E54"/>
    <w:rsid w:val="00A07C2F"/>
    <w:rsid w:val="00A47C40"/>
    <w:rsid w:val="00A71760"/>
    <w:rsid w:val="00AA524D"/>
    <w:rsid w:val="00AB0D19"/>
    <w:rsid w:val="00AF6EB7"/>
    <w:rsid w:val="00AF7D59"/>
    <w:rsid w:val="00B0720F"/>
    <w:rsid w:val="00B42346"/>
    <w:rsid w:val="00B6484F"/>
    <w:rsid w:val="00B71FB5"/>
    <w:rsid w:val="00B9304E"/>
    <w:rsid w:val="00BF20F5"/>
    <w:rsid w:val="00C275C0"/>
    <w:rsid w:val="00C61A43"/>
    <w:rsid w:val="00C8036E"/>
    <w:rsid w:val="00C826B6"/>
    <w:rsid w:val="00C96071"/>
    <w:rsid w:val="00CC01E5"/>
    <w:rsid w:val="00CC3C0C"/>
    <w:rsid w:val="00CF06F0"/>
    <w:rsid w:val="00CF2A47"/>
    <w:rsid w:val="00D561E0"/>
    <w:rsid w:val="00D631AD"/>
    <w:rsid w:val="00DA570C"/>
    <w:rsid w:val="00DB1E6A"/>
    <w:rsid w:val="00DC6FB5"/>
    <w:rsid w:val="00E14A9C"/>
    <w:rsid w:val="00E16416"/>
    <w:rsid w:val="00E6333C"/>
    <w:rsid w:val="00E86FB4"/>
    <w:rsid w:val="00E87C8E"/>
    <w:rsid w:val="00ED3D2F"/>
    <w:rsid w:val="00EE7083"/>
    <w:rsid w:val="00EF550E"/>
    <w:rsid w:val="00F350FF"/>
    <w:rsid w:val="00F46B75"/>
    <w:rsid w:val="00F52FCA"/>
    <w:rsid w:val="00FA1A39"/>
    <w:rsid w:val="00FC5288"/>
    <w:rsid w:val="00FE74B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5780D"/>
  <w15:chartTrackingRefBased/>
  <w15:docId w15:val="{1F4FF7D8-DC0C-4C4E-B7B4-0817B892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C40"/>
    <w:pPr>
      <w:spacing w:after="0" w:line="240" w:lineRule="auto"/>
      <w:jc w:val="both"/>
    </w:pPr>
    <w:rPr>
      <w:rFonts w:ascii="Times New Roman" w:eastAsia="Times New Roman" w:hAnsi="Times New Roman"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A47C40"/>
    <w:pPr>
      <w:ind w:left="1080" w:right="1080"/>
      <w:jc w:val="center"/>
    </w:pPr>
    <w:rPr>
      <w:b/>
      <w:snapToGrid w:val="0"/>
    </w:rPr>
  </w:style>
  <w:style w:type="paragraph" w:customStyle="1" w:styleId="1Heading">
    <w:name w:val="1Heading"/>
    <w:basedOn w:val="Normal"/>
    <w:next w:val="2para"/>
    <w:rsid w:val="00A47C40"/>
    <w:pPr>
      <w:numPr>
        <w:numId w:val="1"/>
      </w:numPr>
      <w:spacing w:before="240" w:after="240"/>
      <w:ind w:right="2880"/>
    </w:pPr>
    <w:rPr>
      <w:b/>
    </w:rPr>
  </w:style>
  <w:style w:type="paragraph" w:customStyle="1" w:styleId="3para">
    <w:name w:val="3para"/>
    <w:basedOn w:val="Normal"/>
    <w:rsid w:val="00A47C40"/>
    <w:pPr>
      <w:numPr>
        <w:ilvl w:val="2"/>
        <w:numId w:val="1"/>
      </w:numPr>
      <w:spacing w:after="240"/>
      <w:ind w:left="0" w:firstLine="0"/>
      <w:outlineLvl w:val="2"/>
    </w:pPr>
  </w:style>
  <w:style w:type="paragraph" w:customStyle="1" w:styleId="4para">
    <w:name w:val="4para"/>
    <w:basedOn w:val="3para"/>
    <w:rsid w:val="00A47C40"/>
    <w:pPr>
      <w:numPr>
        <w:ilvl w:val="3"/>
      </w:numPr>
      <w:tabs>
        <w:tab w:val="clear" w:pos="1080"/>
        <w:tab w:val="left" w:pos="1440"/>
      </w:tabs>
    </w:pPr>
  </w:style>
  <w:style w:type="paragraph" w:customStyle="1" w:styleId="5para">
    <w:name w:val="5para"/>
    <w:basedOn w:val="3para"/>
    <w:rsid w:val="00A47C40"/>
    <w:pPr>
      <w:numPr>
        <w:ilvl w:val="4"/>
      </w:numPr>
    </w:pPr>
  </w:style>
  <w:style w:type="paragraph" w:customStyle="1" w:styleId="6para">
    <w:name w:val="6para"/>
    <w:basedOn w:val="3para"/>
    <w:rsid w:val="00A47C40"/>
    <w:pPr>
      <w:numPr>
        <w:ilvl w:val="5"/>
      </w:numPr>
      <w:outlineLvl w:val="5"/>
    </w:pPr>
  </w:style>
  <w:style w:type="paragraph" w:customStyle="1" w:styleId="7para">
    <w:name w:val="7para"/>
    <w:basedOn w:val="3para"/>
    <w:rsid w:val="00A47C40"/>
    <w:pPr>
      <w:numPr>
        <w:ilvl w:val="6"/>
      </w:numPr>
      <w:tabs>
        <w:tab w:val="left" w:pos="1440"/>
      </w:tabs>
      <w:outlineLvl w:val="6"/>
    </w:pPr>
  </w:style>
  <w:style w:type="paragraph" w:customStyle="1" w:styleId="2para">
    <w:name w:val="2para"/>
    <w:basedOn w:val="3para"/>
    <w:rsid w:val="00A47C40"/>
    <w:pPr>
      <w:numPr>
        <w:ilvl w:val="1"/>
      </w:numPr>
      <w:tabs>
        <w:tab w:val="clear" w:pos="720"/>
        <w:tab w:val="left" w:pos="1440"/>
      </w:tabs>
      <w:ind w:left="0" w:firstLine="0"/>
      <w:outlineLvl w:val="1"/>
    </w:pPr>
  </w:style>
  <w:style w:type="paragraph" w:styleId="Footer">
    <w:name w:val="footer"/>
    <w:basedOn w:val="Normal"/>
    <w:link w:val="FooterChar"/>
    <w:rsid w:val="00A47C40"/>
    <w:pPr>
      <w:tabs>
        <w:tab w:val="center" w:pos="4320"/>
        <w:tab w:val="right" w:pos="8640"/>
      </w:tabs>
    </w:pPr>
  </w:style>
  <w:style w:type="character" w:customStyle="1" w:styleId="FooterChar">
    <w:name w:val="Footer Char"/>
    <w:basedOn w:val="DefaultParagraphFont"/>
    <w:link w:val="Footer"/>
    <w:rsid w:val="00A47C40"/>
    <w:rPr>
      <w:rFonts w:ascii="Times New Roman" w:eastAsia="Times New Roman" w:hAnsi="Times New Roman" w:cs="Times New Roman"/>
      <w:szCs w:val="20"/>
      <w:lang w:val="en-GB"/>
    </w:rPr>
  </w:style>
  <w:style w:type="character" w:styleId="PageNumber">
    <w:name w:val="page number"/>
    <w:basedOn w:val="DefaultParagraphFont"/>
    <w:rsid w:val="00A47C40"/>
  </w:style>
  <w:style w:type="paragraph" w:customStyle="1" w:styleId="smallfont">
    <w:name w:val="small font"/>
    <w:basedOn w:val="Normal"/>
    <w:rsid w:val="00A47C40"/>
    <w:pPr>
      <w:tabs>
        <w:tab w:val="left" w:pos="6660"/>
      </w:tabs>
    </w:pPr>
    <w:rPr>
      <w:sz w:val="18"/>
    </w:rPr>
  </w:style>
  <w:style w:type="paragraph" w:customStyle="1" w:styleId="Listabc">
    <w:name w:val="List_a_b_c"/>
    <w:rsid w:val="00A47C40"/>
    <w:pPr>
      <w:numPr>
        <w:ilvl w:val="7"/>
        <w:numId w:val="1"/>
      </w:numPr>
      <w:tabs>
        <w:tab w:val="clear" w:pos="1800"/>
        <w:tab w:val="num" w:pos="360"/>
      </w:tabs>
      <w:spacing w:after="240" w:line="240" w:lineRule="auto"/>
      <w:ind w:left="1800" w:hanging="360"/>
    </w:pPr>
    <w:rPr>
      <w:rFonts w:ascii="Times New Roman" w:eastAsia="Times New Roman" w:hAnsi="Times New Roman" w:cs="Times New Roman"/>
      <w:noProof/>
      <w:szCs w:val="20"/>
      <w:lang w:val="en-AU"/>
    </w:rPr>
  </w:style>
  <w:style w:type="paragraph" w:customStyle="1" w:styleId="List123">
    <w:name w:val="List_1_2_3"/>
    <w:basedOn w:val="Normal"/>
    <w:rsid w:val="00A47C40"/>
    <w:pPr>
      <w:numPr>
        <w:numId w:val="2"/>
      </w:numPr>
      <w:tabs>
        <w:tab w:val="clear" w:pos="360"/>
        <w:tab w:val="num" w:pos="2160"/>
      </w:tabs>
      <w:spacing w:after="240"/>
      <w:ind w:left="2160"/>
    </w:pPr>
  </w:style>
  <w:style w:type="paragraph" w:customStyle="1" w:styleId="List-">
    <w:name w:val="List_-"/>
    <w:basedOn w:val="Normal"/>
    <w:rsid w:val="00A47C40"/>
    <w:pPr>
      <w:numPr>
        <w:numId w:val="4"/>
      </w:numPr>
    </w:pPr>
  </w:style>
  <w:style w:type="paragraph" w:customStyle="1" w:styleId="Agendaitemtitle">
    <w:name w:val="Agenda item title"/>
    <w:basedOn w:val="Normal"/>
    <w:rsid w:val="00A47C40"/>
    <w:pPr>
      <w:tabs>
        <w:tab w:val="left" w:pos="0"/>
        <w:tab w:val="left" w:pos="1570"/>
        <w:tab w:val="left" w:pos="1857"/>
      </w:tabs>
      <w:ind w:left="1570" w:hanging="1570"/>
    </w:pPr>
    <w:rPr>
      <w:b/>
    </w:rPr>
  </w:style>
  <w:style w:type="paragraph" w:customStyle="1" w:styleId="2Para0">
    <w:name w:val="2Para"/>
    <w:basedOn w:val="Normal"/>
    <w:rsid w:val="00A47C40"/>
    <w:pPr>
      <w:tabs>
        <w:tab w:val="num" w:pos="0"/>
        <w:tab w:val="left" w:pos="1440"/>
      </w:tabs>
      <w:spacing w:before="260" w:after="260"/>
    </w:pPr>
    <w:rPr>
      <w:szCs w:val="22"/>
    </w:rPr>
  </w:style>
  <w:style w:type="paragraph" w:customStyle="1" w:styleId="3Para0">
    <w:name w:val="3Para"/>
    <w:basedOn w:val="Normal"/>
    <w:rsid w:val="003421E0"/>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3421E0"/>
    <w:pPr>
      <w:tabs>
        <w:tab w:val="num" w:pos="0"/>
        <w:tab w:val="left" w:pos="1440"/>
      </w:tabs>
      <w:spacing w:before="260" w:after="260"/>
    </w:pPr>
    <w:rPr>
      <w:szCs w:val="24"/>
    </w:rPr>
  </w:style>
  <w:style w:type="paragraph" w:customStyle="1" w:styleId="5Para0">
    <w:name w:val="5Para"/>
    <w:basedOn w:val="Normal"/>
    <w:rsid w:val="003421E0"/>
    <w:pPr>
      <w:tabs>
        <w:tab w:val="num" w:pos="0"/>
        <w:tab w:val="left" w:pos="1440"/>
      </w:tabs>
      <w:spacing w:before="260" w:after="260"/>
    </w:pPr>
    <w:rPr>
      <w:szCs w:val="24"/>
    </w:rPr>
  </w:style>
  <w:style w:type="paragraph" w:customStyle="1" w:styleId="6Para0">
    <w:name w:val="6Para"/>
    <w:basedOn w:val="Normal"/>
    <w:rsid w:val="003421E0"/>
    <w:pPr>
      <w:tabs>
        <w:tab w:val="num" w:pos="0"/>
        <w:tab w:val="left" w:pos="1440"/>
      </w:tabs>
      <w:spacing w:before="260" w:after="260"/>
    </w:pPr>
    <w:rPr>
      <w:szCs w:val="24"/>
    </w:rPr>
  </w:style>
  <w:style w:type="paragraph" w:customStyle="1" w:styleId="7Para0">
    <w:name w:val="7Para"/>
    <w:basedOn w:val="Normal"/>
    <w:rsid w:val="003421E0"/>
    <w:pPr>
      <w:tabs>
        <w:tab w:val="num" w:pos="0"/>
        <w:tab w:val="left" w:pos="1440"/>
      </w:tabs>
      <w:spacing w:before="260" w:after="260"/>
    </w:pPr>
    <w:rPr>
      <w:szCs w:val="24"/>
    </w:rPr>
  </w:style>
  <w:style w:type="paragraph" w:customStyle="1" w:styleId="8Para">
    <w:name w:val="8Para"/>
    <w:basedOn w:val="Normal"/>
    <w:rsid w:val="003421E0"/>
    <w:pPr>
      <w:tabs>
        <w:tab w:val="num" w:pos="0"/>
        <w:tab w:val="left" w:pos="1440"/>
      </w:tabs>
      <w:spacing w:before="260" w:after="260"/>
    </w:pPr>
    <w:rPr>
      <w:szCs w:val="24"/>
    </w:rPr>
  </w:style>
  <w:style w:type="paragraph" w:customStyle="1" w:styleId="Note">
    <w:name w:val="Note"/>
    <w:next w:val="Normal"/>
    <w:rsid w:val="003421E0"/>
    <w:pPr>
      <w:numPr>
        <w:numId w:val="6"/>
      </w:numPr>
      <w:spacing w:after="260" w:line="240" w:lineRule="auto"/>
      <w:ind w:firstLine="1800"/>
      <w:jc w:val="both"/>
    </w:pPr>
    <w:rPr>
      <w:rFonts w:ascii="Times New Roman" w:eastAsia="Times New Roman" w:hAnsi="Times New Roman" w:cs="Times New Roman"/>
      <w:i/>
      <w:szCs w:val="24"/>
      <w:lang w:val="en-GB"/>
    </w:rPr>
  </w:style>
  <w:style w:type="character" w:styleId="PlaceholderText">
    <w:name w:val="Placeholder Text"/>
    <w:basedOn w:val="DefaultParagraphFont"/>
    <w:uiPriority w:val="99"/>
    <w:semiHidden/>
    <w:rsid w:val="003421E0"/>
    <w:rPr>
      <w:color w:val="808080"/>
    </w:rPr>
  </w:style>
  <w:style w:type="paragraph" w:styleId="Caption">
    <w:name w:val="caption"/>
    <w:basedOn w:val="Normal"/>
    <w:next w:val="Normal"/>
    <w:uiPriority w:val="35"/>
    <w:unhideWhenUsed/>
    <w:qFormat/>
    <w:rsid w:val="00591CB7"/>
    <w:pPr>
      <w:spacing w:after="200"/>
      <w:jc w:val="center"/>
    </w:pPr>
    <w:rPr>
      <w:color w:val="000000" w:themeColor="text1"/>
      <w:szCs w:val="22"/>
    </w:rPr>
  </w:style>
  <w:style w:type="character" w:customStyle="1" w:styleId="markedcontent">
    <w:name w:val="markedcontent"/>
    <w:basedOn w:val="DefaultParagraphFont"/>
    <w:rsid w:val="00AB0D19"/>
  </w:style>
  <w:style w:type="table" w:styleId="TableGrid">
    <w:name w:val="Table Grid"/>
    <w:basedOn w:val="TableNormal"/>
    <w:uiPriority w:val="39"/>
    <w:rsid w:val="001A1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036E"/>
    <w:pPr>
      <w:spacing w:after="0" w:line="240" w:lineRule="auto"/>
    </w:pPr>
    <w:rPr>
      <w:rFonts w:ascii="Times New Roman" w:eastAsia="Times New Roman" w:hAnsi="Times New Roman" w:cs="Times New Roman"/>
      <w:szCs w:val="20"/>
      <w:lang w:val="en-GB"/>
    </w:rPr>
  </w:style>
  <w:style w:type="character" w:styleId="CommentReference">
    <w:name w:val="annotation reference"/>
    <w:basedOn w:val="DefaultParagraphFont"/>
    <w:uiPriority w:val="99"/>
    <w:semiHidden/>
    <w:unhideWhenUsed/>
    <w:rsid w:val="00C8036E"/>
    <w:rPr>
      <w:sz w:val="16"/>
      <w:szCs w:val="16"/>
    </w:rPr>
  </w:style>
  <w:style w:type="paragraph" w:styleId="CommentText">
    <w:name w:val="annotation text"/>
    <w:basedOn w:val="Normal"/>
    <w:link w:val="CommentTextChar"/>
    <w:uiPriority w:val="99"/>
    <w:semiHidden/>
    <w:unhideWhenUsed/>
    <w:rsid w:val="00C8036E"/>
    <w:rPr>
      <w:sz w:val="20"/>
    </w:rPr>
  </w:style>
  <w:style w:type="character" w:customStyle="1" w:styleId="CommentTextChar">
    <w:name w:val="Comment Text Char"/>
    <w:basedOn w:val="DefaultParagraphFont"/>
    <w:link w:val="CommentText"/>
    <w:uiPriority w:val="99"/>
    <w:semiHidden/>
    <w:rsid w:val="00C8036E"/>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8036E"/>
    <w:rPr>
      <w:b/>
      <w:bCs/>
    </w:rPr>
  </w:style>
  <w:style w:type="character" w:customStyle="1" w:styleId="CommentSubjectChar">
    <w:name w:val="Comment Subject Char"/>
    <w:basedOn w:val="CommentTextChar"/>
    <w:link w:val="CommentSubject"/>
    <w:uiPriority w:val="99"/>
    <w:semiHidden/>
    <w:rsid w:val="00C8036E"/>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86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Word_97_-_2003_Document.doc"/><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GB.XSL" StyleName="GB7714" Version="2005"/>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E3A9D8-A16A-432A-A286-F1681F398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6FDD8B-D155-453F-909F-14F9624C720B}">
  <ds:schemaRefs>
    <ds:schemaRef ds:uri="http://schemas.microsoft.com/sharepoint/v3/contenttype/forms"/>
  </ds:schemaRefs>
</ds:datastoreItem>
</file>

<file path=customXml/itemProps3.xml><?xml version="1.0" encoding="utf-8"?>
<ds:datastoreItem xmlns:ds="http://schemas.openxmlformats.org/officeDocument/2006/customXml" ds:itemID="{EEE56B3E-DACE-49AE-922F-E83929434571}">
  <ds:schemaRefs>
    <ds:schemaRef ds:uri="http://schemas.openxmlformats.org/officeDocument/2006/bibliography"/>
  </ds:schemaRefs>
</ds:datastoreItem>
</file>

<file path=customXml/itemProps4.xml><?xml version="1.0" encoding="utf-8"?>
<ds:datastoreItem xmlns:ds="http://schemas.openxmlformats.org/officeDocument/2006/customXml" ds:itemID="{2D4A3DD5-AD5F-4CA2-BC42-40B6BF538655}"/>
</file>

<file path=docProps/app.xml><?xml version="1.0" encoding="utf-8"?>
<Properties xmlns="http://schemas.openxmlformats.org/officeDocument/2006/extended-properties" xmlns:vt="http://schemas.openxmlformats.org/officeDocument/2006/docPropsVTypes">
  <Template>Normal.dotm</Template>
  <TotalTime>3</TotalTime>
  <Pages>6</Pages>
  <Words>1623</Words>
  <Characters>8495</Characters>
  <Application>Microsoft Office Word</Application>
  <DocSecurity>0</DocSecurity>
  <Lines>207</Lines>
  <Paragraphs>101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Novella</dc:creator>
  <cp:keywords/>
  <dc:description/>
  <cp:lastModifiedBy>Utsunomiya, Mie</cp:lastModifiedBy>
  <cp:revision>3</cp:revision>
  <dcterms:created xsi:type="dcterms:W3CDTF">2023-09-03T18:53:00Z</dcterms:created>
  <dcterms:modified xsi:type="dcterms:W3CDTF">2023-09-03T18:56:00Z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