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D22572" w14:textId="77777777" w:rsidR="00770160" w:rsidRPr="00085857" w:rsidRDefault="000D26D5" w:rsidP="00725205">
      <w:pPr>
        <w:jc w:val="center"/>
        <w:rPr>
          <w:b/>
          <w:sz w:val="24"/>
          <w:szCs w:val="24"/>
        </w:rPr>
      </w:pPr>
      <w:r w:rsidRPr="00085857">
        <w:rPr>
          <w:b/>
          <w:sz w:val="24"/>
          <w:szCs w:val="24"/>
          <w:lang w:val="en-US"/>
        </w:rPr>
        <w:t>FREQUENCY SPECTRUM</w:t>
      </w:r>
      <w:r w:rsidRPr="00085857">
        <w:rPr>
          <w:b/>
          <w:sz w:val="24"/>
          <w:szCs w:val="24"/>
        </w:rPr>
        <w:t xml:space="preserve"> MANGEMENT  PANEL (FSMP)</w:t>
      </w:r>
    </w:p>
    <w:p w14:paraId="72F35490" w14:textId="77777777" w:rsidR="00770160" w:rsidRDefault="00770160">
      <w:pPr>
        <w:tabs>
          <w:tab w:val="left" w:pos="6972"/>
        </w:tabs>
        <w:jc w:val="center"/>
        <w:rPr>
          <w:b/>
        </w:rPr>
      </w:pPr>
    </w:p>
    <w:p w14:paraId="7C000EF5" w14:textId="77777777" w:rsidR="00770160" w:rsidRDefault="009D46BF" w:rsidP="00DF76D3">
      <w:pPr>
        <w:pStyle w:val="Maintitle"/>
      </w:pPr>
      <w:r>
        <w:rPr>
          <w:rFonts w:hint="eastAsia"/>
          <w:lang w:eastAsia="ja-JP"/>
        </w:rPr>
        <w:t>THIRD</w:t>
      </w:r>
      <w:r w:rsidR="00770160">
        <w:t xml:space="preserve"> MEETING</w:t>
      </w:r>
      <w:r w:rsidR="00C7198D">
        <w:t xml:space="preserve"> OF </w:t>
      </w:r>
      <w:r w:rsidR="0011230F">
        <w:t>THE WORKING GROUP</w:t>
      </w:r>
    </w:p>
    <w:p w14:paraId="294AD227" w14:textId="77777777" w:rsidR="00770160" w:rsidRDefault="00770160"/>
    <w:p w14:paraId="366CF377" w14:textId="5A58C731" w:rsidR="00770160" w:rsidRDefault="00725205" w:rsidP="000D26D5">
      <w:pPr>
        <w:pStyle w:val="Maintitle"/>
        <w:rPr>
          <w:lang w:eastAsia="ja-JP"/>
        </w:rPr>
      </w:pPr>
      <w:r>
        <w:t>Montreal</w:t>
      </w:r>
      <w:r w:rsidR="00A12CBA">
        <w:t xml:space="preserve">, </w:t>
      </w:r>
      <w:r>
        <w:t>Canada</w:t>
      </w:r>
      <w:r w:rsidR="00A12CBA">
        <w:t xml:space="preserve">, </w:t>
      </w:r>
      <w:bookmarkStart w:id="0" w:name="_GoBack"/>
      <w:bookmarkEnd w:id="0"/>
      <w:r w:rsidR="008E2935">
        <w:rPr>
          <w:lang w:eastAsia="ja-JP"/>
        </w:rPr>
        <w:t>6</w:t>
      </w:r>
      <w:r w:rsidR="00C7198D">
        <w:t>-</w:t>
      </w:r>
      <w:r w:rsidR="009D46BF">
        <w:rPr>
          <w:rFonts w:hint="eastAsia"/>
          <w:lang w:eastAsia="ja-JP"/>
        </w:rPr>
        <w:t>14</w:t>
      </w:r>
      <w:r w:rsidR="00C7198D">
        <w:t xml:space="preserve"> </w:t>
      </w:r>
      <w:r w:rsidR="009D46BF">
        <w:rPr>
          <w:rFonts w:hint="eastAsia"/>
          <w:lang w:eastAsia="ja-JP"/>
        </w:rPr>
        <w:t>September</w:t>
      </w:r>
      <w:r>
        <w:t xml:space="preserve"> 201</w:t>
      </w:r>
      <w:r w:rsidR="009D46BF">
        <w:rPr>
          <w:rFonts w:hint="eastAsia"/>
          <w:lang w:eastAsia="ja-JP"/>
        </w:rPr>
        <w:t>6</w:t>
      </w:r>
    </w:p>
    <w:p w14:paraId="0CC4F925" w14:textId="77777777" w:rsidR="00770160" w:rsidRDefault="00770160">
      <w:pPr>
        <w:tabs>
          <w:tab w:val="left" w:pos="0"/>
          <w:tab w:val="left" w:pos="1570"/>
          <w:tab w:val="left" w:pos="1857"/>
        </w:tabs>
      </w:pPr>
      <w:bookmarkStart w:id="1" w:name="agenda_item"/>
      <w:bookmarkEnd w:id="1"/>
    </w:p>
    <w:p w14:paraId="7B96BCE8" w14:textId="77777777" w:rsidR="00770160" w:rsidRDefault="00770160">
      <w:pPr>
        <w:tabs>
          <w:tab w:val="left" w:pos="0"/>
          <w:tab w:val="left" w:pos="1570"/>
          <w:tab w:val="left" w:pos="1857"/>
        </w:tabs>
      </w:pPr>
    </w:p>
    <w:p w14:paraId="60DA0086" w14:textId="77777777" w:rsidR="00770160" w:rsidRDefault="00770160">
      <w:pPr>
        <w:pStyle w:val="Agendaitemtitle"/>
        <w:rPr>
          <w:lang w:val="sv-SE"/>
        </w:rPr>
      </w:pPr>
      <w:r>
        <w:rPr>
          <w:lang w:val="sv-SE"/>
        </w:rPr>
        <w:t>Agenda Item </w:t>
      </w:r>
      <w:r w:rsidR="009D46BF">
        <w:rPr>
          <w:rFonts w:hint="eastAsia"/>
          <w:lang w:val="sv-SE" w:eastAsia="ja-JP"/>
        </w:rPr>
        <w:t>2</w:t>
      </w:r>
      <w:r>
        <w:rPr>
          <w:lang w:val="sv-SE"/>
        </w:rPr>
        <w:t>:</w:t>
      </w:r>
      <w:r>
        <w:rPr>
          <w:lang w:val="sv-SE"/>
        </w:rPr>
        <w:tab/>
      </w:r>
      <w:r w:rsidR="00C7198D" w:rsidRPr="00C7198D">
        <w:rPr>
          <w:rFonts w:eastAsia="SimSun"/>
          <w:szCs w:val="22"/>
        </w:rPr>
        <w:t xml:space="preserve">Development of </w:t>
      </w:r>
      <w:r w:rsidR="009D46BF">
        <w:rPr>
          <w:rFonts w:hint="eastAsia"/>
          <w:szCs w:val="22"/>
          <w:lang w:eastAsia="ja-JP"/>
        </w:rPr>
        <w:t xml:space="preserve">the draft new </w:t>
      </w:r>
      <w:r w:rsidR="00C7198D" w:rsidRPr="00C7198D">
        <w:rPr>
          <w:rFonts w:eastAsia="SimSun"/>
          <w:szCs w:val="22"/>
        </w:rPr>
        <w:t>ICAO Position for WRC-19</w:t>
      </w:r>
    </w:p>
    <w:p w14:paraId="2652F26B" w14:textId="77777777" w:rsidR="00770160" w:rsidRDefault="00770160">
      <w:pPr>
        <w:pStyle w:val="Agendaitemtitle"/>
        <w:rPr>
          <w:b w:val="0"/>
          <w:lang w:val="sv-SE"/>
        </w:rPr>
      </w:pPr>
    </w:p>
    <w:p w14:paraId="572AAF43" w14:textId="77777777" w:rsidR="00770160" w:rsidRDefault="00770160">
      <w:pPr>
        <w:tabs>
          <w:tab w:val="left" w:pos="6972"/>
        </w:tabs>
        <w:rPr>
          <w:b/>
          <w:lang w:val="sv-SE"/>
        </w:rPr>
      </w:pPr>
    </w:p>
    <w:p w14:paraId="1B92869E" w14:textId="77777777" w:rsidR="00770160" w:rsidRDefault="00085857">
      <w:pPr>
        <w:pStyle w:val="Maintitle"/>
        <w:rPr>
          <w:lang w:eastAsia="ja-JP"/>
        </w:rPr>
      </w:pPr>
      <w:r>
        <w:rPr>
          <w:rFonts w:hint="eastAsia"/>
          <w:lang w:eastAsia="ja-JP"/>
        </w:rPr>
        <w:t xml:space="preserve">Modification to the draft new ICAO Position for WRC-19 as regard to Airport Surveillance Detection Equipment (ASDE Radar) operating in </w:t>
      </w:r>
      <w:r w:rsidR="003416DE">
        <w:rPr>
          <w:rFonts w:hint="eastAsia"/>
          <w:lang w:eastAsia="ja-JP"/>
        </w:rPr>
        <w:t xml:space="preserve">24.25-24.65 GHz </w:t>
      </w:r>
      <w:r>
        <w:rPr>
          <w:rFonts w:hint="eastAsia"/>
          <w:lang w:eastAsia="ja-JP"/>
        </w:rPr>
        <w:t xml:space="preserve">for the </w:t>
      </w:r>
      <w:r w:rsidR="00687D61">
        <w:rPr>
          <w:rFonts w:hint="eastAsia"/>
          <w:lang w:eastAsia="ja-JP"/>
        </w:rPr>
        <w:t>Agenda Item 1.13 (WRC-19)</w:t>
      </w:r>
    </w:p>
    <w:p w14:paraId="5F4316BD" w14:textId="77777777" w:rsidR="00247E38" w:rsidRDefault="00247E38">
      <w:pPr>
        <w:pStyle w:val="Maintitle"/>
        <w:rPr>
          <w:lang w:eastAsia="ja-JP"/>
        </w:rPr>
      </w:pPr>
    </w:p>
    <w:p w14:paraId="2BCC4B78" w14:textId="77777777" w:rsidR="00770160" w:rsidRDefault="00770160">
      <w:pPr>
        <w:tabs>
          <w:tab w:val="left" w:pos="6972"/>
        </w:tabs>
        <w:rPr>
          <w:lang w:eastAsia="ja-JP"/>
        </w:rPr>
      </w:pPr>
    </w:p>
    <w:p w14:paraId="57780944" w14:textId="77777777" w:rsidR="00770160" w:rsidRDefault="00770160">
      <w:pPr>
        <w:tabs>
          <w:tab w:val="left" w:pos="6972"/>
        </w:tabs>
        <w:rPr>
          <w:lang w:eastAsia="ja-JP"/>
        </w:rPr>
      </w:pPr>
    </w:p>
    <w:p w14:paraId="33086B44" w14:textId="77777777" w:rsidR="00770160" w:rsidRDefault="00770160">
      <w:pPr>
        <w:jc w:val="center"/>
      </w:pPr>
      <w:r>
        <w:t>(Presented by</w:t>
      </w:r>
      <w:bookmarkStart w:id="2" w:name="presented_by"/>
      <w:bookmarkEnd w:id="2"/>
      <w:r>
        <w:t xml:space="preserve"> </w:t>
      </w:r>
      <w:proofErr w:type="spellStart"/>
      <w:r w:rsidR="003416DE">
        <w:rPr>
          <w:rFonts w:hint="eastAsia"/>
          <w:lang w:eastAsia="ja-JP"/>
        </w:rPr>
        <w:t>Tsuneaki</w:t>
      </w:r>
      <w:proofErr w:type="spellEnd"/>
      <w:r w:rsidR="003416DE">
        <w:rPr>
          <w:rFonts w:hint="eastAsia"/>
          <w:lang w:eastAsia="ja-JP"/>
        </w:rPr>
        <w:t xml:space="preserve"> WATANABE</w:t>
      </w:r>
      <w:r>
        <w:t>)</w:t>
      </w:r>
    </w:p>
    <w:p w14:paraId="6507E951" w14:textId="77777777" w:rsidR="00770160" w:rsidRDefault="00770160"/>
    <w:p w14:paraId="7B8EAB8D"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757572DB" w14:textId="77777777">
        <w:trPr>
          <w:cantSplit/>
          <w:trHeight w:hRule="exact" w:val="480"/>
          <w:jc w:val="center"/>
        </w:trPr>
        <w:tc>
          <w:tcPr>
            <w:tcW w:w="7200" w:type="dxa"/>
            <w:vAlign w:val="center"/>
          </w:tcPr>
          <w:p w14:paraId="2B584C57" w14:textId="77777777" w:rsidR="00770160" w:rsidRDefault="00770160">
            <w:pPr>
              <w:jc w:val="center"/>
              <w:rPr>
                <w:sz w:val="24"/>
                <w:lang w:val="en-US"/>
              </w:rPr>
            </w:pPr>
            <w:r>
              <w:rPr>
                <w:b/>
              </w:rPr>
              <w:t>SUMMARY</w:t>
            </w:r>
          </w:p>
        </w:tc>
      </w:tr>
      <w:tr w:rsidR="00770160" w14:paraId="400549E7" w14:textId="77777777">
        <w:trPr>
          <w:cantSplit/>
          <w:jc w:val="center"/>
        </w:trPr>
        <w:tc>
          <w:tcPr>
            <w:tcW w:w="7200" w:type="dxa"/>
          </w:tcPr>
          <w:p w14:paraId="35C41FD0" w14:textId="77777777" w:rsidR="00A57430" w:rsidRPr="00052DF4" w:rsidRDefault="000F6320" w:rsidP="004F74A8">
            <w:pPr>
              <w:rPr>
                <w:lang w:val="en-US" w:eastAsia="ja-JP"/>
              </w:rPr>
            </w:pPr>
            <w:r>
              <w:rPr>
                <w:rFonts w:hint="eastAsia"/>
                <w:lang w:val="en-US" w:eastAsia="ja-JP"/>
              </w:rPr>
              <w:t xml:space="preserve">This </w:t>
            </w:r>
            <w:r w:rsidR="00A57430">
              <w:rPr>
                <w:rFonts w:hint="eastAsia"/>
                <w:lang w:val="en-US" w:eastAsia="ja-JP"/>
              </w:rPr>
              <w:t xml:space="preserve">WP </w:t>
            </w:r>
            <w:r>
              <w:rPr>
                <w:rFonts w:hint="eastAsia"/>
                <w:lang w:val="en-US" w:eastAsia="ja-JP"/>
              </w:rPr>
              <w:t xml:space="preserve">is to propose the modification of </w:t>
            </w:r>
            <w:r w:rsidRPr="000F6320">
              <w:rPr>
                <w:lang w:val="en-US" w:eastAsia="ja-JP"/>
              </w:rPr>
              <w:t>the draft new ICAO Position for WRC-19</w:t>
            </w:r>
            <w:r>
              <w:rPr>
                <w:rFonts w:hint="eastAsia"/>
                <w:lang w:val="en-US" w:eastAsia="ja-JP"/>
              </w:rPr>
              <w:t xml:space="preserve"> </w:t>
            </w:r>
            <w:r w:rsidR="007816A9">
              <w:rPr>
                <w:rFonts w:hint="eastAsia"/>
                <w:lang w:val="en-US" w:eastAsia="ja-JP"/>
              </w:rPr>
              <w:t xml:space="preserve">(AI 1.13) </w:t>
            </w:r>
            <w:r>
              <w:rPr>
                <w:rFonts w:hint="eastAsia"/>
                <w:lang w:val="en-US" w:eastAsia="ja-JP"/>
              </w:rPr>
              <w:t xml:space="preserve">as regard to the </w:t>
            </w:r>
            <w:r w:rsidRPr="000F6320">
              <w:rPr>
                <w:lang w:val="en-US" w:eastAsia="ja-JP"/>
              </w:rPr>
              <w:t>Airport Surveillance Detection Equipment (ASDE Radar)</w:t>
            </w:r>
            <w:r>
              <w:rPr>
                <w:rFonts w:hint="eastAsia"/>
                <w:lang w:val="en-US" w:eastAsia="ja-JP"/>
              </w:rPr>
              <w:t xml:space="preserve"> operating </w:t>
            </w:r>
            <w:r w:rsidR="004F74A8">
              <w:rPr>
                <w:rFonts w:hint="eastAsia"/>
                <w:lang w:val="en-US" w:eastAsia="ja-JP"/>
              </w:rPr>
              <w:t xml:space="preserve">in </w:t>
            </w:r>
            <w:r w:rsidR="0029799D" w:rsidRPr="0029799D">
              <w:rPr>
                <w:lang w:val="en-US" w:eastAsia="ja-JP"/>
              </w:rPr>
              <w:t>24.25-24.65 GHz</w:t>
            </w:r>
            <w:r w:rsidR="0029799D" w:rsidRPr="0029799D">
              <w:rPr>
                <w:rFonts w:hint="eastAsia"/>
                <w:lang w:val="en-US" w:eastAsia="ja-JP"/>
              </w:rPr>
              <w:t xml:space="preserve"> </w:t>
            </w:r>
            <w:r w:rsidR="0029799D">
              <w:rPr>
                <w:rFonts w:hint="eastAsia"/>
                <w:lang w:val="en-US" w:eastAsia="ja-JP"/>
              </w:rPr>
              <w:t xml:space="preserve">in </w:t>
            </w:r>
            <w:r>
              <w:rPr>
                <w:rFonts w:hint="eastAsia"/>
                <w:lang w:val="en-US" w:eastAsia="ja-JP"/>
              </w:rPr>
              <w:t xml:space="preserve">Japan. </w:t>
            </w:r>
          </w:p>
        </w:tc>
      </w:tr>
    </w:tbl>
    <w:p w14:paraId="25F0E681" w14:textId="77777777" w:rsidR="00770160" w:rsidRDefault="00770160">
      <w:pPr>
        <w:rPr>
          <w:lang w:eastAsia="ja-JP"/>
        </w:rPr>
      </w:pPr>
    </w:p>
    <w:p w14:paraId="25C7B68F" w14:textId="77777777" w:rsidR="00770160" w:rsidRDefault="00770160">
      <w:pPr>
        <w:rPr>
          <w:lang w:eastAsia="ja-JP"/>
        </w:rPr>
      </w:pPr>
    </w:p>
    <w:p w14:paraId="79B361AA" w14:textId="77777777" w:rsidR="00770160" w:rsidRDefault="00770160">
      <w:pPr>
        <w:pStyle w:val="1Heading"/>
      </w:pPr>
      <w:r>
        <w:t>INTRODUCTION</w:t>
      </w:r>
    </w:p>
    <w:p w14:paraId="71B6AF2A" w14:textId="77777777" w:rsidR="0029799D" w:rsidRDefault="0029799D">
      <w:pPr>
        <w:pStyle w:val="2para"/>
      </w:pPr>
      <w:r>
        <w:rPr>
          <w:rFonts w:hint="eastAsia"/>
          <w:lang w:eastAsia="ja-JP"/>
        </w:rPr>
        <w:t>The Agenda Item 1.13</w:t>
      </w:r>
      <w:r w:rsidR="007816A9">
        <w:rPr>
          <w:rFonts w:hint="eastAsia"/>
          <w:lang w:eastAsia="ja-JP"/>
        </w:rPr>
        <w:t xml:space="preserve"> (WRC-19) is to consider </w:t>
      </w:r>
      <w:proofErr w:type="spellStart"/>
      <w:r w:rsidR="007816A9">
        <w:rPr>
          <w:rFonts w:hint="eastAsia"/>
          <w:lang w:eastAsia="ja-JP"/>
        </w:rPr>
        <w:t>idenfication</w:t>
      </w:r>
      <w:proofErr w:type="spellEnd"/>
      <w:r w:rsidR="007816A9">
        <w:rPr>
          <w:rFonts w:hint="eastAsia"/>
          <w:lang w:eastAsia="ja-JP"/>
        </w:rPr>
        <w:t xml:space="preserve"> of frequency bands for the future development of International Mobile Telecommunication (IMT), including possible </w:t>
      </w:r>
      <w:r w:rsidR="007816A9">
        <w:rPr>
          <w:lang w:eastAsia="ja-JP"/>
        </w:rPr>
        <w:t>additional</w:t>
      </w:r>
      <w:r w:rsidR="007816A9">
        <w:rPr>
          <w:rFonts w:hint="eastAsia"/>
          <w:lang w:eastAsia="ja-JP"/>
        </w:rPr>
        <w:t xml:space="preserve"> allocations to the mobile service on primary </w:t>
      </w:r>
      <w:proofErr w:type="spellStart"/>
      <w:r w:rsidR="007816A9">
        <w:rPr>
          <w:rFonts w:hint="eastAsia"/>
          <w:lang w:eastAsia="ja-JP"/>
        </w:rPr>
        <w:t>bassis</w:t>
      </w:r>
      <w:proofErr w:type="spellEnd"/>
      <w:r w:rsidR="007816A9">
        <w:rPr>
          <w:rFonts w:hint="eastAsia"/>
          <w:lang w:eastAsia="ja-JP"/>
        </w:rPr>
        <w:t>, in accordance with Resolution 238 (WRC-15). The frequency range is between 24.25 and 86 GHz.</w:t>
      </w:r>
    </w:p>
    <w:p w14:paraId="086ADA91" w14:textId="13F226CB" w:rsidR="000658B8" w:rsidRDefault="000658B8" w:rsidP="000658B8">
      <w:pPr>
        <w:pStyle w:val="3para"/>
        <w:numPr>
          <w:ilvl w:val="1"/>
          <w:numId w:val="1"/>
        </w:numPr>
        <w:tabs>
          <w:tab w:val="clear" w:pos="720"/>
          <w:tab w:val="num" w:pos="0"/>
        </w:tabs>
        <w:ind w:left="0" w:firstLine="0"/>
      </w:pPr>
      <w:r>
        <w:rPr>
          <w:rFonts w:hint="eastAsia"/>
          <w:lang w:eastAsia="ja-JP"/>
        </w:rPr>
        <w:t xml:space="preserve">             The recent </w:t>
      </w:r>
      <w:r w:rsidR="007816A9">
        <w:rPr>
          <w:rFonts w:hint="eastAsia"/>
          <w:lang w:eastAsia="ja-JP"/>
        </w:rPr>
        <w:t xml:space="preserve">discussion at FSMP WG resulted </w:t>
      </w:r>
      <w:r>
        <w:rPr>
          <w:rFonts w:hint="eastAsia"/>
          <w:lang w:eastAsia="ja-JP"/>
        </w:rPr>
        <w:t xml:space="preserve">to describe the ICAO position </w:t>
      </w:r>
      <w:r w:rsidR="00A57430">
        <w:rPr>
          <w:rFonts w:hint="eastAsia"/>
          <w:lang w:eastAsia="ja-JP"/>
        </w:rPr>
        <w:t xml:space="preserve">as regard to AI 1.13 is </w:t>
      </w:r>
      <w:r>
        <w:rPr>
          <w:lang w:eastAsia="ja-JP"/>
        </w:rPr>
        <w:t>“</w:t>
      </w:r>
      <w:r w:rsidRPr="000658B8">
        <w:rPr>
          <w:lang w:eastAsia="ja-JP"/>
        </w:rPr>
        <w:t>To ensure, on the basis of agreed studies, that any allocation to the mobile service for IMT in the frequency range 24.25 GHz to 86 GHz does not ad</w:t>
      </w:r>
      <w:r>
        <w:rPr>
          <w:lang w:eastAsia="ja-JP"/>
        </w:rPr>
        <w:t>versely impact aviation systems”</w:t>
      </w:r>
      <w:r>
        <w:rPr>
          <w:rFonts w:hint="eastAsia"/>
          <w:lang w:eastAsia="ja-JP"/>
        </w:rPr>
        <w:t xml:space="preserve">, based on the fact that </w:t>
      </w:r>
      <w:r w:rsidRPr="000658B8">
        <w:rPr>
          <w:lang w:eastAsia="ja-JP"/>
        </w:rPr>
        <w:t xml:space="preserve">the frequency bands 24.25-24.65 GHz and 31.8-33.4 GHz are used for airport surface detection equipment in a number of countries to supplement </w:t>
      </w:r>
      <w:r w:rsidRPr="00052DF4">
        <w:rPr>
          <w:lang w:eastAsia="ja-JP"/>
        </w:rPr>
        <w:t>similar radars</w:t>
      </w:r>
      <w:r w:rsidRPr="000658B8">
        <w:rPr>
          <w:lang w:eastAsia="ja-JP"/>
        </w:rPr>
        <w:t xml:space="preserve"> that operate in the frequency band 15.4-15.7 GHz.  The higher frequency range give great resolution a factor that is assuming greater importance with the ever increasing density of traffic at airports.</w:t>
      </w:r>
    </w:p>
    <w:p w14:paraId="064FAD58" w14:textId="77777777" w:rsidR="000658B8" w:rsidRDefault="000658B8" w:rsidP="00831FD5">
      <w:pPr>
        <w:pStyle w:val="3para"/>
        <w:numPr>
          <w:ilvl w:val="1"/>
          <w:numId w:val="1"/>
        </w:numPr>
        <w:tabs>
          <w:tab w:val="clear" w:pos="720"/>
          <w:tab w:val="num" w:pos="0"/>
        </w:tabs>
        <w:ind w:left="0" w:firstLine="0"/>
      </w:pPr>
      <w:r>
        <w:rPr>
          <w:rFonts w:hint="eastAsia"/>
          <w:lang w:eastAsia="ja-JP"/>
        </w:rPr>
        <w:t xml:space="preserve">             </w:t>
      </w:r>
      <w:r w:rsidR="00EF3E24">
        <w:rPr>
          <w:rFonts w:hint="eastAsia"/>
          <w:lang w:eastAsia="ja-JP"/>
        </w:rPr>
        <w:t xml:space="preserve"> </w:t>
      </w:r>
      <w:r>
        <w:rPr>
          <w:rFonts w:hint="eastAsia"/>
          <w:lang w:eastAsia="ja-JP"/>
        </w:rPr>
        <w:t>Because</w:t>
      </w:r>
      <w:r w:rsidR="001B23C0">
        <w:rPr>
          <w:rFonts w:hint="eastAsia"/>
          <w:lang w:eastAsia="ja-JP"/>
        </w:rPr>
        <w:t>,</w:t>
      </w:r>
      <w:r>
        <w:rPr>
          <w:rFonts w:hint="eastAsia"/>
          <w:lang w:eastAsia="ja-JP"/>
        </w:rPr>
        <w:t xml:space="preserve"> </w:t>
      </w:r>
      <w:r w:rsidR="001B23C0">
        <w:rPr>
          <w:rFonts w:hint="eastAsia"/>
          <w:lang w:eastAsia="ja-JP"/>
        </w:rPr>
        <w:t xml:space="preserve">in Japan, </w:t>
      </w:r>
      <w:r>
        <w:rPr>
          <w:rFonts w:hint="eastAsia"/>
          <w:lang w:eastAsia="ja-JP"/>
        </w:rPr>
        <w:t xml:space="preserve">the fact is slightly different </w:t>
      </w:r>
      <w:r w:rsidR="004B1838">
        <w:rPr>
          <w:rFonts w:hint="eastAsia"/>
          <w:lang w:eastAsia="ja-JP"/>
        </w:rPr>
        <w:t>from description above</w:t>
      </w:r>
      <w:r w:rsidR="00831FD5">
        <w:rPr>
          <w:rFonts w:hint="eastAsia"/>
          <w:lang w:eastAsia="ja-JP"/>
        </w:rPr>
        <w:t xml:space="preserve">, </w:t>
      </w:r>
      <w:r w:rsidR="00831FD5" w:rsidRPr="00831FD5">
        <w:rPr>
          <w:lang w:eastAsia="ja-JP"/>
        </w:rPr>
        <w:t xml:space="preserve">the modification of the draft new ICAO Position for WRC-19 (AI 1.13) as regard to the Airport Surveillance Detection Equipment (ASDE Radar) operating </w:t>
      </w:r>
      <w:r w:rsidR="001B23C0">
        <w:rPr>
          <w:rFonts w:hint="eastAsia"/>
          <w:lang w:eastAsia="ja-JP"/>
        </w:rPr>
        <w:t>in</w:t>
      </w:r>
      <w:r w:rsidR="001B23C0" w:rsidRPr="00831FD5">
        <w:rPr>
          <w:lang w:eastAsia="ja-JP"/>
        </w:rPr>
        <w:t xml:space="preserve"> </w:t>
      </w:r>
      <w:r w:rsidR="00831FD5" w:rsidRPr="00831FD5">
        <w:rPr>
          <w:lang w:eastAsia="ja-JP"/>
        </w:rPr>
        <w:t>24.25-24.65 GHz</w:t>
      </w:r>
      <w:r w:rsidR="00831FD5">
        <w:rPr>
          <w:rFonts w:hint="eastAsia"/>
          <w:lang w:eastAsia="ja-JP"/>
        </w:rPr>
        <w:t xml:space="preserve"> is </w:t>
      </w:r>
      <w:proofErr w:type="spellStart"/>
      <w:r w:rsidR="00831FD5">
        <w:rPr>
          <w:rFonts w:hint="eastAsia"/>
          <w:lang w:eastAsia="ja-JP"/>
        </w:rPr>
        <w:t>propoed</w:t>
      </w:r>
      <w:proofErr w:type="spellEnd"/>
      <w:r w:rsidR="00831FD5">
        <w:rPr>
          <w:rFonts w:hint="eastAsia"/>
          <w:lang w:eastAsia="ja-JP"/>
        </w:rPr>
        <w:t xml:space="preserve"> </w:t>
      </w:r>
      <w:r w:rsidR="00831FD5">
        <w:rPr>
          <w:lang w:eastAsia="ja-JP"/>
        </w:rPr>
        <w:t xml:space="preserve">in the </w:t>
      </w:r>
      <w:r w:rsidR="00085857">
        <w:rPr>
          <w:rFonts w:hint="eastAsia"/>
          <w:lang w:eastAsia="ja-JP"/>
        </w:rPr>
        <w:t xml:space="preserve">2.3 of </w:t>
      </w:r>
      <w:r w:rsidR="00831FD5">
        <w:t>DISCUSSION</w:t>
      </w:r>
      <w:r w:rsidR="00831FD5">
        <w:rPr>
          <w:rFonts w:hint="eastAsia"/>
          <w:lang w:eastAsia="ja-JP"/>
        </w:rPr>
        <w:t xml:space="preserve"> section below</w:t>
      </w:r>
      <w:r w:rsidR="00831FD5" w:rsidRPr="00831FD5">
        <w:rPr>
          <w:lang w:eastAsia="ja-JP"/>
        </w:rPr>
        <w:t>.</w:t>
      </w:r>
      <w:r w:rsidRPr="000658B8">
        <w:rPr>
          <w:lang w:eastAsia="ja-JP"/>
        </w:rPr>
        <w:t xml:space="preserve"> </w:t>
      </w:r>
    </w:p>
    <w:p w14:paraId="39B9B314" w14:textId="77777777" w:rsidR="00D56142" w:rsidRDefault="00D56142" w:rsidP="00831FD5">
      <w:pPr>
        <w:pStyle w:val="2para"/>
        <w:numPr>
          <w:ilvl w:val="0"/>
          <w:numId w:val="0"/>
        </w:numPr>
        <w:rPr>
          <w:lang w:eastAsia="ja-JP"/>
        </w:rPr>
      </w:pPr>
    </w:p>
    <w:p w14:paraId="2417E341" w14:textId="77777777" w:rsidR="00770160" w:rsidRDefault="00770160">
      <w:pPr>
        <w:pStyle w:val="1Heading"/>
      </w:pPr>
      <w:r>
        <w:t>DISCUSSION</w:t>
      </w:r>
    </w:p>
    <w:p w14:paraId="4375F80D" w14:textId="77777777" w:rsidR="00831FD5" w:rsidRDefault="00831FD5">
      <w:pPr>
        <w:pStyle w:val="2para"/>
      </w:pPr>
      <w:r>
        <w:rPr>
          <w:rFonts w:hint="eastAsia"/>
          <w:lang w:eastAsia="ja-JP"/>
        </w:rPr>
        <w:t xml:space="preserve">Japan has used the </w:t>
      </w:r>
      <w:r w:rsidRPr="00831FD5">
        <w:rPr>
          <w:lang w:eastAsia="ja-JP"/>
        </w:rPr>
        <w:t>24.25-24.65 GHz</w:t>
      </w:r>
      <w:r>
        <w:rPr>
          <w:rFonts w:hint="eastAsia"/>
          <w:lang w:eastAsia="ja-JP"/>
        </w:rPr>
        <w:t xml:space="preserve"> for the operating frequency of </w:t>
      </w:r>
      <w:r w:rsidRPr="00831FD5">
        <w:rPr>
          <w:lang w:eastAsia="ja-JP"/>
        </w:rPr>
        <w:t>the Airport Surveillance Detection Equipment (ASDE Radar)</w:t>
      </w:r>
      <w:r>
        <w:rPr>
          <w:rFonts w:hint="eastAsia"/>
          <w:lang w:eastAsia="ja-JP"/>
        </w:rPr>
        <w:t xml:space="preserve">, instead of </w:t>
      </w:r>
      <w:proofErr w:type="spellStart"/>
      <w:r w:rsidR="00847692">
        <w:rPr>
          <w:rFonts w:hint="eastAsia"/>
          <w:lang w:eastAsia="ja-JP"/>
        </w:rPr>
        <w:t>globaly</w:t>
      </w:r>
      <w:proofErr w:type="spellEnd"/>
      <w:r w:rsidR="00847692">
        <w:rPr>
          <w:rFonts w:hint="eastAsia"/>
          <w:lang w:eastAsia="ja-JP"/>
        </w:rPr>
        <w:t xml:space="preserve"> used 15GHz band.</w:t>
      </w:r>
    </w:p>
    <w:p w14:paraId="1FB9D07C" w14:textId="77777777" w:rsidR="00831FD5" w:rsidRDefault="00847692" w:rsidP="00052DF4">
      <w:pPr>
        <w:pStyle w:val="2para"/>
        <w:tabs>
          <w:tab w:val="num" w:pos="0"/>
        </w:tabs>
      </w:pPr>
      <w:r>
        <w:rPr>
          <w:rFonts w:hint="eastAsia"/>
          <w:lang w:eastAsia="ja-JP"/>
        </w:rPr>
        <w:t xml:space="preserve">It has been </w:t>
      </w:r>
      <w:r>
        <w:rPr>
          <w:lang w:eastAsia="ja-JP"/>
        </w:rPr>
        <w:t>successfully</w:t>
      </w:r>
      <w:r>
        <w:rPr>
          <w:rFonts w:hint="eastAsia"/>
          <w:lang w:eastAsia="ja-JP"/>
        </w:rPr>
        <w:t xml:space="preserve"> describe</w:t>
      </w:r>
      <w:r w:rsidR="00EF3E24">
        <w:rPr>
          <w:rFonts w:hint="eastAsia"/>
          <w:lang w:eastAsia="ja-JP"/>
        </w:rPr>
        <w:t>d</w:t>
      </w:r>
      <w:r>
        <w:rPr>
          <w:rFonts w:hint="eastAsia"/>
          <w:lang w:eastAsia="ja-JP"/>
        </w:rPr>
        <w:t xml:space="preserve"> the draft ICAO position including those frequency range </w:t>
      </w:r>
      <w:r w:rsidR="00EF3E24">
        <w:rPr>
          <w:rFonts w:hint="eastAsia"/>
          <w:lang w:eastAsia="ja-JP"/>
        </w:rPr>
        <w:t xml:space="preserve">of </w:t>
      </w:r>
      <w:r w:rsidR="00EF3E24" w:rsidRPr="00052DF4">
        <w:rPr>
          <w:lang w:eastAsia="ja-JP"/>
        </w:rPr>
        <w:t>24.25-24.65 GHz</w:t>
      </w:r>
      <w:r w:rsidR="00EF3E24" w:rsidRPr="00052DF4">
        <w:rPr>
          <w:rFonts w:hint="eastAsia"/>
          <w:lang w:eastAsia="ja-JP"/>
        </w:rPr>
        <w:t xml:space="preserve"> </w:t>
      </w:r>
      <w:r w:rsidRPr="00052DF4">
        <w:rPr>
          <w:rFonts w:hint="eastAsia"/>
          <w:lang w:eastAsia="ja-JP"/>
        </w:rPr>
        <w:t>already</w:t>
      </w:r>
      <w:r w:rsidR="00DB171D" w:rsidRPr="00052DF4">
        <w:rPr>
          <w:rFonts w:hint="eastAsia"/>
          <w:lang w:eastAsia="ja-JP"/>
        </w:rPr>
        <w:t xml:space="preserve"> per the </w:t>
      </w:r>
      <w:r w:rsidR="00052DF4">
        <w:rPr>
          <w:rFonts w:hint="eastAsia"/>
          <w:lang w:eastAsia="ja-JP"/>
        </w:rPr>
        <w:t>Appendix E of the FSMP-WG2_Report</w:t>
      </w:r>
      <w:r w:rsidR="00EF3E24" w:rsidRPr="00052DF4">
        <w:rPr>
          <w:rFonts w:hint="eastAsia"/>
          <w:lang w:eastAsia="ja-JP"/>
        </w:rPr>
        <w:t>,</w:t>
      </w:r>
      <w:r w:rsidRPr="00052DF4">
        <w:rPr>
          <w:rFonts w:hint="eastAsia"/>
          <w:lang w:eastAsia="ja-JP"/>
        </w:rPr>
        <w:t xml:space="preserve"> but</w:t>
      </w:r>
      <w:r>
        <w:rPr>
          <w:rFonts w:hint="eastAsia"/>
          <w:lang w:eastAsia="ja-JP"/>
        </w:rPr>
        <w:t xml:space="preserve"> the explanation section may not adequately address</w:t>
      </w:r>
      <w:r w:rsidR="00EF3E24">
        <w:rPr>
          <w:rFonts w:hint="eastAsia"/>
          <w:lang w:eastAsia="ja-JP"/>
        </w:rPr>
        <w:t xml:space="preserve"> </w:t>
      </w:r>
      <w:r w:rsidR="00EF3E24">
        <w:rPr>
          <w:lang w:eastAsia="ja-JP"/>
        </w:rPr>
        <w:t>regional</w:t>
      </w:r>
      <w:r w:rsidR="00EF3E24">
        <w:rPr>
          <w:rFonts w:hint="eastAsia"/>
          <w:lang w:eastAsia="ja-JP"/>
        </w:rPr>
        <w:t xml:space="preserve"> back ground in 2.1 above. Japan believes that the proposed </w:t>
      </w:r>
      <w:r w:rsidR="00287A77">
        <w:rPr>
          <w:rFonts w:hint="eastAsia"/>
          <w:lang w:eastAsia="ja-JP"/>
        </w:rPr>
        <w:t>modification</w:t>
      </w:r>
      <w:r w:rsidR="00EF3E24">
        <w:rPr>
          <w:rFonts w:hint="eastAsia"/>
          <w:lang w:eastAsia="ja-JP"/>
        </w:rPr>
        <w:t xml:space="preserve"> will make sure </w:t>
      </w:r>
      <w:r w:rsidR="00E96AE9">
        <w:rPr>
          <w:rFonts w:hint="eastAsia"/>
          <w:lang w:eastAsia="ja-JP"/>
        </w:rPr>
        <w:t xml:space="preserve">to show </w:t>
      </w:r>
      <w:r w:rsidR="00EF3E24">
        <w:rPr>
          <w:rFonts w:hint="eastAsia"/>
          <w:lang w:eastAsia="ja-JP"/>
        </w:rPr>
        <w:t xml:space="preserve">the reason </w:t>
      </w:r>
      <w:r w:rsidR="00DB171D">
        <w:rPr>
          <w:rFonts w:hint="eastAsia"/>
          <w:lang w:eastAsia="ja-JP"/>
        </w:rPr>
        <w:t xml:space="preserve">why </w:t>
      </w:r>
      <w:r w:rsidR="00EF3E24">
        <w:rPr>
          <w:rFonts w:hint="eastAsia"/>
          <w:lang w:eastAsia="ja-JP"/>
        </w:rPr>
        <w:t xml:space="preserve">to protect the ASDE operation </w:t>
      </w:r>
      <w:r w:rsidR="00DB171D">
        <w:rPr>
          <w:rFonts w:hint="eastAsia"/>
          <w:lang w:eastAsia="ja-JP"/>
        </w:rPr>
        <w:t xml:space="preserve">in </w:t>
      </w:r>
      <w:r w:rsidR="00DB171D" w:rsidRPr="00EF3E24">
        <w:rPr>
          <w:lang w:eastAsia="ja-JP"/>
        </w:rPr>
        <w:t>24.25-24.65 GHz</w:t>
      </w:r>
      <w:r w:rsidR="00DB171D">
        <w:rPr>
          <w:rFonts w:hint="eastAsia"/>
          <w:lang w:eastAsia="ja-JP"/>
        </w:rPr>
        <w:t xml:space="preserve"> </w:t>
      </w:r>
      <w:r w:rsidR="00EF3E24">
        <w:rPr>
          <w:rFonts w:hint="eastAsia"/>
          <w:lang w:eastAsia="ja-JP"/>
        </w:rPr>
        <w:t xml:space="preserve">when the sharing and compatibility studies </w:t>
      </w:r>
      <w:r w:rsidR="00DB171D">
        <w:rPr>
          <w:rFonts w:hint="eastAsia"/>
          <w:lang w:eastAsia="ja-JP"/>
        </w:rPr>
        <w:t>took place in accordance with Resolution 238</w:t>
      </w:r>
      <w:r w:rsidR="009526CE">
        <w:rPr>
          <w:rFonts w:hint="eastAsia"/>
          <w:lang w:eastAsia="ja-JP"/>
        </w:rPr>
        <w:t xml:space="preserve"> (WRC-15)</w:t>
      </w:r>
      <w:r w:rsidR="00EF3E24">
        <w:rPr>
          <w:rFonts w:hint="eastAsia"/>
          <w:lang w:eastAsia="ja-JP"/>
        </w:rPr>
        <w:t>.</w:t>
      </w:r>
    </w:p>
    <w:p w14:paraId="367FDCA5" w14:textId="77777777" w:rsidR="00847692" w:rsidRDefault="00DB171D" w:rsidP="00A7534C">
      <w:pPr>
        <w:pStyle w:val="2para"/>
      </w:pPr>
      <w:r>
        <w:rPr>
          <w:rFonts w:hint="eastAsia"/>
          <w:lang w:eastAsia="ja-JP"/>
        </w:rPr>
        <w:t xml:space="preserve">The proposed modification </w:t>
      </w:r>
      <w:r w:rsidR="00F4483C">
        <w:rPr>
          <w:rFonts w:hint="eastAsia"/>
          <w:lang w:eastAsia="ja-JP"/>
        </w:rPr>
        <w:t xml:space="preserve">to </w:t>
      </w:r>
      <w:r w:rsidR="00A7534C" w:rsidRPr="00A7534C">
        <w:rPr>
          <w:lang w:eastAsia="ja-JP"/>
        </w:rPr>
        <w:t>a part of</w:t>
      </w:r>
      <w:r w:rsidR="00A7534C">
        <w:rPr>
          <w:rFonts w:hint="eastAsia"/>
          <w:lang w:eastAsia="ja-JP"/>
        </w:rPr>
        <w:t xml:space="preserve"> </w:t>
      </w:r>
      <w:r w:rsidR="00F4483C">
        <w:rPr>
          <w:rFonts w:hint="eastAsia"/>
          <w:lang w:eastAsia="ja-JP"/>
        </w:rPr>
        <w:t xml:space="preserve">first paragraph of </w:t>
      </w:r>
      <w:r w:rsidR="00E96AE9">
        <w:rPr>
          <w:rFonts w:hint="eastAsia"/>
          <w:lang w:eastAsia="ja-JP"/>
        </w:rPr>
        <w:t xml:space="preserve">the draft ICAO position for </w:t>
      </w:r>
      <w:r w:rsidR="00F4483C">
        <w:rPr>
          <w:rFonts w:hint="eastAsia"/>
          <w:lang w:eastAsia="ja-JP"/>
        </w:rPr>
        <w:t xml:space="preserve">AI1.13 </w:t>
      </w:r>
      <w:r>
        <w:rPr>
          <w:rFonts w:hint="eastAsia"/>
          <w:lang w:eastAsia="ja-JP"/>
        </w:rPr>
        <w:t xml:space="preserve">is as </w:t>
      </w:r>
      <w:proofErr w:type="spellStart"/>
      <w:r>
        <w:rPr>
          <w:rFonts w:hint="eastAsia"/>
          <w:lang w:eastAsia="ja-JP"/>
        </w:rPr>
        <w:t>follw</w:t>
      </w:r>
      <w:proofErr w:type="spellEnd"/>
      <w:r>
        <w:rPr>
          <w:rFonts w:hint="eastAsia"/>
          <w:lang w:eastAsia="ja-JP"/>
        </w:rPr>
        <w:t>;</w:t>
      </w:r>
    </w:p>
    <w:p w14:paraId="576382C8" w14:textId="77777777" w:rsidR="00257D53" w:rsidRPr="00A7534C" w:rsidRDefault="0089274C" w:rsidP="00257D53">
      <w:pPr>
        <w:pStyle w:val="2para"/>
        <w:numPr>
          <w:ilvl w:val="0"/>
          <w:numId w:val="0"/>
        </w:numPr>
        <w:jc w:val="left"/>
        <w:rPr>
          <w:lang w:eastAsia="ja-JP"/>
        </w:rPr>
      </w:pPr>
      <w:r>
        <w:rPr>
          <w:rFonts w:hint="eastAsia"/>
          <w:lang w:eastAsia="ja-JP"/>
        </w:rPr>
        <w:t>(Second Sentence)</w:t>
      </w:r>
      <w:r>
        <w:rPr>
          <w:rFonts w:hint="eastAsia"/>
          <w:lang w:eastAsia="ja-JP"/>
        </w:rPr>
        <w:br/>
      </w:r>
      <w:r w:rsidR="00257D53" w:rsidRPr="00FF4A94">
        <w:t>Within those frequency bands</w:t>
      </w:r>
      <w:r w:rsidR="00257D53" w:rsidRPr="008A63BA">
        <w:rPr>
          <w:rFonts w:hint="eastAsia"/>
          <w:highlight w:val="yellow"/>
          <w:lang w:eastAsia="ja-JP"/>
        </w:rPr>
        <w:t>,</w:t>
      </w:r>
      <w:r w:rsidR="00257D53" w:rsidRPr="00FF4A94">
        <w:t xml:space="preserve"> the frequency ban</w:t>
      </w:r>
      <w:r w:rsidR="00257D53" w:rsidRPr="00052DF4">
        <w:t>ds</w:t>
      </w:r>
      <w:r w:rsidR="00257D53">
        <w:rPr>
          <w:rFonts w:hint="eastAsia"/>
          <w:lang w:eastAsia="ja-JP"/>
        </w:rPr>
        <w:t xml:space="preserve"> </w:t>
      </w:r>
      <w:r w:rsidR="00257D53" w:rsidRPr="00052DF4">
        <w:t>24.25-24.65 GHz</w:t>
      </w:r>
      <w:r w:rsidR="00257D53">
        <w:rPr>
          <w:rFonts w:hint="eastAsia"/>
          <w:lang w:eastAsia="ja-JP"/>
        </w:rPr>
        <w:t xml:space="preserve"> </w:t>
      </w:r>
      <w:r w:rsidR="00257D53" w:rsidRPr="00AC4360">
        <w:rPr>
          <w:rFonts w:hint="eastAsia"/>
          <w:highlight w:val="yellow"/>
          <w:lang w:eastAsia="ja-JP"/>
        </w:rPr>
        <w:t>has been used for</w:t>
      </w:r>
      <w:r w:rsidR="00257D53" w:rsidRPr="00AC4360">
        <w:rPr>
          <w:highlight w:val="yellow"/>
        </w:rPr>
        <w:t xml:space="preserve"> </w:t>
      </w:r>
      <w:r w:rsidR="00257D53" w:rsidRPr="00AC4360">
        <w:rPr>
          <w:highlight w:val="yellow"/>
          <w:lang w:eastAsia="ja-JP"/>
        </w:rPr>
        <w:t>airport surface detection equipment (ASDE)</w:t>
      </w:r>
      <w:r w:rsidR="00257D53" w:rsidRPr="003E0729">
        <w:rPr>
          <w:rFonts w:hint="eastAsia"/>
          <w:highlight w:val="yellow"/>
          <w:lang w:eastAsia="ja-JP"/>
        </w:rPr>
        <w:t>.</w:t>
      </w:r>
      <w:r w:rsidR="00257D53">
        <w:rPr>
          <w:rFonts w:hint="eastAsia"/>
          <w:lang w:eastAsia="ja-JP"/>
        </w:rPr>
        <w:t xml:space="preserve"> </w:t>
      </w:r>
      <w:r w:rsidR="00257D53" w:rsidRPr="00052DF4">
        <w:rPr>
          <w:rFonts w:hint="eastAsia"/>
          <w:i/>
          <w:lang w:eastAsia="ja-JP"/>
        </w:rPr>
        <w:t>(</w:t>
      </w:r>
      <w:r w:rsidR="00257D53" w:rsidRPr="005B5026">
        <w:rPr>
          <w:rFonts w:hint="eastAsia"/>
          <w:i/>
          <w:lang w:eastAsia="ja-JP"/>
        </w:rPr>
        <w:t>add)</w:t>
      </w:r>
      <w:r w:rsidR="00257D53">
        <w:rPr>
          <w:i/>
          <w:lang w:eastAsia="ja-JP"/>
        </w:rPr>
        <w:t xml:space="preserve"> </w:t>
      </w:r>
      <w:r w:rsidR="00257D53" w:rsidRPr="003E0729">
        <w:rPr>
          <w:dstrike/>
          <w:highlight w:val="yellow"/>
        </w:rPr>
        <w:t>and</w:t>
      </w:r>
      <w:r w:rsidR="00257D53" w:rsidRPr="003E0729">
        <w:rPr>
          <w:dstrike/>
        </w:rPr>
        <w:t xml:space="preserve"> </w:t>
      </w:r>
      <w:proofErr w:type="spellStart"/>
      <w:r w:rsidR="00257D53" w:rsidRPr="003E0729">
        <w:rPr>
          <w:highlight w:val="yellow"/>
        </w:rPr>
        <w:t>A</w:t>
      </w:r>
      <w:r w:rsidR="00257D53" w:rsidRPr="003E0729">
        <w:rPr>
          <w:highlight w:val="yellow"/>
          <w:lang w:eastAsia="ja-JP"/>
        </w:rPr>
        <w:t>ditionaly</w:t>
      </w:r>
      <w:proofErr w:type="spellEnd"/>
      <w:r w:rsidR="00257D53" w:rsidRPr="003E0729">
        <w:rPr>
          <w:highlight w:val="yellow"/>
        </w:rPr>
        <w:t xml:space="preserve">, the </w:t>
      </w:r>
      <w:r w:rsidR="00257D53" w:rsidRPr="00AD1E2A">
        <w:rPr>
          <w:highlight w:val="yellow"/>
        </w:rPr>
        <w:t>frequency bands</w:t>
      </w:r>
      <w:r w:rsidR="00257D53">
        <w:rPr>
          <w:rFonts w:hint="eastAsia"/>
          <w:lang w:eastAsia="ja-JP"/>
        </w:rPr>
        <w:t xml:space="preserve"> </w:t>
      </w:r>
      <w:r w:rsidR="00257D53" w:rsidRPr="00052DF4">
        <w:rPr>
          <w:rFonts w:hint="eastAsia"/>
          <w:i/>
          <w:lang w:eastAsia="ja-JP"/>
        </w:rPr>
        <w:t>(</w:t>
      </w:r>
      <w:r w:rsidR="00257D53" w:rsidRPr="005B5026">
        <w:rPr>
          <w:rFonts w:hint="eastAsia"/>
          <w:i/>
          <w:lang w:eastAsia="ja-JP"/>
        </w:rPr>
        <w:t>add)</w:t>
      </w:r>
      <w:r w:rsidR="00257D53">
        <w:rPr>
          <w:i/>
          <w:lang w:eastAsia="ja-JP"/>
        </w:rPr>
        <w:t xml:space="preserve"> </w:t>
      </w:r>
      <w:r w:rsidR="00257D53" w:rsidRPr="00052DF4">
        <w:t xml:space="preserve"> 31.8-33.4 GHz are </w:t>
      </w:r>
      <w:r w:rsidR="00257D53" w:rsidRPr="00392B86">
        <w:rPr>
          <w:rFonts w:hint="eastAsia"/>
          <w:highlight w:val="yellow"/>
          <w:lang w:eastAsia="ja-JP"/>
        </w:rPr>
        <w:t>also</w:t>
      </w:r>
      <w:r w:rsidR="00257D53">
        <w:rPr>
          <w:lang w:eastAsia="ja-JP"/>
        </w:rPr>
        <w:t xml:space="preserve"> </w:t>
      </w:r>
      <w:r w:rsidR="00257D53" w:rsidRPr="00052DF4">
        <w:t xml:space="preserve">used for </w:t>
      </w:r>
      <w:r w:rsidR="00257D53" w:rsidRPr="00392B86">
        <w:rPr>
          <w:highlight w:val="yellow"/>
        </w:rPr>
        <w:t>ASDE</w:t>
      </w:r>
      <w:r w:rsidR="00257D53">
        <w:t xml:space="preserve"> </w:t>
      </w:r>
      <w:r w:rsidR="00257D53" w:rsidRPr="00392B86">
        <w:rPr>
          <w:strike/>
          <w:highlight w:val="yellow"/>
        </w:rPr>
        <w:t>airport surface detection equipment</w:t>
      </w:r>
      <w:r w:rsidR="00257D53" w:rsidRPr="00052DF4">
        <w:t xml:space="preserve"> in a number of countries</w:t>
      </w:r>
      <w:r w:rsidR="00257D53">
        <w:rPr>
          <w:rFonts w:hint="eastAsia"/>
          <w:lang w:eastAsia="ja-JP"/>
        </w:rPr>
        <w:t xml:space="preserve"> </w:t>
      </w:r>
      <w:r w:rsidR="00257D53" w:rsidRPr="00A7534C">
        <w:t>to supplement similar radars that operate in the frequency band 15.4-15.7 GHz.  The higher frequency range give great resolution a factor that is assuming greater importance with the ever increasing density of traffic at airports.</w:t>
      </w:r>
      <w:r w:rsidR="00257D53">
        <w:rPr>
          <w:rFonts w:hint="eastAsia"/>
          <w:lang w:eastAsia="ja-JP"/>
        </w:rPr>
        <w:t xml:space="preserve"> </w:t>
      </w:r>
    </w:p>
    <w:p w14:paraId="5E2B3C12" w14:textId="77777777" w:rsidR="00EF3E24" w:rsidRDefault="00FF4A94" w:rsidP="00052DF4">
      <w:pPr>
        <w:pStyle w:val="2para"/>
      </w:pPr>
      <w:r>
        <w:rPr>
          <w:rFonts w:hint="eastAsia"/>
          <w:lang w:eastAsia="ja-JP"/>
        </w:rPr>
        <w:t xml:space="preserve">In addition to </w:t>
      </w:r>
      <w:r w:rsidR="002A55FD">
        <w:rPr>
          <w:rFonts w:hint="eastAsia"/>
          <w:lang w:eastAsia="ja-JP"/>
        </w:rPr>
        <w:t xml:space="preserve">modification to </w:t>
      </w:r>
      <w:r w:rsidR="00052DF4" w:rsidRPr="00052DF4">
        <w:rPr>
          <w:lang w:eastAsia="ja-JP"/>
        </w:rPr>
        <w:t>Appendix E of the FSMP-WG2_Report</w:t>
      </w:r>
      <w:r w:rsidR="00F4483C">
        <w:rPr>
          <w:rFonts w:hint="eastAsia"/>
          <w:lang w:eastAsia="ja-JP"/>
        </w:rPr>
        <w:t xml:space="preserve"> as 2.3 above</w:t>
      </w:r>
      <w:r>
        <w:rPr>
          <w:rFonts w:hint="eastAsia"/>
          <w:lang w:eastAsia="ja-JP"/>
        </w:rPr>
        <w:t xml:space="preserve">, relevant section of </w:t>
      </w:r>
      <w:r w:rsidR="00F4483C">
        <w:rPr>
          <w:rFonts w:hint="eastAsia"/>
          <w:lang w:eastAsia="ja-JP"/>
        </w:rPr>
        <w:t>the Handbook on Radio Frequency Spectrum Requirements for Civil Aviation, Doc 9718</w:t>
      </w:r>
      <w:r w:rsidR="00A7461A">
        <w:rPr>
          <w:rFonts w:hint="eastAsia"/>
          <w:lang w:eastAsia="ja-JP"/>
        </w:rPr>
        <w:t xml:space="preserve"> </w:t>
      </w:r>
      <w:r w:rsidR="00A7461A" w:rsidRPr="00A7461A">
        <w:rPr>
          <w:lang w:eastAsia="ja-JP"/>
        </w:rPr>
        <w:t>(Ref. Doc9718_VolI_DraftEd2</w:t>
      </w:r>
      <w:r w:rsidR="00A7461A">
        <w:rPr>
          <w:rFonts w:hint="eastAsia"/>
          <w:lang w:eastAsia="ja-JP"/>
        </w:rPr>
        <w:t xml:space="preserve"> </w:t>
      </w:r>
      <w:r w:rsidR="00A7461A" w:rsidRPr="00A7461A">
        <w:rPr>
          <w:lang w:eastAsia="ja-JP"/>
        </w:rPr>
        <w:t>(rev2016-03-02))</w:t>
      </w:r>
      <w:r w:rsidR="00F4483C">
        <w:rPr>
          <w:rFonts w:hint="eastAsia"/>
          <w:lang w:eastAsia="ja-JP"/>
        </w:rPr>
        <w:t xml:space="preserve">, may be updated </w:t>
      </w:r>
      <w:r w:rsidR="002A55FD">
        <w:rPr>
          <w:rFonts w:hint="eastAsia"/>
          <w:lang w:eastAsia="ja-JP"/>
        </w:rPr>
        <w:t xml:space="preserve">consistently </w:t>
      </w:r>
      <w:r w:rsidR="00F4483C">
        <w:rPr>
          <w:rFonts w:hint="eastAsia"/>
          <w:lang w:eastAsia="ja-JP"/>
        </w:rPr>
        <w:t>as follow;</w:t>
      </w:r>
    </w:p>
    <w:p w14:paraId="3BAC615F" w14:textId="77777777" w:rsidR="005B5026" w:rsidRDefault="005B5026" w:rsidP="005B5026">
      <w:pPr>
        <w:rPr>
          <w:lang w:eastAsia="ja-JP"/>
        </w:rPr>
      </w:pPr>
      <w:r w:rsidRPr="005B5026">
        <w:rPr>
          <w:rFonts w:hint="eastAsia"/>
          <w:lang w:eastAsia="ja-JP"/>
        </w:rPr>
        <w:t>2.4.1</w:t>
      </w:r>
      <w:r>
        <w:rPr>
          <w:rFonts w:hint="eastAsia"/>
          <w:lang w:eastAsia="ja-JP"/>
        </w:rPr>
        <w:t xml:space="preserve">   Chapter 7  </w:t>
      </w:r>
      <w:r w:rsidRPr="008003FB">
        <w:rPr>
          <w:rFonts w:hint="eastAsia"/>
          <w:u w:val="single"/>
          <w:lang w:eastAsia="ja-JP"/>
        </w:rPr>
        <w:t>Statement of Frequency Allocations, Technical Details and ICAO Policy</w:t>
      </w:r>
    </w:p>
    <w:p w14:paraId="5F204364" w14:textId="77777777" w:rsidR="005B5026" w:rsidRPr="005B5026" w:rsidRDefault="005B5026" w:rsidP="005B5026">
      <w:pPr>
        <w:rPr>
          <w:lang w:eastAsia="ja-JP"/>
        </w:rPr>
      </w:pPr>
    </w:p>
    <w:p w14:paraId="73C630E9" w14:textId="77777777" w:rsidR="005B5026" w:rsidRPr="005B5026" w:rsidRDefault="005B5026" w:rsidP="005B5026">
      <w:pPr>
        <w:rPr>
          <w:b/>
          <w:lang w:eastAsia="ja-JP"/>
        </w:rPr>
      </w:pPr>
      <w:r>
        <w:rPr>
          <w:rFonts w:hint="eastAsia"/>
          <w:b/>
          <w:lang w:eastAsia="ja-JP"/>
        </w:rPr>
        <w:t>Band</w:t>
      </w:r>
      <w:r w:rsidRPr="004357C3">
        <w:rPr>
          <w:b/>
        </w:rPr>
        <w:t>:</w:t>
      </w:r>
      <w:r w:rsidRPr="004357C3">
        <w:rPr>
          <w:bCs/>
        </w:rPr>
        <w:t xml:space="preserve"> </w:t>
      </w:r>
      <w:r w:rsidRPr="004357C3">
        <w:t>24.25–24.65 GHz</w:t>
      </w:r>
    </w:p>
    <w:p w14:paraId="154F55D4" w14:textId="77777777" w:rsidR="005B5026" w:rsidRPr="004357C3" w:rsidRDefault="005B5026" w:rsidP="005B5026">
      <w:r w:rsidRPr="004357C3">
        <w:rPr>
          <w:b/>
        </w:rPr>
        <w:t>Service:</w:t>
      </w:r>
      <w:r w:rsidRPr="004357C3">
        <w:t xml:space="preserve"> Radionavigation (ASDE)</w:t>
      </w:r>
    </w:p>
    <w:p w14:paraId="1F9C712C" w14:textId="77777777" w:rsidR="005B5026" w:rsidRPr="005B5026" w:rsidRDefault="005B5026" w:rsidP="005B5026">
      <w:pPr>
        <w:rPr>
          <w:lang w:eastAsia="ja-JP"/>
        </w:rPr>
      </w:pPr>
      <w:r w:rsidRPr="004357C3">
        <w:rPr>
          <w:b/>
        </w:rPr>
        <w:t>Allocation:</w:t>
      </w:r>
      <w:r w:rsidR="00A7461A">
        <w:rPr>
          <w:rFonts w:hint="eastAsia"/>
          <w:b/>
          <w:lang w:eastAsia="ja-JP"/>
        </w:rPr>
        <w:t xml:space="preserve"> </w:t>
      </w:r>
      <w:r w:rsidR="00A7461A" w:rsidRPr="005B5026">
        <w:rPr>
          <w:rFonts w:hint="eastAsia"/>
          <w:lang w:eastAsia="ja-JP"/>
        </w:rPr>
        <w:t>(NOC)</w:t>
      </w:r>
    </w:p>
    <w:p w14:paraId="4FAE5F94" w14:textId="77777777" w:rsidR="00A7461A" w:rsidRPr="00A7461A" w:rsidRDefault="00A7461A" w:rsidP="00A7461A">
      <w:pPr>
        <w:rPr>
          <w:b/>
          <w:lang w:eastAsia="ja-JP"/>
        </w:rPr>
      </w:pPr>
      <w:r w:rsidRPr="00A7461A">
        <w:rPr>
          <w:b/>
          <w:lang w:eastAsia="ja-JP"/>
        </w:rPr>
        <w:t>ICAO POLICY</w:t>
      </w:r>
      <w:r>
        <w:rPr>
          <w:rFonts w:hint="eastAsia"/>
          <w:b/>
          <w:lang w:eastAsia="ja-JP"/>
        </w:rPr>
        <w:t xml:space="preserve">: </w:t>
      </w:r>
      <w:r w:rsidRPr="005B5026">
        <w:rPr>
          <w:rFonts w:hint="eastAsia"/>
          <w:lang w:eastAsia="ja-JP"/>
        </w:rPr>
        <w:t>(NOC)</w:t>
      </w:r>
    </w:p>
    <w:p w14:paraId="6F958C40" w14:textId="5A8C7072" w:rsidR="005B5026" w:rsidRDefault="005B5026" w:rsidP="005B5026">
      <w:pPr>
        <w:rPr>
          <w:lang w:eastAsia="ja-JP"/>
        </w:rPr>
      </w:pPr>
      <w:r w:rsidRPr="004357C3">
        <w:rPr>
          <w:b/>
        </w:rPr>
        <w:t>AVIATION USE:</w:t>
      </w:r>
      <w:r w:rsidRPr="004357C3">
        <w:t xml:space="preserve"> These band</w:t>
      </w:r>
      <w:r w:rsidRPr="00052DF4">
        <w:t>s</w:t>
      </w:r>
      <w:r w:rsidR="00AC4360">
        <w:t xml:space="preserve"> </w:t>
      </w:r>
      <w:r w:rsidR="0089274C" w:rsidRPr="008A63BA">
        <w:rPr>
          <w:highlight w:val="yellow"/>
          <w:lang w:eastAsia="ja-JP"/>
        </w:rPr>
        <w:t xml:space="preserve">are </w:t>
      </w:r>
      <w:r w:rsidR="0089274C" w:rsidRPr="00E760E8">
        <w:rPr>
          <w:highlight w:val="yellow"/>
        </w:rPr>
        <w:t>u</w:t>
      </w:r>
      <w:r w:rsidR="0089274C">
        <w:rPr>
          <w:highlight w:val="yellow"/>
        </w:rPr>
        <w:t>sed</w:t>
      </w:r>
      <w:r w:rsidR="00AC4360">
        <w:t xml:space="preserve"> </w:t>
      </w:r>
      <w:r w:rsidR="00AC4360" w:rsidRPr="00052DF4">
        <w:rPr>
          <w:rFonts w:hint="eastAsia"/>
          <w:i/>
          <w:lang w:eastAsia="ja-JP"/>
        </w:rPr>
        <w:t>(</w:t>
      </w:r>
      <w:r w:rsidR="00AC4360" w:rsidRPr="005B5026">
        <w:rPr>
          <w:rFonts w:hint="eastAsia"/>
          <w:i/>
          <w:lang w:eastAsia="ja-JP"/>
        </w:rPr>
        <w:t>add)</w:t>
      </w:r>
      <w:r w:rsidR="00AC4360">
        <w:rPr>
          <w:i/>
          <w:lang w:eastAsia="ja-JP"/>
        </w:rPr>
        <w:t xml:space="preserve"> </w:t>
      </w:r>
      <w:r w:rsidRPr="00AC4360">
        <w:rPr>
          <w:strike/>
          <w:highlight w:val="yellow"/>
        </w:rPr>
        <w:t>supplement the 15.4–15.7 GHz band</w:t>
      </w:r>
      <w:r w:rsidRPr="00052DF4">
        <w:t xml:space="preserve"> for airport surface detection equipment (ASDE)</w:t>
      </w:r>
      <w:r w:rsidR="00AC4360">
        <w:t>.</w:t>
      </w:r>
      <w:r w:rsidRPr="004357C3">
        <w:t xml:space="preserve"> The higher frequency provides greater target resolution</w:t>
      </w:r>
      <w:r w:rsidRPr="00F46C48">
        <w:rPr>
          <w:strike/>
        </w:rPr>
        <w:t xml:space="preserve"> </w:t>
      </w:r>
      <w:r w:rsidRPr="00F46C48">
        <w:rPr>
          <w:strike/>
          <w:highlight w:val="yellow"/>
        </w:rPr>
        <w:t>although performance in precipitation, such as rain and fog, is inferior</w:t>
      </w:r>
      <w:r w:rsidRPr="004357C3">
        <w:t>. Footnote 5.533 should be noted.</w:t>
      </w:r>
    </w:p>
    <w:p w14:paraId="57326B22" w14:textId="77777777" w:rsidR="0031377F" w:rsidRDefault="0031377F" w:rsidP="005B5026">
      <w:pPr>
        <w:rPr>
          <w:lang w:eastAsia="ja-JP"/>
        </w:rPr>
      </w:pPr>
    </w:p>
    <w:p w14:paraId="4444E92B" w14:textId="77777777" w:rsidR="005B5026" w:rsidRPr="004357C3" w:rsidRDefault="005B5026" w:rsidP="005B5026">
      <w:r w:rsidRPr="004357C3">
        <w:rPr>
          <w:b/>
        </w:rPr>
        <w:t>COMMENTARY:</w:t>
      </w:r>
      <w:r w:rsidRPr="004357C3">
        <w:t xml:space="preserve"> In 1997 the need to retain this allocation was reconfirmed. The ASDE requirement assumes greater priority with increasing airport congestion.</w:t>
      </w:r>
    </w:p>
    <w:p w14:paraId="22B1ED17" w14:textId="77777777" w:rsidR="007A5B21" w:rsidRDefault="007A5B21" w:rsidP="00F4483C">
      <w:pPr>
        <w:pStyle w:val="2para"/>
        <w:numPr>
          <w:ilvl w:val="0"/>
          <w:numId w:val="0"/>
        </w:numPr>
        <w:rPr>
          <w:lang w:eastAsia="ja-JP"/>
        </w:rPr>
      </w:pPr>
    </w:p>
    <w:p w14:paraId="1EE1565C" w14:textId="77777777" w:rsidR="008003FB" w:rsidRDefault="005B5026" w:rsidP="008003FB">
      <w:pPr>
        <w:pStyle w:val="2para"/>
        <w:numPr>
          <w:ilvl w:val="0"/>
          <w:numId w:val="0"/>
        </w:numPr>
        <w:rPr>
          <w:u w:val="single"/>
          <w:lang w:eastAsia="ja-JP"/>
        </w:rPr>
      </w:pPr>
      <w:r>
        <w:rPr>
          <w:rFonts w:hint="eastAsia"/>
          <w:lang w:eastAsia="ja-JP"/>
        </w:rPr>
        <w:t xml:space="preserve">2.4.2    Chapter 8  </w:t>
      </w:r>
      <w:r w:rsidR="008003FB" w:rsidRPr="008003FB">
        <w:rPr>
          <w:rFonts w:hint="eastAsia"/>
          <w:u w:val="single"/>
          <w:lang w:eastAsia="ja-JP"/>
        </w:rPr>
        <w:t xml:space="preserve">ICAO Spectrum Strategy </w:t>
      </w:r>
      <w:r w:rsidR="00A7461A">
        <w:rPr>
          <w:rFonts w:hint="eastAsia"/>
          <w:u w:val="single"/>
          <w:lang w:eastAsia="ja-JP"/>
        </w:rPr>
        <w:t>and Vision</w:t>
      </w:r>
      <w:r w:rsidR="00A3058D">
        <w:rPr>
          <w:rFonts w:hint="eastAsia"/>
          <w:u w:val="single"/>
          <w:lang w:eastAsia="ja-JP"/>
        </w:rPr>
        <w:t xml:space="preserve">,  </w:t>
      </w:r>
      <w:r w:rsidR="00A3058D">
        <w:rPr>
          <w:rFonts w:hint="eastAsia"/>
          <w:lang w:eastAsia="ja-JP"/>
        </w:rPr>
        <w:t xml:space="preserve">8.2.4  ICAO specific band-by-band spectrum strategy for the </w:t>
      </w:r>
      <w:proofErr w:type="spellStart"/>
      <w:r w:rsidR="00A3058D">
        <w:rPr>
          <w:rFonts w:hint="eastAsia"/>
          <w:lang w:eastAsia="ja-JP"/>
        </w:rPr>
        <w:t>frerquency</w:t>
      </w:r>
      <w:proofErr w:type="spellEnd"/>
      <w:r w:rsidR="00A3058D">
        <w:rPr>
          <w:rFonts w:hint="eastAsia"/>
          <w:lang w:eastAsia="ja-JP"/>
        </w:rPr>
        <w:t xml:space="preserve"> bands by civil aviation</w:t>
      </w:r>
      <w:r w:rsidR="00A7461A">
        <w:rPr>
          <w:rFonts w:hint="eastAsia"/>
          <w:lang w:eastAsia="ja-JP"/>
        </w:rPr>
        <w:t xml:space="preserve"> </w:t>
      </w:r>
    </w:p>
    <w:p w14:paraId="45BADA71" w14:textId="77777777" w:rsidR="008003FB" w:rsidRDefault="008003FB" w:rsidP="008003FB">
      <w:pPr>
        <w:pStyle w:val="2para"/>
        <w:numPr>
          <w:ilvl w:val="0"/>
          <w:numId w:val="0"/>
        </w:numPr>
        <w:rPr>
          <w:lang w:eastAsia="ja-JP"/>
        </w:rPr>
      </w:pPr>
      <w:r w:rsidRPr="008003FB">
        <w:rPr>
          <w:rFonts w:hint="eastAsia"/>
          <w:lang w:eastAsia="ja-JP"/>
        </w:rPr>
        <w:t xml:space="preserve">Add new column as below for the frequency range </w:t>
      </w:r>
      <w:r w:rsidRPr="008003FB">
        <w:rPr>
          <w:lang w:eastAsia="ja-JP"/>
        </w:rPr>
        <w:t>24.25-24.65 GHz</w:t>
      </w:r>
      <w:r w:rsidRPr="008003FB">
        <w:rPr>
          <w:rFonts w:hint="eastAsia"/>
          <w:lang w:eastAsia="ja-JP"/>
        </w:rPr>
        <w:t>.</w:t>
      </w:r>
    </w:p>
    <w:p w14:paraId="2C5B04C8" w14:textId="77777777" w:rsidR="0031377F" w:rsidRDefault="0031377F" w:rsidP="008003FB">
      <w:pPr>
        <w:pStyle w:val="2para"/>
        <w:numPr>
          <w:ilvl w:val="0"/>
          <w:numId w:val="0"/>
        </w:numPr>
        <w:rPr>
          <w:color w:val="31849B" w:themeColor="accent5" w:themeShade="BF"/>
          <w:lang w:eastAsia="ja-JP"/>
        </w:rPr>
      </w:pPr>
    </w:p>
    <w:p w14:paraId="3AD33D6E" w14:textId="77777777" w:rsidR="00052DF4" w:rsidRPr="0031377F" w:rsidRDefault="00052DF4" w:rsidP="008003FB">
      <w:pPr>
        <w:pStyle w:val="2para"/>
        <w:numPr>
          <w:ilvl w:val="0"/>
          <w:numId w:val="0"/>
        </w:numPr>
        <w:rPr>
          <w:color w:val="31849B" w:themeColor="accent5" w:themeShade="BF"/>
          <w:lang w:eastAsia="ja-JP"/>
        </w:rPr>
      </w:pPr>
    </w:p>
    <w:tbl>
      <w:tblPr>
        <w:tblW w:w="999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115"/>
        <w:gridCol w:w="1275"/>
        <w:gridCol w:w="1276"/>
        <w:gridCol w:w="4398"/>
        <w:gridCol w:w="993"/>
        <w:gridCol w:w="921"/>
        <w:gridCol w:w="13"/>
      </w:tblGrid>
      <w:tr w:rsidR="00A3058D" w:rsidRPr="00A7461A" w14:paraId="0AFBEB8D" w14:textId="77777777" w:rsidTr="00A3058D">
        <w:trPr>
          <w:jc w:val="center"/>
        </w:trPr>
        <w:tc>
          <w:tcPr>
            <w:tcW w:w="9991" w:type="dxa"/>
            <w:gridSpan w:val="7"/>
            <w:shd w:val="clear" w:color="auto" w:fill="auto"/>
            <w:tcMar>
              <w:top w:w="100" w:type="dxa"/>
              <w:left w:w="100" w:type="dxa"/>
              <w:bottom w:w="100" w:type="dxa"/>
              <w:right w:w="100" w:type="dxa"/>
            </w:tcMar>
          </w:tcPr>
          <w:p w14:paraId="54E87775" w14:textId="77777777" w:rsidR="00A3058D" w:rsidRPr="00A7461A" w:rsidRDefault="00A3058D" w:rsidP="00A3058D">
            <w:pPr>
              <w:spacing w:line="200" w:lineRule="exact"/>
              <w:jc w:val="center"/>
              <w:rPr>
                <w:i/>
                <w:sz w:val="20"/>
              </w:rPr>
            </w:pPr>
            <w:r w:rsidRPr="00A7461A">
              <w:rPr>
                <w:i/>
                <w:sz w:val="20"/>
              </w:rPr>
              <w:lastRenderedPageBreak/>
              <w:t>ICAO spectrum strategy for aeronautical surveillance systems</w:t>
            </w:r>
          </w:p>
          <w:p w14:paraId="753B9CD1" w14:textId="77777777" w:rsidR="00A3058D" w:rsidRPr="00A7461A" w:rsidRDefault="00A3058D" w:rsidP="00A3058D">
            <w:pPr>
              <w:spacing w:line="200" w:lineRule="exact"/>
              <w:jc w:val="center"/>
              <w:rPr>
                <w:sz w:val="20"/>
              </w:rPr>
            </w:pPr>
            <w:r w:rsidRPr="00A7461A">
              <w:rPr>
                <w:i/>
                <w:sz w:val="20"/>
              </w:rPr>
              <w:t>(Reference: ICAO Doc 9750, Appendix 3, Roadmaps 3 and 4)</w:t>
            </w:r>
          </w:p>
        </w:tc>
      </w:tr>
      <w:tr w:rsidR="00A7461A" w:rsidRPr="00A7461A" w14:paraId="72788F12" w14:textId="77777777" w:rsidTr="00052DF4">
        <w:trPr>
          <w:jc w:val="center"/>
        </w:trPr>
        <w:tc>
          <w:tcPr>
            <w:tcW w:w="1115" w:type="dxa"/>
            <w:shd w:val="clear" w:color="auto" w:fill="auto"/>
            <w:tcMar>
              <w:top w:w="100" w:type="dxa"/>
              <w:left w:w="100" w:type="dxa"/>
              <w:bottom w:w="100" w:type="dxa"/>
              <w:right w:w="100" w:type="dxa"/>
            </w:tcMar>
            <w:vAlign w:val="center"/>
          </w:tcPr>
          <w:p w14:paraId="7D8829CE" w14:textId="77777777" w:rsidR="00A7461A" w:rsidRPr="00A7461A" w:rsidRDefault="00A7461A" w:rsidP="00A7461A">
            <w:pPr>
              <w:spacing w:line="200" w:lineRule="exact"/>
              <w:jc w:val="center"/>
              <w:rPr>
                <w:i/>
                <w:iCs/>
                <w:sz w:val="20"/>
              </w:rPr>
            </w:pPr>
            <w:r w:rsidRPr="00A7461A">
              <w:rPr>
                <w:i/>
                <w:iCs/>
                <w:sz w:val="20"/>
              </w:rPr>
              <w:t>Frequency</w:t>
            </w:r>
          </w:p>
          <w:p w14:paraId="6BB8BCC5" w14:textId="77777777" w:rsidR="00A7461A" w:rsidRPr="00A7461A" w:rsidRDefault="00A7461A" w:rsidP="00A7461A">
            <w:pPr>
              <w:spacing w:line="200" w:lineRule="exact"/>
              <w:jc w:val="center"/>
              <w:rPr>
                <w:i/>
                <w:iCs/>
                <w:sz w:val="20"/>
              </w:rPr>
            </w:pPr>
            <w:r w:rsidRPr="00A7461A">
              <w:rPr>
                <w:i/>
                <w:iCs/>
                <w:sz w:val="20"/>
              </w:rPr>
              <w:t>band</w:t>
            </w:r>
          </w:p>
        </w:tc>
        <w:tc>
          <w:tcPr>
            <w:tcW w:w="1275" w:type="dxa"/>
            <w:shd w:val="clear" w:color="auto" w:fill="auto"/>
            <w:tcMar>
              <w:top w:w="100" w:type="dxa"/>
              <w:left w:w="100" w:type="dxa"/>
              <w:bottom w:w="100" w:type="dxa"/>
              <w:right w:w="100" w:type="dxa"/>
            </w:tcMar>
            <w:vAlign w:val="center"/>
          </w:tcPr>
          <w:p w14:paraId="292EB200" w14:textId="77777777" w:rsidR="00A7461A" w:rsidRPr="00A7461A" w:rsidRDefault="00A7461A" w:rsidP="00A7461A">
            <w:pPr>
              <w:spacing w:line="200" w:lineRule="exact"/>
              <w:jc w:val="center"/>
              <w:rPr>
                <w:i/>
                <w:iCs/>
                <w:sz w:val="20"/>
              </w:rPr>
            </w:pPr>
            <w:r w:rsidRPr="00A7461A">
              <w:rPr>
                <w:i/>
                <w:iCs/>
                <w:sz w:val="20"/>
              </w:rPr>
              <w:t>Aeronautical use</w:t>
            </w:r>
          </w:p>
        </w:tc>
        <w:tc>
          <w:tcPr>
            <w:tcW w:w="1276" w:type="dxa"/>
            <w:shd w:val="clear" w:color="auto" w:fill="auto"/>
            <w:tcMar>
              <w:top w:w="100" w:type="dxa"/>
              <w:left w:w="100" w:type="dxa"/>
              <w:bottom w:w="100" w:type="dxa"/>
              <w:right w:w="100" w:type="dxa"/>
            </w:tcMar>
            <w:vAlign w:val="center"/>
          </w:tcPr>
          <w:p w14:paraId="7F6F7B25" w14:textId="77777777" w:rsidR="00A7461A" w:rsidRPr="00A7461A" w:rsidRDefault="00A7461A" w:rsidP="00A7461A">
            <w:pPr>
              <w:spacing w:line="200" w:lineRule="exact"/>
              <w:jc w:val="center"/>
              <w:rPr>
                <w:i/>
                <w:iCs/>
                <w:sz w:val="20"/>
              </w:rPr>
            </w:pPr>
            <w:r w:rsidRPr="00A7461A">
              <w:rPr>
                <w:i/>
                <w:iCs/>
                <w:sz w:val="20"/>
              </w:rPr>
              <w:t>Timescale</w:t>
            </w:r>
          </w:p>
        </w:tc>
        <w:tc>
          <w:tcPr>
            <w:tcW w:w="4398" w:type="dxa"/>
            <w:tcBorders>
              <w:right w:val="single" w:sz="4" w:space="0" w:color="auto"/>
            </w:tcBorders>
            <w:shd w:val="clear" w:color="auto" w:fill="auto"/>
            <w:tcMar>
              <w:top w:w="100" w:type="dxa"/>
              <w:left w:w="100" w:type="dxa"/>
              <w:bottom w:w="100" w:type="dxa"/>
              <w:right w:w="100" w:type="dxa"/>
            </w:tcMar>
            <w:vAlign w:val="center"/>
          </w:tcPr>
          <w:p w14:paraId="72D42FC7" w14:textId="77777777" w:rsidR="00A7461A" w:rsidRPr="00A7461A" w:rsidRDefault="00A7461A" w:rsidP="00A7461A">
            <w:pPr>
              <w:spacing w:line="200" w:lineRule="exact"/>
              <w:jc w:val="center"/>
              <w:rPr>
                <w:i/>
                <w:iCs/>
                <w:sz w:val="20"/>
              </w:rPr>
            </w:pPr>
            <w:r w:rsidRPr="00A7461A">
              <w:rPr>
                <w:i/>
                <w:iCs/>
                <w:sz w:val="20"/>
              </w:rPr>
              <w:t>ICAO spectrum strategy</w:t>
            </w:r>
          </w:p>
        </w:tc>
        <w:tc>
          <w:tcPr>
            <w:tcW w:w="993" w:type="dxa"/>
            <w:tcBorders>
              <w:left w:val="single" w:sz="4" w:space="0" w:color="auto"/>
            </w:tcBorders>
            <w:shd w:val="clear" w:color="auto" w:fill="auto"/>
            <w:vAlign w:val="center"/>
          </w:tcPr>
          <w:p w14:paraId="5139D084" w14:textId="77777777" w:rsidR="00A7461A" w:rsidRPr="00A7461A" w:rsidRDefault="00A7461A" w:rsidP="00A7461A">
            <w:pPr>
              <w:spacing w:line="200" w:lineRule="exact"/>
              <w:jc w:val="center"/>
              <w:rPr>
                <w:i/>
                <w:iCs/>
                <w:sz w:val="20"/>
              </w:rPr>
            </w:pPr>
            <w:r w:rsidRPr="00A7461A">
              <w:rPr>
                <w:i/>
                <w:iCs/>
                <w:sz w:val="20"/>
              </w:rPr>
              <w:t>Risk factors</w:t>
            </w:r>
          </w:p>
        </w:tc>
        <w:tc>
          <w:tcPr>
            <w:tcW w:w="934" w:type="dxa"/>
            <w:gridSpan w:val="2"/>
            <w:tcBorders>
              <w:left w:val="single" w:sz="4" w:space="0" w:color="auto"/>
            </w:tcBorders>
            <w:shd w:val="clear" w:color="auto" w:fill="auto"/>
            <w:vAlign w:val="center"/>
          </w:tcPr>
          <w:p w14:paraId="32012F19" w14:textId="77777777" w:rsidR="00A7461A" w:rsidRPr="00A7461A" w:rsidRDefault="00A7461A" w:rsidP="00A7461A">
            <w:pPr>
              <w:spacing w:line="200" w:lineRule="exact"/>
              <w:jc w:val="center"/>
              <w:rPr>
                <w:i/>
                <w:iCs/>
                <w:sz w:val="20"/>
              </w:rPr>
            </w:pPr>
            <w:r w:rsidRPr="00A7461A">
              <w:rPr>
                <w:i/>
                <w:iCs/>
                <w:sz w:val="20"/>
              </w:rPr>
              <w:t>Vision statement</w:t>
            </w:r>
          </w:p>
        </w:tc>
      </w:tr>
      <w:tr w:rsidR="00A3058D" w:rsidRPr="00A7461A" w14:paraId="22B74F47" w14:textId="77777777" w:rsidTr="00052DF4">
        <w:trPr>
          <w:jc w:val="center"/>
        </w:trPr>
        <w:tc>
          <w:tcPr>
            <w:tcW w:w="1115" w:type="dxa"/>
            <w:shd w:val="clear" w:color="auto" w:fill="auto"/>
            <w:tcMar>
              <w:top w:w="100" w:type="dxa"/>
              <w:left w:w="100" w:type="dxa"/>
              <w:bottom w:w="100" w:type="dxa"/>
              <w:right w:w="100" w:type="dxa"/>
            </w:tcMar>
          </w:tcPr>
          <w:p w14:paraId="1615A033" w14:textId="77777777" w:rsidR="00A3058D" w:rsidRPr="00A7461A" w:rsidRDefault="00A3058D" w:rsidP="00A7461A">
            <w:pPr>
              <w:spacing w:line="240" w:lineRule="exact"/>
              <w:jc w:val="left"/>
              <w:rPr>
                <w:sz w:val="20"/>
              </w:rPr>
            </w:pPr>
            <w:r w:rsidRPr="00A7461A">
              <w:rPr>
                <w:sz w:val="20"/>
              </w:rPr>
              <w:t>15.4–15.7 GHz</w:t>
            </w:r>
          </w:p>
        </w:tc>
        <w:tc>
          <w:tcPr>
            <w:tcW w:w="1275" w:type="dxa"/>
            <w:shd w:val="clear" w:color="auto" w:fill="auto"/>
            <w:tcMar>
              <w:top w:w="100" w:type="dxa"/>
              <w:left w:w="100" w:type="dxa"/>
              <w:bottom w:w="100" w:type="dxa"/>
              <w:right w:w="100" w:type="dxa"/>
            </w:tcMar>
          </w:tcPr>
          <w:p w14:paraId="56AF8557" w14:textId="77777777" w:rsidR="00A3058D" w:rsidRPr="00A7461A" w:rsidRDefault="00A3058D" w:rsidP="00A7461A">
            <w:pPr>
              <w:spacing w:line="240" w:lineRule="exact"/>
              <w:jc w:val="left"/>
              <w:rPr>
                <w:sz w:val="20"/>
              </w:rPr>
            </w:pPr>
            <w:r w:rsidRPr="00A7461A">
              <w:rPr>
                <w:sz w:val="20"/>
              </w:rPr>
              <w:t>Primary surveillance radar</w:t>
            </w:r>
          </w:p>
        </w:tc>
        <w:tc>
          <w:tcPr>
            <w:tcW w:w="1276" w:type="dxa"/>
            <w:shd w:val="clear" w:color="auto" w:fill="auto"/>
            <w:tcMar>
              <w:top w:w="100" w:type="dxa"/>
              <w:left w:w="100" w:type="dxa"/>
              <w:bottom w:w="100" w:type="dxa"/>
              <w:right w:w="100" w:type="dxa"/>
            </w:tcMar>
          </w:tcPr>
          <w:p w14:paraId="269B3904" w14:textId="77777777" w:rsidR="00A3058D" w:rsidRPr="00A7461A" w:rsidRDefault="00A3058D" w:rsidP="00A7461A">
            <w:pPr>
              <w:spacing w:line="240" w:lineRule="exact"/>
              <w:jc w:val="left"/>
              <w:rPr>
                <w:sz w:val="20"/>
              </w:rPr>
            </w:pPr>
            <w:r w:rsidRPr="00A7461A">
              <w:rPr>
                <w:sz w:val="20"/>
              </w:rPr>
              <w:t>Long term</w:t>
            </w:r>
          </w:p>
        </w:tc>
        <w:tc>
          <w:tcPr>
            <w:tcW w:w="4398" w:type="dxa"/>
            <w:tcBorders>
              <w:right w:val="single" w:sz="4" w:space="0" w:color="auto"/>
            </w:tcBorders>
            <w:shd w:val="clear" w:color="auto" w:fill="auto"/>
            <w:tcMar>
              <w:top w:w="100" w:type="dxa"/>
              <w:left w:w="100" w:type="dxa"/>
              <w:bottom w:w="100" w:type="dxa"/>
              <w:right w:w="100" w:type="dxa"/>
            </w:tcMar>
          </w:tcPr>
          <w:p w14:paraId="2BE72333" w14:textId="77777777" w:rsidR="00A3058D" w:rsidRPr="00A7461A" w:rsidRDefault="00A3058D" w:rsidP="00A7461A">
            <w:pPr>
              <w:spacing w:line="240" w:lineRule="exact"/>
              <w:jc w:val="left"/>
              <w:rPr>
                <w:sz w:val="20"/>
              </w:rPr>
            </w:pPr>
            <w:r w:rsidRPr="00A7461A">
              <w:rPr>
                <w:sz w:val="20"/>
              </w:rPr>
              <w:t>Secure for the continuing availability of the frequency band 15.4–15.7 GHz, which is allocated to the aeronautical radionavigation service, for use by ground-based radar systems on a global basis.</w:t>
            </w:r>
          </w:p>
        </w:tc>
        <w:tc>
          <w:tcPr>
            <w:tcW w:w="993" w:type="dxa"/>
            <w:tcBorders>
              <w:left w:val="single" w:sz="4" w:space="0" w:color="auto"/>
            </w:tcBorders>
            <w:shd w:val="clear" w:color="auto" w:fill="auto"/>
          </w:tcPr>
          <w:p w14:paraId="5D3E1FB6" w14:textId="77777777" w:rsidR="00A3058D" w:rsidRPr="00A7461A" w:rsidRDefault="00A3058D" w:rsidP="00A7461A">
            <w:pPr>
              <w:spacing w:line="240" w:lineRule="exact"/>
              <w:jc w:val="left"/>
              <w:rPr>
                <w:sz w:val="20"/>
                <w:lang w:eastAsia="ja-JP"/>
              </w:rPr>
            </w:pPr>
          </w:p>
        </w:tc>
        <w:tc>
          <w:tcPr>
            <w:tcW w:w="934" w:type="dxa"/>
            <w:gridSpan w:val="2"/>
            <w:tcBorders>
              <w:left w:val="single" w:sz="4" w:space="0" w:color="auto"/>
            </w:tcBorders>
            <w:shd w:val="clear" w:color="auto" w:fill="auto"/>
          </w:tcPr>
          <w:p w14:paraId="33536E32" w14:textId="77777777" w:rsidR="00A3058D" w:rsidRPr="00A7461A" w:rsidRDefault="00A3058D" w:rsidP="00A7461A">
            <w:pPr>
              <w:spacing w:line="240" w:lineRule="exact"/>
              <w:jc w:val="left"/>
              <w:rPr>
                <w:sz w:val="20"/>
              </w:rPr>
            </w:pPr>
          </w:p>
        </w:tc>
      </w:tr>
      <w:tr w:rsidR="00A3058D" w:rsidRPr="00A7461A" w14:paraId="7A24741F" w14:textId="77777777" w:rsidTr="00052DF4">
        <w:trPr>
          <w:jc w:val="center"/>
        </w:trPr>
        <w:tc>
          <w:tcPr>
            <w:tcW w:w="1115" w:type="dxa"/>
            <w:shd w:val="clear" w:color="auto" w:fill="auto"/>
            <w:tcMar>
              <w:top w:w="100" w:type="dxa"/>
              <w:left w:w="100" w:type="dxa"/>
              <w:bottom w:w="100" w:type="dxa"/>
              <w:right w:w="100" w:type="dxa"/>
            </w:tcMar>
          </w:tcPr>
          <w:p w14:paraId="6D692BD6" w14:textId="77777777" w:rsidR="00A3058D" w:rsidRPr="00A7461A" w:rsidRDefault="00A3058D" w:rsidP="00A7461A">
            <w:pPr>
              <w:spacing w:line="240" w:lineRule="exact"/>
              <w:jc w:val="left"/>
              <w:rPr>
                <w:sz w:val="20"/>
                <w:highlight w:val="yellow"/>
              </w:rPr>
            </w:pPr>
            <w:r w:rsidRPr="00A7461A">
              <w:rPr>
                <w:sz w:val="20"/>
                <w:highlight w:val="yellow"/>
              </w:rPr>
              <w:t>24.25-24.65 GHz</w:t>
            </w:r>
          </w:p>
        </w:tc>
        <w:tc>
          <w:tcPr>
            <w:tcW w:w="1275" w:type="dxa"/>
            <w:shd w:val="clear" w:color="auto" w:fill="auto"/>
            <w:tcMar>
              <w:top w:w="100" w:type="dxa"/>
              <w:left w:w="100" w:type="dxa"/>
              <w:bottom w:w="100" w:type="dxa"/>
              <w:right w:w="100" w:type="dxa"/>
            </w:tcMar>
          </w:tcPr>
          <w:p w14:paraId="76C390CC" w14:textId="77777777" w:rsidR="00A3058D" w:rsidRPr="00A7461A" w:rsidRDefault="00A3058D" w:rsidP="00A7461A">
            <w:pPr>
              <w:spacing w:line="240" w:lineRule="exact"/>
              <w:jc w:val="left"/>
              <w:rPr>
                <w:sz w:val="20"/>
                <w:highlight w:val="yellow"/>
              </w:rPr>
            </w:pPr>
            <w:r w:rsidRPr="00A7461A">
              <w:rPr>
                <w:sz w:val="20"/>
                <w:highlight w:val="yellow"/>
              </w:rPr>
              <w:t>Primary surveillance radar</w:t>
            </w:r>
          </w:p>
        </w:tc>
        <w:tc>
          <w:tcPr>
            <w:tcW w:w="1276" w:type="dxa"/>
            <w:shd w:val="clear" w:color="auto" w:fill="auto"/>
            <w:tcMar>
              <w:top w:w="100" w:type="dxa"/>
              <w:left w:w="100" w:type="dxa"/>
              <w:bottom w:w="100" w:type="dxa"/>
              <w:right w:w="100" w:type="dxa"/>
            </w:tcMar>
          </w:tcPr>
          <w:p w14:paraId="4796DD37" w14:textId="77777777" w:rsidR="00A3058D" w:rsidRPr="00A7461A" w:rsidRDefault="00A3058D" w:rsidP="00A7461A">
            <w:pPr>
              <w:spacing w:line="240" w:lineRule="exact"/>
              <w:jc w:val="left"/>
              <w:rPr>
                <w:sz w:val="20"/>
                <w:highlight w:val="yellow"/>
              </w:rPr>
            </w:pPr>
            <w:r w:rsidRPr="00A7461A">
              <w:rPr>
                <w:sz w:val="20"/>
                <w:highlight w:val="yellow"/>
              </w:rPr>
              <w:t>Long term</w:t>
            </w:r>
          </w:p>
        </w:tc>
        <w:tc>
          <w:tcPr>
            <w:tcW w:w="4398" w:type="dxa"/>
            <w:tcBorders>
              <w:right w:val="single" w:sz="4" w:space="0" w:color="auto"/>
            </w:tcBorders>
            <w:shd w:val="clear" w:color="auto" w:fill="auto"/>
            <w:tcMar>
              <w:top w:w="100" w:type="dxa"/>
              <w:left w:w="100" w:type="dxa"/>
              <w:bottom w:w="100" w:type="dxa"/>
              <w:right w:w="100" w:type="dxa"/>
            </w:tcMar>
          </w:tcPr>
          <w:p w14:paraId="01B1719C" w14:textId="77777777" w:rsidR="00A3058D" w:rsidRPr="00A7461A" w:rsidRDefault="00A3058D" w:rsidP="00574EF1">
            <w:pPr>
              <w:spacing w:line="240" w:lineRule="exact"/>
              <w:jc w:val="left"/>
              <w:rPr>
                <w:sz w:val="20"/>
                <w:highlight w:val="yellow"/>
              </w:rPr>
            </w:pPr>
            <w:r w:rsidRPr="00A7461A">
              <w:rPr>
                <w:sz w:val="20"/>
                <w:highlight w:val="yellow"/>
              </w:rPr>
              <w:t xml:space="preserve">Secure for the continuing availability of the frequency band 24.25-24.65 GHz, which is allocated to the radionavigation service, for use by ground-based radar systems </w:t>
            </w:r>
            <w:r w:rsidR="00574EF1">
              <w:rPr>
                <w:rFonts w:hint="eastAsia"/>
                <w:sz w:val="20"/>
                <w:highlight w:val="yellow"/>
                <w:lang w:eastAsia="ja-JP"/>
              </w:rPr>
              <w:t xml:space="preserve">in </w:t>
            </w:r>
            <w:r w:rsidR="00574EF1">
              <w:rPr>
                <w:sz w:val="20"/>
                <w:highlight w:val="yellow"/>
                <w:lang w:eastAsia="ja-JP"/>
              </w:rPr>
              <w:t>region</w:t>
            </w:r>
            <w:r w:rsidR="00574EF1">
              <w:rPr>
                <w:rFonts w:hint="eastAsia"/>
                <w:sz w:val="20"/>
                <w:highlight w:val="yellow"/>
                <w:lang w:eastAsia="ja-JP"/>
              </w:rPr>
              <w:t xml:space="preserve"> 2 and 3</w:t>
            </w:r>
            <w:r w:rsidRPr="00A7461A">
              <w:rPr>
                <w:sz w:val="20"/>
                <w:highlight w:val="yellow"/>
              </w:rPr>
              <w:t>.</w:t>
            </w:r>
          </w:p>
        </w:tc>
        <w:tc>
          <w:tcPr>
            <w:tcW w:w="993" w:type="dxa"/>
            <w:tcBorders>
              <w:left w:val="single" w:sz="4" w:space="0" w:color="auto"/>
            </w:tcBorders>
            <w:shd w:val="clear" w:color="auto" w:fill="auto"/>
          </w:tcPr>
          <w:p w14:paraId="0F600CFF" w14:textId="77777777" w:rsidR="00A3058D" w:rsidRPr="00A7461A" w:rsidRDefault="00A3058D" w:rsidP="00A7461A">
            <w:pPr>
              <w:spacing w:line="240" w:lineRule="exact"/>
              <w:jc w:val="left"/>
              <w:rPr>
                <w:sz w:val="20"/>
                <w:highlight w:val="yellow"/>
              </w:rPr>
            </w:pPr>
            <w:r w:rsidRPr="00A7461A">
              <w:rPr>
                <w:sz w:val="20"/>
                <w:highlight w:val="yellow"/>
              </w:rPr>
              <w:t>WRC-19 IMT will consider the possibility of sharing the band.</w:t>
            </w:r>
          </w:p>
        </w:tc>
        <w:tc>
          <w:tcPr>
            <w:tcW w:w="934" w:type="dxa"/>
            <w:gridSpan w:val="2"/>
            <w:tcBorders>
              <w:left w:val="single" w:sz="4" w:space="0" w:color="auto"/>
            </w:tcBorders>
            <w:shd w:val="clear" w:color="auto" w:fill="auto"/>
          </w:tcPr>
          <w:p w14:paraId="72DF4344" w14:textId="77777777" w:rsidR="00A3058D" w:rsidRPr="00A7461A" w:rsidRDefault="00A3058D" w:rsidP="00A7461A">
            <w:pPr>
              <w:spacing w:line="240" w:lineRule="exact"/>
              <w:jc w:val="left"/>
              <w:rPr>
                <w:sz w:val="20"/>
              </w:rPr>
            </w:pPr>
          </w:p>
        </w:tc>
      </w:tr>
      <w:tr w:rsidR="00A3058D" w:rsidRPr="00A7461A" w14:paraId="1C309AE0" w14:textId="77777777" w:rsidTr="00052DF4">
        <w:trPr>
          <w:gridAfter w:val="1"/>
          <w:wAfter w:w="13" w:type="dxa"/>
          <w:jc w:val="center"/>
        </w:trPr>
        <w:tc>
          <w:tcPr>
            <w:tcW w:w="1115" w:type="dxa"/>
            <w:shd w:val="clear" w:color="auto" w:fill="auto"/>
            <w:tcMar>
              <w:top w:w="100" w:type="dxa"/>
              <w:left w:w="100" w:type="dxa"/>
              <w:bottom w:w="100" w:type="dxa"/>
              <w:right w:w="100" w:type="dxa"/>
            </w:tcMar>
            <w:hideMark/>
          </w:tcPr>
          <w:p w14:paraId="6387C32B" w14:textId="77777777" w:rsidR="00A3058D" w:rsidRPr="00A7461A" w:rsidRDefault="00A3058D" w:rsidP="00A7461A">
            <w:pPr>
              <w:spacing w:line="240" w:lineRule="exact"/>
              <w:jc w:val="left"/>
              <w:rPr>
                <w:sz w:val="20"/>
              </w:rPr>
            </w:pPr>
            <w:r w:rsidRPr="00A7461A">
              <w:rPr>
                <w:sz w:val="20"/>
              </w:rPr>
              <w:t>31.8–33.4 GHz</w:t>
            </w:r>
          </w:p>
        </w:tc>
        <w:tc>
          <w:tcPr>
            <w:tcW w:w="1275" w:type="dxa"/>
            <w:shd w:val="clear" w:color="auto" w:fill="auto"/>
            <w:tcMar>
              <w:top w:w="100" w:type="dxa"/>
              <w:left w:w="100" w:type="dxa"/>
              <w:bottom w:w="100" w:type="dxa"/>
              <w:right w:w="100" w:type="dxa"/>
            </w:tcMar>
            <w:hideMark/>
          </w:tcPr>
          <w:p w14:paraId="6A5736D7" w14:textId="77777777" w:rsidR="00A3058D" w:rsidRPr="00A7461A" w:rsidRDefault="00A3058D" w:rsidP="00A7461A">
            <w:pPr>
              <w:spacing w:line="240" w:lineRule="exact"/>
              <w:jc w:val="left"/>
              <w:rPr>
                <w:sz w:val="20"/>
              </w:rPr>
            </w:pPr>
            <w:r w:rsidRPr="00A7461A">
              <w:rPr>
                <w:sz w:val="20"/>
              </w:rPr>
              <w:t>Primary surveillance radar</w:t>
            </w:r>
          </w:p>
        </w:tc>
        <w:tc>
          <w:tcPr>
            <w:tcW w:w="1276" w:type="dxa"/>
            <w:shd w:val="clear" w:color="auto" w:fill="auto"/>
            <w:tcMar>
              <w:top w:w="100" w:type="dxa"/>
              <w:left w:w="100" w:type="dxa"/>
              <w:bottom w:w="100" w:type="dxa"/>
              <w:right w:w="100" w:type="dxa"/>
            </w:tcMar>
            <w:hideMark/>
          </w:tcPr>
          <w:p w14:paraId="2EDFB75D" w14:textId="77777777" w:rsidR="00A3058D" w:rsidRPr="00A7461A" w:rsidRDefault="00A3058D" w:rsidP="00A7461A">
            <w:pPr>
              <w:spacing w:line="240" w:lineRule="exact"/>
              <w:jc w:val="left"/>
              <w:rPr>
                <w:sz w:val="20"/>
              </w:rPr>
            </w:pPr>
            <w:r w:rsidRPr="00A7461A">
              <w:rPr>
                <w:sz w:val="20"/>
              </w:rPr>
              <w:t>Long term</w:t>
            </w:r>
          </w:p>
        </w:tc>
        <w:tc>
          <w:tcPr>
            <w:tcW w:w="4398" w:type="dxa"/>
            <w:tcBorders>
              <w:right w:val="single" w:sz="4" w:space="0" w:color="auto"/>
            </w:tcBorders>
            <w:shd w:val="clear" w:color="auto" w:fill="auto"/>
            <w:tcMar>
              <w:top w:w="100" w:type="dxa"/>
              <w:left w:w="100" w:type="dxa"/>
              <w:bottom w:w="100" w:type="dxa"/>
              <w:right w:w="100" w:type="dxa"/>
            </w:tcMar>
            <w:hideMark/>
          </w:tcPr>
          <w:p w14:paraId="578A3BC8" w14:textId="77777777" w:rsidR="00A3058D" w:rsidRPr="00A7461A" w:rsidRDefault="00A3058D" w:rsidP="00A7461A">
            <w:pPr>
              <w:spacing w:line="240" w:lineRule="exact"/>
              <w:jc w:val="left"/>
              <w:rPr>
                <w:sz w:val="20"/>
              </w:rPr>
            </w:pPr>
            <w:r w:rsidRPr="00A7461A">
              <w:rPr>
                <w:sz w:val="20"/>
              </w:rPr>
              <w:t>Secure the continuing availability of the frequency band 31.8–33.4 GHz, which is allocated to the radionavigation service and used by primary surveillance radar, to support airport surveillance detection equipment (ASDE radar) on a global basis.</w:t>
            </w:r>
          </w:p>
        </w:tc>
        <w:tc>
          <w:tcPr>
            <w:tcW w:w="993" w:type="dxa"/>
            <w:tcBorders>
              <w:left w:val="single" w:sz="4" w:space="0" w:color="auto"/>
            </w:tcBorders>
            <w:shd w:val="clear" w:color="auto" w:fill="auto"/>
          </w:tcPr>
          <w:p w14:paraId="6D244F0E" w14:textId="77777777" w:rsidR="00A3058D" w:rsidRPr="00A7461A" w:rsidRDefault="00A3058D" w:rsidP="00A7461A">
            <w:pPr>
              <w:spacing w:line="240" w:lineRule="exact"/>
              <w:jc w:val="left"/>
              <w:rPr>
                <w:sz w:val="20"/>
              </w:rPr>
            </w:pPr>
            <w:r w:rsidRPr="00A7461A">
              <w:rPr>
                <w:sz w:val="20"/>
              </w:rPr>
              <w:t>WRC-19 IMT will consider the possibility of sharing the band.</w:t>
            </w:r>
          </w:p>
        </w:tc>
        <w:tc>
          <w:tcPr>
            <w:tcW w:w="921" w:type="dxa"/>
            <w:tcBorders>
              <w:left w:val="single" w:sz="4" w:space="0" w:color="auto"/>
            </w:tcBorders>
            <w:shd w:val="clear" w:color="auto" w:fill="auto"/>
          </w:tcPr>
          <w:p w14:paraId="24F9BF67" w14:textId="77777777" w:rsidR="00A3058D" w:rsidRPr="00A7461A" w:rsidRDefault="00A3058D" w:rsidP="00A7461A">
            <w:pPr>
              <w:spacing w:line="240" w:lineRule="exact"/>
              <w:jc w:val="left"/>
              <w:rPr>
                <w:sz w:val="20"/>
              </w:rPr>
            </w:pPr>
          </w:p>
        </w:tc>
      </w:tr>
    </w:tbl>
    <w:p w14:paraId="0FB24FA8" w14:textId="77777777" w:rsidR="000108BA" w:rsidRPr="00EF5EDB" w:rsidRDefault="000108BA" w:rsidP="00353F03">
      <w:pPr>
        <w:pStyle w:val="2para"/>
        <w:numPr>
          <w:ilvl w:val="0"/>
          <w:numId w:val="0"/>
        </w:numPr>
        <w:spacing w:line="260" w:lineRule="exact"/>
        <w:rPr>
          <w:lang w:eastAsia="ja-JP"/>
        </w:rPr>
      </w:pPr>
    </w:p>
    <w:p w14:paraId="46A6900F" w14:textId="77777777" w:rsidR="00770160" w:rsidRDefault="00770160">
      <w:pPr>
        <w:pStyle w:val="1Heading"/>
      </w:pPr>
      <w:r>
        <w:t>ACTION BY THE MEETING</w:t>
      </w:r>
    </w:p>
    <w:p w14:paraId="7EF179D8" w14:textId="77777777" w:rsidR="00770160" w:rsidRDefault="00770160">
      <w:pPr>
        <w:pStyle w:val="2para"/>
      </w:pPr>
      <w:r>
        <w:t>The meeting is invited to:</w:t>
      </w:r>
    </w:p>
    <w:p w14:paraId="10DC50FA" w14:textId="77777777" w:rsidR="00770160" w:rsidRDefault="00770160">
      <w:pPr>
        <w:pStyle w:val="Listabc"/>
      </w:pPr>
      <w:r>
        <w:rPr>
          <w:lang w:val="en-GB"/>
        </w:rPr>
        <w:t>n</w:t>
      </w:r>
      <w:r>
        <w:t>ote and review the contents of this working paper;</w:t>
      </w:r>
    </w:p>
    <w:p w14:paraId="6F1B43E2" w14:textId="77777777" w:rsidR="00574EF1" w:rsidRDefault="00770160" w:rsidP="00574EF1">
      <w:pPr>
        <w:pStyle w:val="Listabc"/>
        <w:rPr>
          <w:lang w:eastAsia="ja-JP"/>
        </w:rPr>
      </w:pPr>
      <w:r>
        <w:t xml:space="preserve">endorse the proposed </w:t>
      </w:r>
      <w:r w:rsidR="00353F03">
        <w:rPr>
          <w:rFonts w:hint="eastAsia"/>
          <w:lang w:eastAsia="ja-JP"/>
        </w:rPr>
        <w:t>modification</w:t>
      </w:r>
      <w:r w:rsidR="005E5B67">
        <w:t xml:space="preserve"> for development of </w:t>
      </w:r>
      <w:r w:rsidR="005E5B67" w:rsidRPr="00574EF1">
        <w:t>the ICAO WRC-19 Position</w:t>
      </w:r>
      <w:r w:rsidR="00574EF1">
        <w:rPr>
          <w:rFonts w:hint="eastAsia"/>
          <w:lang w:eastAsia="ja-JP"/>
        </w:rPr>
        <w:t xml:space="preserve"> as well as the </w:t>
      </w:r>
      <w:r w:rsidR="00574EF1" w:rsidRPr="00574EF1">
        <w:rPr>
          <w:lang w:eastAsia="ja-JP"/>
        </w:rPr>
        <w:t>relevant section of the Handbook on Radio Frequency Spectrum Requirements for Civil Aviation (Doc9718)</w:t>
      </w:r>
      <w:r w:rsidR="00574EF1">
        <w:rPr>
          <w:rFonts w:hint="eastAsia"/>
          <w:lang w:eastAsia="ja-JP"/>
        </w:rPr>
        <w:t xml:space="preserve"> </w:t>
      </w:r>
      <w:r w:rsidR="005E5B67">
        <w:t>.</w:t>
      </w:r>
    </w:p>
    <w:p w14:paraId="040836BB" w14:textId="77777777" w:rsidR="00574EF1" w:rsidRDefault="00574EF1" w:rsidP="00574EF1">
      <w:pPr>
        <w:pStyle w:val="Listabc"/>
        <w:numPr>
          <w:ilvl w:val="0"/>
          <w:numId w:val="0"/>
        </w:numPr>
        <w:ind w:left="1800"/>
        <w:rPr>
          <w:lang w:eastAsia="ja-JP"/>
        </w:rPr>
      </w:pPr>
    </w:p>
    <w:p w14:paraId="4A2860B3" w14:textId="77777777" w:rsidR="00A12CBA" w:rsidRDefault="00770160" w:rsidP="00574EF1">
      <w:pPr>
        <w:pStyle w:val="Listabc"/>
        <w:numPr>
          <w:ilvl w:val="0"/>
          <w:numId w:val="0"/>
        </w:numPr>
        <w:ind w:left="1800"/>
        <w:jc w:val="center"/>
        <w:rPr>
          <w:lang w:eastAsia="ja-JP"/>
        </w:rPr>
      </w:pPr>
      <w:r>
        <w:t>— END —</w:t>
      </w:r>
    </w:p>
    <w:sectPr w:rsidR="00A12CBA">
      <w:headerReference w:type="even" r:id="rId11"/>
      <w:headerReference w:type="default" r:id="rId12"/>
      <w:headerReference w:type="first" r:id="rId13"/>
      <w:footerReference w:type="first" r:id="rId14"/>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DFD375" w14:textId="77777777" w:rsidR="00664D81" w:rsidRDefault="00664D81">
      <w:r>
        <w:separator/>
      </w:r>
    </w:p>
  </w:endnote>
  <w:endnote w:type="continuationSeparator" w:id="0">
    <w:p w14:paraId="4C9EA6EA" w14:textId="77777777" w:rsidR="00664D81" w:rsidRDefault="00664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79E656" w14:textId="77777777" w:rsidR="00D56142" w:rsidRDefault="00D56142">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8E2935">
      <w:rPr>
        <w:noProof/>
        <w:sz w:val="18"/>
        <w:lang w:val="fr-FR"/>
      </w:rPr>
      <w:t>3</w:t>
    </w:r>
    <w:r>
      <w:rPr>
        <w:sz w:val="18"/>
        <w:lang w:val="en-US"/>
      </w:rPr>
      <w:fldChar w:fldCharType="end"/>
    </w:r>
    <w:r>
      <w:rPr>
        <w:sz w:val="18"/>
        <w:lang w:val="fr-FR"/>
      </w:rPr>
      <w:t xml:space="preserve"> pages)</w:t>
    </w:r>
  </w:p>
  <w:p w14:paraId="44863786" w14:textId="77777777" w:rsidR="00D56142" w:rsidRDefault="00D56142">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8E2935">
      <w:rPr>
        <w:noProof/>
        <w:sz w:val="18"/>
        <w:lang w:val="en-US"/>
      </w:rPr>
      <w:t>FSMP-WG03-WP03_ICAO Position AI 1.13 for WRC-19.docx</w:t>
    </w:r>
    <w:r>
      <w:rPr>
        <w:sz w:val="18"/>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5DC5A9" w14:textId="77777777" w:rsidR="00664D81" w:rsidRDefault="00664D81">
      <w:r>
        <w:separator/>
      </w:r>
    </w:p>
  </w:footnote>
  <w:footnote w:type="continuationSeparator" w:id="0">
    <w:p w14:paraId="7588BC77" w14:textId="77777777" w:rsidR="00664D81" w:rsidRDefault="00664D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B776D8" w14:textId="1B514466" w:rsidR="00D56142" w:rsidRDefault="00D56142" w:rsidP="008E2935">
    <w:pPr>
      <w:tabs>
        <w:tab w:val="center" w:pos="4876"/>
      </w:tabs>
      <w:spacing w:after="600"/>
    </w:pPr>
    <w:r>
      <w:t>FSMP</w:t>
    </w:r>
    <w:r w:rsidR="006A374C">
      <w:t>-WG/</w:t>
    </w:r>
    <w:r w:rsidR="008E2935">
      <w:t>3</w:t>
    </w:r>
    <w:r w:rsidR="006A374C">
      <w:t xml:space="preserve"> </w:t>
    </w:r>
    <w:r>
      <w:t>WP/</w:t>
    </w:r>
    <w:r w:rsidR="006A374C">
      <w:t>0</w:t>
    </w:r>
    <w:r w:rsidR="008E2935">
      <w:t>3</w:t>
    </w:r>
    <w:r>
      <w:tab/>
      <w:t xml:space="preserve">- </w:t>
    </w:r>
    <w:r>
      <w:rPr>
        <w:rStyle w:val="PageNumber"/>
      </w:rPr>
      <w:fldChar w:fldCharType="begin"/>
    </w:r>
    <w:r>
      <w:rPr>
        <w:rStyle w:val="PageNumber"/>
      </w:rPr>
      <w:instrText xml:space="preserve"> PAGE </w:instrText>
    </w:r>
    <w:r>
      <w:rPr>
        <w:rStyle w:val="PageNumber"/>
      </w:rPr>
      <w:fldChar w:fldCharType="separate"/>
    </w:r>
    <w:r w:rsidR="008E2935">
      <w:rPr>
        <w:rStyle w:val="PageNumber"/>
        <w:noProof/>
      </w:rPr>
      <w:t>2</w:t>
    </w:r>
    <w:r>
      <w:rPr>
        <w:rStyle w:val="PageNumber"/>
      </w:rPr>
      <w:fldChar w:fldCharType="end"/>
    </w:r>
    <w:r>
      <w:rPr>
        <w:rStyle w:val="PageNumbe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91664E" w14:textId="3BB63F4E" w:rsidR="00D56142" w:rsidRDefault="00D56142" w:rsidP="008E2935">
    <w:pPr>
      <w:tabs>
        <w:tab w:val="center" w:pos="4876"/>
        <w:tab w:val="left" w:pos="6480"/>
      </w:tabs>
      <w:spacing w:after="600"/>
      <w:rPr>
        <w:lang w:eastAsia="ja-JP"/>
      </w:rPr>
    </w:pPr>
    <w:r>
      <w:tab/>
      <w:t xml:space="preserve">- </w:t>
    </w:r>
    <w:r>
      <w:rPr>
        <w:rStyle w:val="PageNumber"/>
      </w:rPr>
      <w:fldChar w:fldCharType="begin"/>
    </w:r>
    <w:r>
      <w:rPr>
        <w:rStyle w:val="PageNumber"/>
      </w:rPr>
      <w:instrText xml:space="preserve"> PAGE </w:instrText>
    </w:r>
    <w:r>
      <w:rPr>
        <w:rStyle w:val="PageNumber"/>
      </w:rPr>
      <w:fldChar w:fldCharType="separate"/>
    </w:r>
    <w:r w:rsidR="008E2935">
      <w:rPr>
        <w:rStyle w:val="PageNumber"/>
        <w:noProof/>
      </w:rPr>
      <w:t>3</w:t>
    </w:r>
    <w:r>
      <w:rPr>
        <w:rStyle w:val="PageNumber"/>
      </w:rPr>
      <w:fldChar w:fldCharType="end"/>
    </w:r>
    <w:r>
      <w:rPr>
        <w:rStyle w:val="PageNumber"/>
      </w:rPr>
      <w:t xml:space="preserve"> -</w:t>
    </w:r>
    <w:r>
      <w:rPr>
        <w:rStyle w:val="PageNumber"/>
      </w:rPr>
      <w:tab/>
    </w:r>
    <w:r>
      <w:t>FSMP</w:t>
    </w:r>
    <w:r w:rsidR="006A374C">
      <w:t>-WG/</w:t>
    </w:r>
    <w:r w:rsidR="00085857">
      <w:rPr>
        <w:rFonts w:hint="eastAsia"/>
        <w:lang w:eastAsia="ja-JP"/>
      </w:rPr>
      <w:t>3</w:t>
    </w:r>
    <w:r w:rsidR="006A374C">
      <w:t xml:space="preserve"> </w:t>
    </w:r>
    <w:r>
      <w:t>WP/</w:t>
    </w:r>
    <w:r w:rsidR="008E2935">
      <w:t>03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D56142" w14:paraId="58EF1B25" w14:textId="77777777" w:rsidTr="00664C07">
      <w:trPr>
        <w:trHeight w:val="1790"/>
      </w:trPr>
      <w:tc>
        <w:tcPr>
          <w:tcW w:w="1915" w:type="dxa"/>
          <w:shd w:val="clear" w:color="auto" w:fill="FFFFFF"/>
        </w:tcPr>
        <w:p w14:paraId="738D319A" w14:textId="77777777" w:rsidR="00D56142" w:rsidRDefault="006D13F7" w:rsidP="00664C07">
          <w:bookmarkStart w:id="3" w:name="logo"/>
          <w:r>
            <w:rPr>
              <w:noProof/>
              <w:lang w:eastAsia="zh-CN"/>
            </w:rPr>
            <w:drawing>
              <wp:inline distT="0" distB="0" distL="0" distR="0" wp14:anchorId="18F65617" wp14:editId="3D517A89">
                <wp:extent cx="1085850" cy="876300"/>
                <wp:effectExtent l="0" t="0" r="0" b="0"/>
                <wp:docPr id="4"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3"/>
        </w:p>
      </w:tc>
      <w:tc>
        <w:tcPr>
          <w:tcW w:w="3895" w:type="dxa"/>
          <w:shd w:val="clear" w:color="auto" w:fill="FFFFFF"/>
          <w:tcMar>
            <w:right w:w="0" w:type="dxa"/>
          </w:tcMar>
        </w:tcPr>
        <w:p w14:paraId="0AB4E57F" w14:textId="77777777" w:rsidR="00D56142" w:rsidRPr="00066AB7" w:rsidRDefault="006D13F7" w:rsidP="00664C07">
          <w:pPr>
            <w:rPr>
              <w:rFonts w:ascii="Arial" w:hAnsi="Arial" w:cs="Arial"/>
              <w:szCs w:val="22"/>
            </w:rPr>
          </w:pPr>
          <w:r>
            <w:rPr>
              <w:rFonts w:ascii="Arial" w:hAnsi="Arial" w:cs="Arial"/>
              <w:noProof/>
              <w:szCs w:val="22"/>
              <w:lang w:eastAsia="zh-CN"/>
            </w:rPr>
            <mc:AlternateContent>
              <mc:Choice Requires="wps">
                <w:drawing>
                  <wp:anchor distT="0" distB="0" distL="114300" distR="114300" simplePos="0" relativeHeight="251657728" behindDoc="0" locked="0" layoutInCell="1" allowOverlap="1" wp14:anchorId="79D6ACDD" wp14:editId="3BB284FC">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C23D52B" id="Line 1"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7WEg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5kWaPqVgGr2dJaS8BRrr/AeuexQmFZagORKT48Z5kA7QGyTco/RaSBnN&#10;lgoNFZ5P8kkMcFoKFg4DzNn9rpYWHUlol/iFOgDZA8zqg2KRrOOEra5zT4S8zAEvVeCDVEDOdXbp&#10;h2/zdL6arWbFqMinq1GRNs3o/bouRtN19m7SPDV13WTfg7SsKDvBGFdB3a03s+LvvL++kktX3bvz&#10;XobkkT2mCGJv/yg6ehnsuzTCTrPz1oZqBFuhHSP4+nRCv/+6jqifD3z5Aw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KfVPtYS&#10;AgAAKAQAAA4AAAAAAAAAAAAAAAAALgIAAGRycy9lMm9Eb2MueG1sUEsBAi0AFAAGAAgAAAAhABes&#10;0mLbAAAABwEAAA8AAAAAAAAAAAAAAAAAbAQAAGRycy9kb3ducmV2LnhtbFBLBQYAAAAABAAEAPMA&#10;AAB0BQAAAAA=&#10;"/>
                </w:pict>
              </mc:Fallback>
            </mc:AlternateContent>
          </w:r>
        </w:p>
        <w:p w14:paraId="58D4F90D" w14:textId="77777777" w:rsidR="00D56142" w:rsidRPr="00066AB7" w:rsidRDefault="00D56142" w:rsidP="00664C07">
          <w:pPr>
            <w:rPr>
              <w:rFonts w:ascii="Arial" w:hAnsi="Arial" w:cs="Arial"/>
              <w:szCs w:val="22"/>
            </w:rPr>
          </w:pPr>
          <w:r w:rsidRPr="00066AB7">
            <w:rPr>
              <w:rFonts w:ascii="Arial" w:hAnsi="Arial" w:cs="Arial"/>
              <w:szCs w:val="22"/>
            </w:rPr>
            <w:t>International Civil Aviation Organization</w:t>
          </w:r>
        </w:p>
        <w:p w14:paraId="7D633F3C" w14:textId="77777777" w:rsidR="00D56142" w:rsidRPr="00066AB7" w:rsidRDefault="00D56142" w:rsidP="00664C07">
          <w:pPr>
            <w:rPr>
              <w:rFonts w:ascii="Arial" w:hAnsi="Arial" w:cs="Arial"/>
              <w:szCs w:val="22"/>
            </w:rPr>
          </w:pPr>
        </w:p>
        <w:p w14:paraId="637DE6FE" w14:textId="77777777" w:rsidR="00D56142" w:rsidRPr="00066AB7" w:rsidRDefault="00D56142"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74"/>
          </w:tblGrid>
          <w:tr w:rsidR="00D56142" w14:paraId="088A1ADE" w14:textId="77777777" w:rsidTr="00664C07">
            <w:trPr>
              <w:jc w:val="right"/>
            </w:trPr>
            <w:tc>
              <w:tcPr>
                <w:tcW w:w="0" w:type="auto"/>
              </w:tcPr>
              <w:p w14:paraId="70138466" w14:textId="59A39ACE" w:rsidR="00D56142" w:rsidRPr="00066AB7" w:rsidRDefault="00D56142" w:rsidP="008E2935">
                <w:pPr>
                  <w:framePr w:hSpace="180" w:wrap="around" w:vAnchor="text" w:hAnchor="text" w:y="1"/>
                  <w:suppressOverlap/>
                  <w:jc w:val="left"/>
                  <w:rPr>
                    <w:szCs w:val="22"/>
                    <w:lang w:eastAsia="ja-JP"/>
                  </w:rPr>
                </w:pPr>
                <w:bookmarkStart w:id="4" w:name="document_no"/>
                <w:r>
                  <w:rPr>
                    <w:szCs w:val="22"/>
                  </w:rPr>
                  <w:t>FSMP</w:t>
                </w:r>
                <w:r w:rsidR="00E3318C">
                  <w:rPr>
                    <w:szCs w:val="22"/>
                  </w:rPr>
                  <w:t>-WG</w:t>
                </w:r>
                <w:r w:rsidRPr="00066AB7">
                  <w:rPr>
                    <w:szCs w:val="22"/>
                  </w:rPr>
                  <w:t>/</w:t>
                </w:r>
                <w:r w:rsidR="006D13F7">
                  <w:rPr>
                    <w:rFonts w:hint="eastAsia"/>
                    <w:szCs w:val="22"/>
                    <w:lang w:eastAsia="ja-JP"/>
                  </w:rPr>
                  <w:t>3</w:t>
                </w:r>
                <w:r w:rsidRPr="00066AB7">
                  <w:rPr>
                    <w:szCs w:val="22"/>
                  </w:rPr>
                  <w:t>-WP/</w:t>
                </w:r>
                <w:bookmarkEnd w:id="4"/>
                <w:r w:rsidR="008E2935">
                  <w:rPr>
                    <w:szCs w:val="22"/>
                  </w:rPr>
                  <w:t>03</w:t>
                </w:r>
              </w:p>
              <w:p w14:paraId="37CB2D00" w14:textId="1B96463B" w:rsidR="00D56142" w:rsidRPr="00066AB7" w:rsidRDefault="00E3318C" w:rsidP="008E2935">
                <w:pPr>
                  <w:framePr w:hSpace="180" w:wrap="around" w:vAnchor="text" w:hAnchor="text" w:y="1"/>
                  <w:suppressOverlap/>
                  <w:jc w:val="left"/>
                  <w:rPr>
                    <w:b/>
                  </w:rPr>
                </w:pPr>
                <w:bookmarkStart w:id="5" w:name="restricted"/>
                <w:bookmarkStart w:id="6" w:name="addendum_corrigendum_appendix"/>
                <w:bookmarkStart w:id="7" w:name="revision_no"/>
                <w:bookmarkStart w:id="8" w:name="revision_date"/>
                <w:bookmarkStart w:id="9" w:name="related_to"/>
                <w:bookmarkStart w:id="10" w:name="date"/>
                <w:bookmarkEnd w:id="5"/>
                <w:bookmarkEnd w:id="6"/>
                <w:bookmarkEnd w:id="7"/>
                <w:bookmarkEnd w:id="8"/>
                <w:bookmarkEnd w:id="9"/>
                <w:r>
                  <w:rPr>
                    <w:sz w:val="18"/>
                    <w:szCs w:val="18"/>
                  </w:rPr>
                  <w:t>201</w:t>
                </w:r>
                <w:bookmarkEnd w:id="10"/>
                <w:r>
                  <w:rPr>
                    <w:sz w:val="18"/>
                    <w:szCs w:val="18"/>
                  </w:rPr>
                  <w:t>6-</w:t>
                </w:r>
                <w:r w:rsidR="009D46BF">
                  <w:rPr>
                    <w:rFonts w:hint="eastAsia"/>
                    <w:sz w:val="18"/>
                    <w:szCs w:val="18"/>
                    <w:lang w:eastAsia="ja-JP"/>
                  </w:rPr>
                  <w:t>0</w:t>
                </w:r>
                <w:r w:rsidR="008E2935">
                  <w:rPr>
                    <w:sz w:val="18"/>
                    <w:szCs w:val="18"/>
                    <w:lang w:eastAsia="ja-JP"/>
                  </w:rPr>
                  <w:t>8</w:t>
                </w:r>
                <w:r>
                  <w:rPr>
                    <w:sz w:val="18"/>
                    <w:szCs w:val="18"/>
                  </w:rPr>
                  <w:t>-</w:t>
                </w:r>
                <w:r w:rsidR="008E2935">
                  <w:rPr>
                    <w:sz w:val="18"/>
                    <w:szCs w:val="18"/>
                  </w:rPr>
                  <w:t>22</w:t>
                </w:r>
                <w:r w:rsidR="00D56142" w:rsidRPr="00066AB7">
                  <w:rPr>
                    <w:b/>
                    <w:sz w:val="18"/>
                    <w:szCs w:val="18"/>
                  </w:rPr>
                  <w:t xml:space="preserve"> </w:t>
                </w:r>
                <w:bookmarkStart w:id="11" w:name="info_paper"/>
                <w:bookmarkEnd w:id="11"/>
              </w:p>
            </w:tc>
          </w:tr>
          <w:tr w:rsidR="00D56142" w14:paraId="5B43D5AB" w14:textId="77777777" w:rsidTr="00664C07">
            <w:trPr>
              <w:jc w:val="right"/>
            </w:trPr>
            <w:tc>
              <w:tcPr>
                <w:tcW w:w="0" w:type="auto"/>
              </w:tcPr>
              <w:p w14:paraId="35355D2A" w14:textId="77777777" w:rsidR="00D56142" w:rsidRPr="00066AB7" w:rsidRDefault="00D56142" w:rsidP="008E2935">
                <w:pPr>
                  <w:framePr w:hSpace="180" w:wrap="around" w:vAnchor="text" w:hAnchor="text" w:y="1"/>
                  <w:suppressOverlap/>
                  <w:jc w:val="left"/>
                  <w:rPr>
                    <w:szCs w:val="22"/>
                  </w:rPr>
                </w:pPr>
              </w:p>
            </w:tc>
          </w:tr>
        </w:tbl>
        <w:p w14:paraId="5468F0EA" w14:textId="77777777" w:rsidR="00D56142" w:rsidRPr="00066AB7" w:rsidRDefault="00D56142" w:rsidP="00664C07">
          <w:pPr>
            <w:tabs>
              <w:tab w:val="left" w:pos="720"/>
              <w:tab w:val="left" w:pos="1440"/>
              <w:tab w:val="left" w:pos="1800"/>
              <w:tab w:val="left" w:pos="2160"/>
              <w:tab w:val="left" w:pos="2520"/>
              <w:tab w:val="left" w:pos="2880"/>
            </w:tabs>
            <w:ind w:left="4320"/>
            <w:rPr>
              <w:b/>
              <w:sz w:val="18"/>
              <w:szCs w:val="18"/>
            </w:rPr>
          </w:pPr>
        </w:p>
      </w:tc>
    </w:tr>
  </w:tbl>
  <w:p w14:paraId="67F147FC" w14:textId="77777777" w:rsidR="00D56142" w:rsidRDefault="00D56142">
    <w:pPr>
      <w:pStyle w:val="3para"/>
      <w:numPr>
        <w:ilvl w:val="0"/>
        <w:numId w:val="0"/>
      </w:numPr>
      <w:tabs>
        <w:tab w:val="left" w:pos="6480"/>
      </w:tabs>
      <w:spacing w:after="0"/>
      <w:outlineLvl w:val="9"/>
    </w:pPr>
    <w:r>
      <w:tab/>
      <w:t>ATMRPP-WG/WHL/4-WP/</w:t>
    </w:r>
  </w:p>
  <w:p w14:paraId="2E637DD1" w14:textId="77777777" w:rsidR="00D56142" w:rsidRDefault="00D56142">
    <w:pPr>
      <w:pStyle w:val="smallfont"/>
      <w:tabs>
        <w:tab w:val="clear" w:pos="6660"/>
        <w:tab w:val="left" w:pos="6480"/>
      </w:tabs>
      <w:spacing w:after="600"/>
      <w:rPr>
        <w:b/>
      </w:rPr>
    </w:pPr>
    <w:r>
      <w:tab/>
      <w:t>.././06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nsid w:val="1E763F57"/>
    <w:multiLevelType w:val="hybridMultilevel"/>
    <w:tmpl w:val="059C74D2"/>
    <w:lvl w:ilvl="0" w:tplc="F312B90E">
      <w:start w:val="24"/>
      <w:numFmt w:val="bullet"/>
      <w:lvlText w:val="・"/>
      <w:lvlJc w:val="left"/>
      <w:pPr>
        <w:ind w:left="360" w:hanging="360"/>
      </w:pPr>
      <w:rPr>
        <w:rFonts w:ascii="MS Mincho" w:eastAsia="MS Mincho" w:hAnsi="MS Minch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3">
    <w:nsid w:val="1FCC02A8"/>
    <w:multiLevelType w:val="hybridMultilevel"/>
    <w:tmpl w:val="82D229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706657"/>
    <w:multiLevelType w:val="hybridMultilevel"/>
    <w:tmpl w:val="297607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6">
    <w:nsid w:val="674E637C"/>
    <w:multiLevelType w:val="singleLevel"/>
    <w:tmpl w:val="A1AE11B4"/>
    <w:lvl w:ilvl="0">
      <w:start w:val="1"/>
      <w:numFmt w:val="lowerLetter"/>
      <w:pStyle w:val="Listabc"/>
      <w:lvlText w:val="%1)"/>
      <w:lvlJc w:val="left"/>
      <w:pPr>
        <w:tabs>
          <w:tab w:val="num" w:pos="360"/>
        </w:tabs>
        <w:ind w:left="360" w:hanging="360"/>
      </w:pPr>
      <w:rPr>
        <w:color w:val="auto"/>
      </w:rPr>
    </w:lvl>
  </w:abstractNum>
  <w:num w:numId="1">
    <w:abstractNumId w:val="5"/>
  </w:num>
  <w:num w:numId="2">
    <w:abstractNumId w:val="6"/>
  </w:num>
  <w:num w:numId="3">
    <w:abstractNumId w:val="2"/>
  </w:num>
  <w:num w:numId="4">
    <w:abstractNumId w:val="0"/>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160"/>
    <w:rsid w:val="000108BA"/>
    <w:rsid w:val="00021A72"/>
    <w:rsid w:val="0002258B"/>
    <w:rsid w:val="000273D2"/>
    <w:rsid w:val="00052DF4"/>
    <w:rsid w:val="00064419"/>
    <w:rsid w:val="000658B8"/>
    <w:rsid w:val="00085857"/>
    <w:rsid w:val="00094853"/>
    <w:rsid w:val="000A6A50"/>
    <w:rsid w:val="000D26D5"/>
    <w:rsid w:val="000F6320"/>
    <w:rsid w:val="0011230F"/>
    <w:rsid w:val="00177C6A"/>
    <w:rsid w:val="001B23C0"/>
    <w:rsid w:val="002352C7"/>
    <w:rsid w:val="00247E38"/>
    <w:rsid w:val="00256392"/>
    <w:rsid w:val="00257D53"/>
    <w:rsid w:val="002763CB"/>
    <w:rsid w:val="00287A77"/>
    <w:rsid w:val="0029799D"/>
    <w:rsid w:val="002A55FD"/>
    <w:rsid w:val="002C0F35"/>
    <w:rsid w:val="002C74CC"/>
    <w:rsid w:val="0031377F"/>
    <w:rsid w:val="003203FA"/>
    <w:rsid w:val="003416DE"/>
    <w:rsid w:val="00353F03"/>
    <w:rsid w:val="00392B86"/>
    <w:rsid w:val="003A4A28"/>
    <w:rsid w:val="003C268C"/>
    <w:rsid w:val="003D1BCA"/>
    <w:rsid w:val="003D7FD8"/>
    <w:rsid w:val="0043743C"/>
    <w:rsid w:val="004735BC"/>
    <w:rsid w:val="0049280E"/>
    <w:rsid w:val="004B1838"/>
    <w:rsid w:val="004F74A8"/>
    <w:rsid w:val="005072CB"/>
    <w:rsid w:val="00514DB5"/>
    <w:rsid w:val="0053099E"/>
    <w:rsid w:val="00535ED4"/>
    <w:rsid w:val="00574EF1"/>
    <w:rsid w:val="0059168F"/>
    <w:rsid w:val="005A1269"/>
    <w:rsid w:val="005B5026"/>
    <w:rsid w:val="005E5B67"/>
    <w:rsid w:val="00625E2A"/>
    <w:rsid w:val="00664C07"/>
    <w:rsid w:val="00664D81"/>
    <w:rsid w:val="00687D61"/>
    <w:rsid w:val="006A374C"/>
    <w:rsid w:val="006D13F7"/>
    <w:rsid w:val="00725205"/>
    <w:rsid w:val="00770160"/>
    <w:rsid w:val="007816A9"/>
    <w:rsid w:val="007863A5"/>
    <w:rsid w:val="00790F88"/>
    <w:rsid w:val="007A5B21"/>
    <w:rsid w:val="007C6212"/>
    <w:rsid w:val="007F4878"/>
    <w:rsid w:val="008003FB"/>
    <w:rsid w:val="0080319F"/>
    <w:rsid w:val="00803F9E"/>
    <w:rsid w:val="00831FD5"/>
    <w:rsid w:val="00832FE8"/>
    <w:rsid w:val="00847692"/>
    <w:rsid w:val="00860FB4"/>
    <w:rsid w:val="00872D14"/>
    <w:rsid w:val="0089274C"/>
    <w:rsid w:val="008B04E2"/>
    <w:rsid w:val="008B51DF"/>
    <w:rsid w:val="008B54C4"/>
    <w:rsid w:val="008E2935"/>
    <w:rsid w:val="00902855"/>
    <w:rsid w:val="00920C27"/>
    <w:rsid w:val="009526CE"/>
    <w:rsid w:val="009D34D0"/>
    <w:rsid w:val="009D46BF"/>
    <w:rsid w:val="009E4773"/>
    <w:rsid w:val="009F2595"/>
    <w:rsid w:val="009F6703"/>
    <w:rsid w:val="009F7DAB"/>
    <w:rsid w:val="00A03CFF"/>
    <w:rsid w:val="00A10E02"/>
    <w:rsid w:val="00A12CBA"/>
    <w:rsid w:val="00A232A8"/>
    <w:rsid w:val="00A3058D"/>
    <w:rsid w:val="00A43226"/>
    <w:rsid w:val="00A57430"/>
    <w:rsid w:val="00A7461A"/>
    <w:rsid w:val="00A7534C"/>
    <w:rsid w:val="00AA3733"/>
    <w:rsid w:val="00AC4360"/>
    <w:rsid w:val="00AD1E2A"/>
    <w:rsid w:val="00B32EA2"/>
    <w:rsid w:val="00B5108D"/>
    <w:rsid w:val="00BB18DB"/>
    <w:rsid w:val="00C30DC6"/>
    <w:rsid w:val="00C45914"/>
    <w:rsid w:val="00C558F9"/>
    <w:rsid w:val="00C7198D"/>
    <w:rsid w:val="00CF72A2"/>
    <w:rsid w:val="00D56142"/>
    <w:rsid w:val="00DB171D"/>
    <w:rsid w:val="00DF76D3"/>
    <w:rsid w:val="00E25462"/>
    <w:rsid w:val="00E3318C"/>
    <w:rsid w:val="00E77340"/>
    <w:rsid w:val="00E96AE9"/>
    <w:rsid w:val="00EF07D3"/>
    <w:rsid w:val="00EF3E24"/>
    <w:rsid w:val="00EF5EDB"/>
    <w:rsid w:val="00F420AC"/>
    <w:rsid w:val="00F4483C"/>
    <w:rsid w:val="00F46C48"/>
    <w:rsid w:val="00FD1EB4"/>
    <w:rsid w:val="00FE3FAB"/>
    <w:rsid w:val="00FF4A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3626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43C"/>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FootnoteText">
    <w:name w:val="footnote text"/>
    <w:basedOn w:val="Normal"/>
    <w:link w:val="FootnoteTextChar"/>
    <w:rsid w:val="000A6A50"/>
    <w:rPr>
      <w:sz w:val="20"/>
    </w:rPr>
  </w:style>
  <w:style w:type="paragraph" w:customStyle="1" w:styleId="Blockquote">
    <w:name w:val="Blockquote"/>
    <w:basedOn w:val="Normal"/>
    <w:pPr>
      <w:spacing w:after="240"/>
      <w:ind w:left="1440"/>
      <w:jc w:val="center"/>
    </w:pPr>
    <w:rPr>
      <w:b/>
      <w:sz w:val="24"/>
      <w:lang w:val="en-US"/>
    </w:rPr>
  </w:style>
  <w:style w:type="character" w:customStyle="1" w:styleId="FootnoteTextChar">
    <w:name w:val="Footnote Text Char"/>
    <w:link w:val="FootnoteText"/>
    <w:rsid w:val="000A6A50"/>
    <w:rPr>
      <w:lang w:val="en-GB"/>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FR,Ref"/>
    <w:uiPriority w:val="99"/>
    <w:rsid w:val="000A6A50"/>
    <w:rPr>
      <w:position w:val="6"/>
      <w:sz w:val="18"/>
    </w:rPr>
  </w:style>
  <w:style w:type="paragraph" w:customStyle="1" w:styleId="AnnexNo">
    <w:name w:val="Annex_No"/>
    <w:basedOn w:val="Normal"/>
    <w:next w:val="Normal"/>
    <w:uiPriority w:val="99"/>
    <w:rsid w:val="000A6A50"/>
    <w:pPr>
      <w:keepNext/>
      <w:keepLines/>
      <w:tabs>
        <w:tab w:val="left" w:pos="1134"/>
        <w:tab w:val="left" w:pos="1871"/>
        <w:tab w:val="left" w:pos="2268"/>
      </w:tabs>
      <w:overflowPunct w:val="0"/>
      <w:autoSpaceDE w:val="0"/>
      <w:autoSpaceDN w:val="0"/>
      <w:adjustRightInd w:val="0"/>
      <w:spacing w:before="480" w:after="80"/>
      <w:jc w:val="center"/>
      <w:textAlignment w:val="baseline"/>
    </w:pPr>
    <w:rPr>
      <w:caps/>
      <w:sz w:val="28"/>
    </w:rPr>
  </w:style>
  <w:style w:type="paragraph" w:styleId="BalloonText">
    <w:name w:val="Balloon Text"/>
    <w:basedOn w:val="Normal"/>
    <w:link w:val="BalloonTextChar"/>
    <w:rsid w:val="005A1269"/>
    <w:rPr>
      <w:rFonts w:ascii="Tahoma" w:hAnsi="Tahoma" w:cs="Tahoma"/>
      <w:sz w:val="16"/>
      <w:szCs w:val="16"/>
    </w:rPr>
  </w:style>
  <w:style w:type="character" w:customStyle="1" w:styleId="BalloonTextChar">
    <w:name w:val="Balloon Text Char"/>
    <w:link w:val="BalloonText"/>
    <w:rsid w:val="005A1269"/>
    <w:rPr>
      <w:rFonts w:ascii="Tahoma" w:hAnsi="Tahoma" w:cs="Tahoma"/>
      <w:sz w:val="16"/>
      <w:szCs w:val="16"/>
      <w:lang w:eastAsia="en-US"/>
    </w:rPr>
  </w:style>
  <w:style w:type="paragraph" w:styleId="Date">
    <w:name w:val="Date"/>
    <w:basedOn w:val="Normal"/>
    <w:next w:val="Normal"/>
    <w:link w:val="DateChar"/>
    <w:rsid w:val="005B5026"/>
  </w:style>
  <w:style w:type="character" w:customStyle="1" w:styleId="DateChar">
    <w:name w:val="Date Char"/>
    <w:basedOn w:val="DefaultParagraphFont"/>
    <w:link w:val="Date"/>
    <w:rsid w:val="005B5026"/>
    <w:rPr>
      <w:sz w:val="22"/>
      <w:lang w:val="en-GB" w:eastAsia="en-US"/>
    </w:rPr>
  </w:style>
  <w:style w:type="character" w:styleId="CommentReference">
    <w:name w:val="annotation reference"/>
    <w:basedOn w:val="DefaultParagraphFont"/>
    <w:semiHidden/>
    <w:unhideWhenUsed/>
    <w:rsid w:val="001B23C0"/>
    <w:rPr>
      <w:sz w:val="18"/>
      <w:szCs w:val="18"/>
    </w:rPr>
  </w:style>
  <w:style w:type="paragraph" w:styleId="CommentText">
    <w:name w:val="annotation text"/>
    <w:basedOn w:val="Normal"/>
    <w:link w:val="CommentTextChar"/>
    <w:semiHidden/>
    <w:unhideWhenUsed/>
    <w:rsid w:val="001B23C0"/>
    <w:pPr>
      <w:jc w:val="left"/>
    </w:pPr>
  </w:style>
  <w:style w:type="character" w:customStyle="1" w:styleId="CommentTextChar">
    <w:name w:val="Comment Text Char"/>
    <w:basedOn w:val="DefaultParagraphFont"/>
    <w:link w:val="CommentText"/>
    <w:semiHidden/>
    <w:rsid w:val="001B23C0"/>
    <w:rPr>
      <w:sz w:val="22"/>
      <w:lang w:val="en-GB" w:eastAsia="en-US"/>
    </w:rPr>
  </w:style>
  <w:style w:type="paragraph" w:styleId="CommentSubject">
    <w:name w:val="annotation subject"/>
    <w:basedOn w:val="CommentText"/>
    <w:next w:val="CommentText"/>
    <w:link w:val="CommentSubjectChar"/>
    <w:semiHidden/>
    <w:unhideWhenUsed/>
    <w:rsid w:val="001B23C0"/>
    <w:rPr>
      <w:b/>
      <w:bCs/>
    </w:rPr>
  </w:style>
  <w:style w:type="character" w:customStyle="1" w:styleId="CommentSubjectChar">
    <w:name w:val="Comment Subject Char"/>
    <w:basedOn w:val="CommentTextChar"/>
    <w:link w:val="CommentSubject"/>
    <w:semiHidden/>
    <w:rsid w:val="001B23C0"/>
    <w:rPr>
      <w:b/>
      <w:bCs/>
      <w:sz w:val="22"/>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43C"/>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FootnoteText">
    <w:name w:val="footnote text"/>
    <w:basedOn w:val="Normal"/>
    <w:link w:val="FootnoteTextChar"/>
    <w:rsid w:val="000A6A50"/>
    <w:rPr>
      <w:sz w:val="20"/>
    </w:rPr>
  </w:style>
  <w:style w:type="paragraph" w:customStyle="1" w:styleId="Blockquote">
    <w:name w:val="Blockquote"/>
    <w:basedOn w:val="Normal"/>
    <w:pPr>
      <w:spacing w:after="240"/>
      <w:ind w:left="1440"/>
      <w:jc w:val="center"/>
    </w:pPr>
    <w:rPr>
      <w:b/>
      <w:sz w:val="24"/>
      <w:lang w:val="en-US"/>
    </w:rPr>
  </w:style>
  <w:style w:type="character" w:customStyle="1" w:styleId="FootnoteTextChar">
    <w:name w:val="Footnote Text Char"/>
    <w:link w:val="FootnoteText"/>
    <w:rsid w:val="000A6A50"/>
    <w:rPr>
      <w:lang w:val="en-GB"/>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FR,Ref"/>
    <w:uiPriority w:val="99"/>
    <w:rsid w:val="000A6A50"/>
    <w:rPr>
      <w:position w:val="6"/>
      <w:sz w:val="18"/>
    </w:rPr>
  </w:style>
  <w:style w:type="paragraph" w:customStyle="1" w:styleId="AnnexNo">
    <w:name w:val="Annex_No"/>
    <w:basedOn w:val="Normal"/>
    <w:next w:val="Normal"/>
    <w:uiPriority w:val="99"/>
    <w:rsid w:val="000A6A50"/>
    <w:pPr>
      <w:keepNext/>
      <w:keepLines/>
      <w:tabs>
        <w:tab w:val="left" w:pos="1134"/>
        <w:tab w:val="left" w:pos="1871"/>
        <w:tab w:val="left" w:pos="2268"/>
      </w:tabs>
      <w:overflowPunct w:val="0"/>
      <w:autoSpaceDE w:val="0"/>
      <w:autoSpaceDN w:val="0"/>
      <w:adjustRightInd w:val="0"/>
      <w:spacing w:before="480" w:after="80"/>
      <w:jc w:val="center"/>
      <w:textAlignment w:val="baseline"/>
    </w:pPr>
    <w:rPr>
      <w:caps/>
      <w:sz w:val="28"/>
    </w:rPr>
  </w:style>
  <w:style w:type="paragraph" w:styleId="BalloonText">
    <w:name w:val="Balloon Text"/>
    <w:basedOn w:val="Normal"/>
    <w:link w:val="BalloonTextChar"/>
    <w:rsid w:val="005A1269"/>
    <w:rPr>
      <w:rFonts w:ascii="Tahoma" w:hAnsi="Tahoma" w:cs="Tahoma"/>
      <w:sz w:val="16"/>
      <w:szCs w:val="16"/>
    </w:rPr>
  </w:style>
  <w:style w:type="character" w:customStyle="1" w:styleId="BalloonTextChar">
    <w:name w:val="Balloon Text Char"/>
    <w:link w:val="BalloonText"/>
    <w:rsid w:val="005A1269"/>
    <w:rPr>
      <w:rFonts w:ascii="Tahoma" w:hAnsi="Tahoma" w:cs="Tahoma"/>
      <w:sz w:val="16"/>
      <w:szCs w:val="16"/>
      <w:lang w:eastAsia="en-US"/>
    </w:rPr>
  </w:style>
  <w:style w:type="paragraph" w:styleId="Date">
    <w:name w:val="Date"/>
    <w:basedOn w:val="Normal"/>
    <w:next w:val="Normal"/>
    <w:link w:val="DateChar"/>
    <w:rsid w:val="005B5026"/>
  </w:style>
  <w:style w:type="character" w:customStyle="1" w:styleId="DateChar">
    <w:name w:val="Date Char"/>
    <w:basedOn w:val="DefaultParagraphFont"/>
    <w:link w:val="Date"/>
    <w:rsid w:val="005B5026"/>
    <w:rPr>
      <w:sz w:val="22"/>
      <w:lang w:val="en-GB" w:eastAsia="en-US"/>
    </w:rPr>
  </w:style>
  <w:style w:type="character" w:styleId="CommentReference">
    <w:name w:val="annotation reference"/>
    <w:basedOn w:val="DefaultParagraphFont"/>
    <w:semiHidden/>
    <w:unhideWhenUsed/>
    <w:rsid w:val="001B23C0"/>
    <w:rPr>
      <w:sz w:val="18"/>
      <w:szCs w:val="18"/>
    </w:rPr>
  </w:style>
  <w:style w:type="paragraph" w:styleId="CommentText">
    <w:name w:val="annotation text"/>
    <w:basedOn w:val="Normal"/>
    <w:link w:val="CommentTextChar"/>
    <w:semiHidden/>
    <w:unhideWhenUsed/>
    <w:rsid w:val="001B23C0"/>
    <w:pPr>
      <w:jc w:val="left"/>
    </w:pPr>
  </w:style>
  <w:style w:type="character" w:customStyle="1" w:styleId="CommentTextChar">
    <w:name w:val="Comment Text Char"/>
    <w:basedOn w:val="DefaultParagraphFont"/>
    <w:link w:val="CommentText"/>
    <w:semiHidden/>
    <w:rsid w:val="001B23C0"/>
    <w:rPr>
      <w:sz w:val="22"/>
      <w:lang w:val="en-GB" w:eastAsia="en-US"/>
    </w:rPr>
  </w:style>
  <w:style w:type="paragraph" w:styleId="CommentSubject">
    <w:name w:val="annotation subject"/>
    <w:basedOn w:val="CommentText"/>
    <w:next w:val="CommentText"/>
    <w:link w:val="CommentSubjectChar"/>
    <w:semiHidden/>
    <w:unhideWhenUsed/>
    <w:rsid w:val="001B23C0"/>
    <w:rPr>
      <w:b/>
      <w:bCs/>
    </w:rPr>
  </w:style>
  <w:style w:type="character" w:customStyle="1" w:styleId="CommentSubjectChar">
    <w:name w:val="Comment Subject Char"/>
    <w:basedOn w:val="CommentTextChar"/>
    <w:link w:val="CommentSubject"/>
    <w:semiHidden/>
    <w:rsid w:val="001B23C0"/>
    <w:rPr>
      <w:b/>
      <w:bCs/>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1446915">
      <w:bodyDiv w:val="1"/>
      <w:marLeft w:val="0"/>
      <w:marRight w:val="0"/>
      <w:marTop w:val="0"/>
      <w:marBottom w:val="0"/>
      <w:divBdr>
        <w:top w:val="none" w:sz="0" w:space="0" w:color="auto"/>
        <w:left w:val="none" w:sz="0" w:space="0" w:color="auto"/>
        <w:bottom w:val="none" w:sz="0" w:space="0" w:color="auto"/>
        <w:right w:val="none" w:sz="0" w:space="0" w:color="auto"/>
      </w:divBdr>
    </w:div>
    <w:div w:id="510410443">
      <w:bodyDiv w:val="1"/>
      <w:marLeft w:val="0"/>
      <w:marRight w:val="0"/>
      <w:marTop w:val="0"/>
      <w:marBottom w:val="0"/>
      <w:divBdr>
        <w:top w:val="none" w:sz="0" w:space="0" w:color="auto"/>
        <w:left w:val="none" w:sz="0" w:space="0" w:color="auto"/>
        <w:bottom w:val="none" w:sz="0" w:space="0" w:color="auto"/>
        <w:right w:val="none" w:sz="0" w:space="0" w:color="auto"/>
      </w:divBdr>
    </w:div>
    <w:div w:id="126086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F512CC-CCA5-4692-969A-631E466274AD}"/>
</file>

<file path=customXml/itemProps2.xml><?xml version="1.0" encoding="utf-8"?>
<ds:datastoreItem xmlns:ds="http://schemas.openxmlformats.org/officeDocument/2006/customXml" ds:itemID="{286874F4-ABAD-48A8-B6E0-9840D11064CC}"/>
</file>

<file path=customXml/itemProps3.xml><?xml version="1.0" encoding="utf-8"?>
<ds:datastoreItem xmlns:ds="http://schemas.openxmlformats.org/officeDocument/2006/customXml" ds:itemID="{909124A1-DE79-4A9C-9AF7-89E7AED8D7A1}"/>
</file>

<file path=docProps/app.xml><?xml version="1.0" encoding="utf-8"?>
<Properties xmlns="http://schemas.openxmlformats.org/officeDocument/2006/extended-properties" xmlns:vt="http://schemas.openxmlformats.org/officeDocument/2006/docPropsVTypes">
  <Template>ATMRPP_WG_WHL_1.dot</Template>
  <TotalTime>109</TotalTime>
  <Pages>3</Pages>
  <Words>879</Words>
  <Characters>4881</Characters>
  <Application>Microsoft Office Word</Application>
  <DocSecurity>0</DocSecurity>
  <Lines>146</Lines>
  <Paragraphs>55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1</vt:lpstr>
      <vt:lpstr>1</vt:lpstr>
    </vt:vector>
  </TitlesOfParts>
  <Company>ICAO</Company>
  <LinksUpToDate>false</LinksUpToDate>
  <CharactersWithSpaces>5745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I.C.A.O.</dc:creator>
  <cp:lastModifiedBy>Loftur Jonasson2</cp:lastModifiedBy>
  <cp:revision>21</cp:revision>
  <cp:lastPrinted>2016-07-13T05:58:00Z</cp:lastPrinted>
  <dcterms:created xsi:type="dcterms:W3CDTF">2016-07-13T04:35:00Z</dcterms:created>
  <dcterms:modified xsi:type="dcterms:W3CDTF">2016-08-22T14:03:00Z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