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B52F9A" w14:textId="77777777" w:rsidR="00C62653" w:rsidRDefault="001449D6" w:rsidP="001449D6">
      <w:pPr>
        <w:jc w:val="center"/>
        <w:rPr>
          <w:b/>
        </w:rPr>
      </w:pPr>
      <w:r>
        <w:rPr>
          <w:b/>
          <w:sz w:val="24"/>
          <w:lang w:val="en-US"/>
        </w:rPr>
        <w:t>FREQUENCY SPECTRUM</w:t>
      </w:r>
      <w:r>
        <w:rPr>
          <w:b/>
        </w:rPr>
        <w:t xml:space="preserve"> MANGEMENT  PANEL (FS</w:t>
      </w:r>
      <w:r w:rsidR="00C62653">
        <w:rPr>
          <w:b/>
        </w:rPr>
        <w:t>MP)</w:t>
      </w:r>
    </w:p>
    <w:p w14:paraId="40EFD22E" w14:textId="77777777" w:rsidR="00C62653" w:rsidRDefault="00C62653" w:rsidP="00C62653">
      <w:pPr>
        <w:tabs>
          <w:tab w:val="left" w:pos="6972"/>
        </w:tabs>
        <w:jc w:val="center"/>
        <w:rPr>
          <w:b/>
        </w:rPr>
      </w:pPr>
    </w:p>
    <w:p w14:paraId="4B5F0122" w14:textId="77777777" w:rsidR="00C62653" w:rsidRDefault="005519FD" w:rsidP="00C62653">
      <w:pPr>
        <w:pStyle w:val="Maintitle"/>
      </w:pPr>
      <w:r>
        <w:t>SIXTH</w:t>
      </w:r>
      <w:r w:rsidR="00C62653">
        <w:t xml:space="preserve"> MEETING</w:t>
      </w:r>
    </w:p>
    <w:p w14:paraId="16BB47B3" w14:textId="77777777" w:rsidR="00C62653" w:rsidRDefault="001449D6" w:rsidP="001449D6">
      <w:pPr>
        <w:tabs>
          <w:tab w:val="left" w:pos="6551"/>
        </w:tabs>
      </w:pPr>
      <w:r>
        <w:tab/>
      </w:r>
    </w:p>
    <w:p w14:paraId="29BA6968" w14:textId="77777777" w:rsidR="00C62653" w:rsidRDefault="005519FD" w:rsidP="001449D6">
      <w:pPr>
        <w:pStyle w:val="Maintitle"/>
      </w:pPr>
      <w:r>
        <w:t>Mexico City, Mexico 8-15 February 2018</w:t>
      </w:r>
    </w:p>
    <w:p w14:paraId="6F6A8A47" w14:textId="77777777" w:rsidR="00770160" w:rsidRDefault="00770160" w:rsidP="00C62653">
      <w:pPr>
        <w:jc w:val="center"/>
      </w:pPr>
    </w:p>
    <w:p w14:paraId="6547BB47" w14:textId="77777777" w:rsidR="00770160" w:rsidRDefault="00770160">
      <w:pPr>
        <w:tabs>
          <w:tab w:val="left" w:pos="0"/>
          <w:tab w:val="left" w:pos="1570"/>
          <w:tab w:val="left" w:pos="1857"/>
        </w:tabs>
      </w:pPr>
      <w:bookmarkStart w:id="0" w:name="agenda_item"/>
      <w:bookmarkEnd w:id="0"/>
    </w:p>
    <w:p w14:paraId="0BE88BCE" w14:textId="77777777" w:rsidR="00770160" w:rsidRDefault="00770160">
      <w:pPr>
        <w:tabs>
          <w:tab w:val="left" w:pos="0"/>
          <w:tab w:val="left" w:pos="1570"/>
          <w:tab w:val="left" w:pos="1857"/>
        </w:tabs>
      </w:pPr>
    </w:p>
    <w:p w14:paraId="73481EB9" w14:textId="37887A3A" w:rsidR="00770160" w:rsidRDefault="00770160">
      <w:pPr>
        <w:pStyle w:val="Agendaitemtitle"/>
        <w:rPr>
          <w:lang w:val="sv-SE"/>
        </w:rPr>
      </w:pPr>
      <w:r>
        <w:rPr>
          <w:lang w:val="sv-SE"/>
        </w:rPr>
        <w:t>Agenda Item </w:t>
      </w:r>
      <w:r w:rsidR="005519FD">
        <w:rPr>
          <w:lang w:val="sv-SE"/>
        </w:rPr>
        <w:t>6</w:t>
      </w:r>
      <w:r w:rsidR="0078457A">
        <w:rPr>
          <w:lang w:val="sv-SE"/>
        </w:rPr>
        <w:t>b</w:t>
      </w:r>
      <w:r>
        <w:rPr>
          <w:lang w:val="sv-SE"/>
        </w:rPr>
        <w:t>:</w:t>
      </w:r>
      <w:r>
        <w:rPr>
          <w:lang w:val="sv-SE"/>
        </w:rPr>
        <w:tab/>
      </w:r>
      <w:r w:rsidR="005519FD">
        <w:rPr>
          <w:lang w:val="sv-SE"/>
        </w:rPr>
        <w:t xml:space="preserve">Interference from non-aeronautical sources – </w:t>
      </w:r>
      <w:r w:rsidR="0078457A">
        <w:rPr>
          <w:lang w:val="sv-SE"/>
        </w:rPr>
        <w:t>LTE introduction adjacent to 1518-1559 MHz satcom band</w:t>
      </w:r>
    </w:p>
    <w:p w14:paraId="30CF8496" w14:textId="77777777" w:rsidR="00770160" w:rsidRDefault="00770160">
      <w:pPr>
        <w:pStyle w:val="Agendaitemtitle"/>
        <w:rPr>
          <w:b w:val="0"/>
          <w:lang w:val="sv-SE"/>
        </w:rPr>
      </w:pPr>
    </w:p>
    <w:p w14:paraId="241E3F31" w14:textId="77777777" w:rsidR="00770160" w:rsidRDefault="00770160">
      <w:pPr>
        <w:tabs>
          <w:tab w:val="left" w:pos="6972"/>
        </w:tabs>
        <w:rPr>
          <w:b/>
          <w:lang w:val="sv-SE"/>
        </w:rPr>
      </w:pPr>
    </w:p>
    <w:p w14:paraId="376B0654" w14:textId="0744EFCD" w:rsidR="00770160" w:rsidRDefault="005519FD">
      <w:pPr>
        <w:pStyle w:val="Maintitle"/>
      </w:pPr>
      <w:r>
        <w:t xml:space="preserve">Update on </w:t>
      </w:r>
      <w:r w:rsidR="0078457A">
        <w:t>European Studies</w:t>
      </w:r>
      <w:r>
        <w:t xml:space="preserve">  </w:t>
      </w:r>
    </w:p>
    <w:p w14:paraId="1FDEA1F4" w14:textId="77777777" w:rsidR="00770160" w:rsidRDefault="00770160">
      <w:pPr>
        <w:tabs>
          <w:tab w:val="left" w:pos="6972"/>
        </w:tabs>
      </w:pPr>
    </w:p>
    <w:p w14:paraId="3AF7D486" w14:textId="77777777" w:rsidR="00770160" w:rsidRDefault="00770160">
      <w:pPr>
        <w:tabs>
          <w:tab w:val="left" w:pos="6972"/>
        </w:tabs>
      </w:pPr>
    </w:p>
    <w:p w14:paraId="50A0EC13" w14:textId="77777777" w:rsidR="00770160" w:rsidRDefault="00770160">
      <w:pPr>
        <w:jc w:val="center"/>
      </w:pPr>
      <w:r>
        <w:t>(Presented by</w:t>
      </w:r>
      <w:bookmarkStart w:id="1" w:name="presented_by"/>
      <w:bookmarkEnd w:id="1"/>
      <w:r>
        <w:t xml:space="preserve"> </w:t>
      </w:r>
      <w:r w:rsidR="005519FD">
        <w:t>John Mettrop</w:t>
      </w:r>
      <w:r>
        <w:t>)</w:t>
      </w:r>
    </w:p>
    <w:p w14:paraId="488D751C" w14:textId="77777777" w:rsidR="00770160" w:rsidRDefault="00770160"/>
    <w:p w14:paraId="75D295B3"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066576B3" w14:textId="77777777">
        <w:trPr>
          <w:cantSplit/>
          <w:trHeight w:hRule="exact" w:val="480"/>
          <w:jc w:val="center"/>
        </w:trPr>
        <w:tc>
          <w:tcPr>
            <w:tcW w:w="7200" w:type="dxa"/>
            <w:vAlign w:val="center"/>
          </w:tcPr>
          <w:p w14:paraId="2AC5EEC3" w14:textId="77777777" w:rsidR="00770160" w:rsidRDefault="00770160">
            <w:pPr>
              <w:jc w:val="center"/>
              <w:rPr>
                <w:sz w:val="24"/>
                <w:lang w:val="en-US"/>
              </w:rPr>
            </w:pPr>
            <w:r>
              <w:rPr>
                <w:b/>
              </w:rPr>
              <w:t>SUMMARY</w:t>
            </w:r>
          </w:p>
        </w:tc>
      </w:tr>
      <w:tr w:rsidR="00770160" w14:paraId="4F440DBB" w14:textId="77777777">
        <w:trPr>
          <w:cantSplit/>
          <w:jc w:val="center"/>
        </w:trPr>
        <w:tc>
          <w:tcPr>
            <w:tcW w:w="7200" w:type="dxa"/>
          </w:tcPr>
          <w:p w14:paraId="7D876BEB" w14:textId="03E2F8E8" w:rsidR="00770160" w:rsidRDefault="005519FD">
            <w:pPr>
              <w:rPr>
                <w:lang w:val="en-US"/>
              </w:rPr>
            </w:pPr>
            <w:r>
              <w:rPr>
                <w:lang w:val="en-US"/>
              </w:rPr>
              <w:t xml:space="preserve">This paper provides an update on the </w:t>
            </w:r>
            <w:r w:rsidR="0078457A">
              <w:rPr>
                <w:lang w:val="en-US"/>
              </w:rPr>
              <w:t xml:space="preserve">work carried out within  Europe on the introduction of wireless broadband communication below 1518 MHz and ensuring compatability with existing co/adjacent band systems. Specifically mobile satellite services above 1518 MHz </w:t>
            </w:r>
            <w:r w:rsidR="00770160">
              <w:rPr>
                <w:lang w:val="en-US"/>
              </w:rPr>
              <w:t xml:space="preserve"> </w:t>
            </w:r>
          </w:p>
        </w:tc>
      </w:tr>
    </w:tbl>
    <w:p w14:paraId="00CFA66A" w14:textId="77777777" w:rsidR="00770160" w:rsidRDefault="00770160"/>
    <w:p w14:paraId="392FDE11" w14:textId="77777777" w:rsidR="00770160" w:rsidRDefault="00770160"/>
    <w:p w14:paraId="7C66F66F" w14:textId="77777777" w:rsidR="00770160" w:rsidRDefault="00770160">
      <w:pPr>
        <w:pStyle w:val="1Heading"/>
      </w:pPr>
      <w:r>
        <w:t>INTRODUCTION</w:t>
      </w:r>
    </w:p>
    <w:p w14:paraId="1508F7D6" w14:textId="3D6604EF" w:rsidR="00770160" w:rsidRDefault="0078457A">
      <w:pPr>
        <w:pStyle w:val="2para"/>
      </w:pPr>
      <w:r>
        <w:t>At the last meeting Inmarsat presented a paper seeking support</w:t>
      </w:r>
      <w:r w:rsidR="00702279">
        <w:t xml:space="preserve"> for efforts within Europe to ensure the protection of mobile satellite service operating above 1518 MHz from the introduction of new wireless broadband communication below 1518 MHz</w:t>
      </w:r>
      <w:r w:rsidR="008150C2">
        <w:t>.</w:t>
      </w:r>
      <w:r w:rsidR="00702279">
        <w:t xml:space="preserve"> The ensuing discussion expaned to include the Legado issue in the United States of America. This paper provides information on the European studies that Inmarsat were so concerned about.</w:t>
      </w:r>
    </w:p>
    <w:p w14:paraId="14189BCB" w14:textId="77777777" w:rsidR="00770160" w:rsidRDefault="00770160">
      <w:pPr>
        <w:pStyle w:val="1Heading"/>
      </w:pPr>
      <w:r>
        <w:t>DISCUSSION</w:t>
      </w:r>
    </w:p>
    <w:p w14:paraId="7D8CEE32" w14:textId="583D1B70" w:rsidR="00812950" w:rsidRDefault="00702279" w:rsidP="00A459F8">
      <w:pPr>
        <w:pStyle w:val="2para"/>
      </w:pPr>
      <w:r>
        <w:t xml:space="preserve">As a result of the identification of the frequency bands 1427-1452 MHz and 1492-1518 MHz at WRC-15 for use by international mobile telecommunications (IMT), Europe decided to </w:t>
      </w:r>
      <w:r w:rsidR="00812950">
        <w:t>investigate the possible expansion of terrestrial wireless broadband communication including 5G into these frequency bands. A mandate (see Annex 1) was place on CEPT by the European Commission Radio Spectrum Committee in March 2017 to achieve the following purpose:</w:t>
      </w:r>
    </w:p>
    <w:p w14:paraId="10CC5497" w14:textId="213FB332" w:rsidR="00812950" w:rsidRPr="00812950" w:rsidRDefault="00812950" w:rsidP="00812950">
      <w:pPr>
        <w:pStyle w:val="2para"/>
        <w:numPr>
          <w:ilvl w:val="0"/>
          <w:numId w:val="0"/>
        </w:numPr>
        <w:ind w:left="567" w:right="567"/>
        <w:rPr>
          <w:i/>
        </w:rPr>
      </w:pPr>
      <w:r w:rsidRPr="00812950">
        <w:rPr>
          <w:i/>
        </w:rPr>
        <w:t xml:space="preserve">“This Mandate aims at enhancing spectrum capacity in the 1.5 GHz frequency range by studying the potential extension of the EU-harmonised 1452-1492MHz frequency band in adjacent bands </w:t>
      </w:r>
      <w:r w:rsidRPr="00812950">
        <w:rPr>
          <w:i/>
        </w:rPr>
        <w:lastRenderedPageBreak/>
        <w:t>for use by terrestrial wireless broadband (WBB) electronic communications services in the Union. Its deliverables should provide harmonised technical conditions for use of the 1427-1452 MHz and 1492-1518 MHz frequency bands for downlink-only wireless broadband (WBB) electronic communications services (ECS) including next-generation (5G) terrestrial wireless systems, which ensure flexible and efficient spectrum use. They should thus facilitate economies of scale of equipment across a wider tuning range and benefit from international harmonisation.</w:t>
      </w:r>
    </w:p>
    <w:p w14:paraId="0F1D866D" w14:textId="343A12FF" w:rsidR="00B72E78" w:rsidRDefault="00812950" w:rsidP="00812950">
      <w:pPr>
        <w:pStyle w:val="2para"/>
        <w:numPr>
          <w:ilvl w:val="0"/>
          <w:numId w:val="0"/>
        </w:numPr>
        <w:ind w:left="567" w:right="567"/>
      </w:pPr>
      <w:r w:rsidRPr="00812950">
        <w:rPr>
          <w:i/>
        </w:rPr>
        <w:t>The deliverables of this Mandate should contribute to the EU spectrum target for wireless broadband of at least 1200 MHz laid down in the Radio Spectrum Policy Programme1 (RSPP).”</w:t>
      </w:r>
      <w:r w:rsidR="00702279" w:rsidRPr="00812950">
        <w:rPr>
          <w:i/>
        </w:rPr>
        <w:t xml:space="preserve"> </w:t>
      </w:r>
      <w:r w:rsidR="00770160">
        <w:t xml:space="preserve"> </w:t>
      </w:r>
    </w:p>
    <w:p w14:paraId="748624B3" w14:textId="591B810C" w:rsidR="007A2C57" w:rsidRDefault="001857C4" w:rsidP="00E33FDA">
      <w:pPr>
        <w:pStyle w:val="2para"/>
      </w:pPr>
      <w:r>
        <w:t xml:space="preserve">The mandate also </w:t>
      </w:r>
      <w:r w:rsidR="007A2C57">
        <w:t>included the following which has resulted in the European Telecommunication Standards Institute (ETSI) to adopt a work item to update the relevant standard</w:t>
      </w:r>
      <w:r w:rsidR="007A2C57">
        <w:rPr>
          <w:rStyle w:val="FootnoteReference"/>
        </w:rPr>
        <w:footnoteReference w:id="1"/>
      </w:r>
      <w:r w:rsidR="007A2C57">
        <w:t xml:space="preserve"> with a view to improve receiver performance requirements in line with anticipated development on IMT/LTE below 1518 MHz</w:t>
      </w:r>
      <w:r w:rsidR="00B31502">
        <w:t xml:space="preserve"> (see </w:t>
      </w:r>
      <w:hyperlink r:id="rId12" w:history="1">
        <w:r w:rsidR="00B31502" w:rsidRPr="006542B4">
          <w:rPr>
            <w:rStyle w:val="Hyperlink"/>
          </w:rPr>
          <w:t>https://portal.etsi.org/webapp/WorkProgram/Report_WorkItem.asp?WKI_ID=50119</w:t>
        </w:r>
      </w:hyperlink>
      <w:r w:rsidR="00B31502">
        <w:t xml:space="preserve">) </w:t>
      </w:r>
      <w:r w:rsidR="007A2C57">
        <w:t>:-</w:t>
      </w:r>
    </w:p>
    <w:p w14:paraId="7ABAC89A" w14:textId="3E104B13" w:rsidR="00770160" w:rsidRPr="007A2C57" w:rsidRDefault="007A2C57" w:rsidP="007A2C57">
      <w:pPr>
        <w:pStyle w:val="2para"/>
        <w:numPr>
          <w:ilvl w:val="0"/>
          <w:numId w:val="0"/>
        </w:numPr>
        <w:ind w:left="567" w:right="567"/>
        <w:rPr>
          <w:i/>
        </w:rPr>
      </w:pPr>
      <w:r w:rsidRPr="007A2C57">
        <w:rPr>
          <w:i/>
        </w:rPr>
        <w:t>“Furthermore, applicable technical conditions to wireless broadband use below 1518 MHz should ensure compatibility with mobile satellite service in the 1518-1525 MHz frequency band. In this regard, the improvement of MSS receiver parameters, including to ensure continuing consistency with the Radio Equipment Directive (RED), and mitigation techniques should be studied in cooperation with ETSI to facilitate compatibility especially for mobile earth stations in particular locations such as airports or seaports.”</w:t>
      </w:r>
    </w:p>
    <w:p w14:paraId="754A276C" w14:textId="0CAB3F06" w:rsidR="00B31502" w:rsidRDefault="007A2C57" w:rsidP="00A459F8">
      <w:pPr>
        <w:pStyle w:val="2para"/>
      </w:pPr>
      <w:r>
        <w:t xml:space="preserve">In response to the manadate </w:t>
      </w:r>
      <w:r w:rsidR="00B31502">
        <w:t>the CEPT Electronic Communications Committee on the 17</w:t>
      </w:r>
      <w:r w:rsidR="00B31502" w:rsidRPr="00B31502">
        <w:rPr>
          <w:vertAlign w:val="superscript"/>
        </w:rPr>
        <w:t>th</w:t>
      </w:r>
      <w:r w:rsidR="00B31502">
        <w:t xml:space="preserve"> November 2017 approved Report 65 (see Annex 2) which includes the following conclusions relevant to the use of the frequency band 1518-1525 MHz:-</w:t>
      </w:r>
    </w:p>
    <w:p w14:paraId="46C83B34" w14:textId="77777777" w:rsidR="00B31502" w:rsidRPr="00B31502" w:rsidRDefault="00B31502" w:rsidP="00B31502">
      <w:pPr>
        <w:pStyle w:val="2para"/>
        <w:numPr>
          <w:ilvl w:val="0"/>
          <w:numId w:val="0"/>
        </w:numPr>
        <w:ind w:left="567" w:right="567"/>
        <w:rPr>
          <w:i/>
        </w:rPr>
      </w:pPr>
      <w:r w:rsidRPr="00B31502">
        <w:rPr>
          <w:i/>
        </w:rPr>
        <w:t>“The report recommends that the harmonised frequency arrangement for DL WBB ECS in the band 1427-1452 MHz and 1492-1517 MHz is for downlink, based on 5 MHz blocks, and takes into account EC Decision (EU) 2015/750 [1] for the frequency band 1452-1492 MHz.”</w:t>
      </w:r>
    </w:p>
    <w:p w14:paraId="6AAEC74F" w14:textId="21E44F7C" w:rsidR="00C87B77" w:rsidRPr="00B31502" w:rsidRDefault="00B31502" w:rsidP="00B31502">
      <w:pPr>
        <w:pStyle w:val="2para"/>
        <w:numPr>
          <w:ilvl w:val="0"/>
          <w:numId w:val="0"/>
        </w:numPr>
        <w:ind w:left="567" w:right="567"/>
        <w:rPr>
          <w:i/>
        </w:rPr>
      </w:pPr>
      <w:r w:rsidRPr="00B31502">
        <w:rPr>
          <w:i/>
        </w:rPr>
        <w:t>“Compatibility of DL WBB ECS operating in 1492-1517 MHz with services operating between 1518 MHz and 1525 MHz is studied in ECC Report 263 [5]. Additionally, CEPT is studying proportionate measures to address potential receiver blocking issues affecting MES operating on bands adjacent to 1518 MHz (including 1525-1559 MHz) at sea ports and at airports, in order to develop an ECC Report.”</w:t>
      </w:r>
      <w:r w:rsidR="007A2C57" w:rsidRPr="00B31502">
        <w:rPr>
          <w:i/>
        </w:rPr>
        <w:t xml:space="preserve"> </w:t>
      </w:r>
    </w:p>
    <w:p w14:paraId="1EA4FD3F" w14:textId="456CCD66" w:rsidR="006079B9" w:rsidRDefault="00E33FDA" w:rsidP="00E33FDA">
      <w:pPr>
        <w:pStyle w:val="2para"/>
      </w:pPr>
      <w:r>
        <w:t>ECC Report, approved on 3</w:t>
      </w:r>
      <w:r w:rsidRPr="00E33FDA">
        <w:rPr>
          <w:vertAlign w:val="superscript"/>
        </w:rPr>
        <w:t>rd</w:t>
      </w:r>
      <w:r>
        <w:t xml:space="preserve"> March 2017 addresses Adjacent band compatibility studies between IMT operating in the frequency band 1492-1518 MHz and the MSS operating in the frequency band 1518-1525 MHz (See Annex 3)</w:t>
      </w:r>
      <w:r w:rsidR="00F63E2C">
        <w:t>.</w:t>
      </w:r>
    </w:p>
    <w:p w14:paraId="595C4FC3" w14:textId="77777777" w:rsidR="004E4B58" w:rsidRDefault="006079B9" w:rsidP="006079B9">
      <w:pPr>
        <w:pStyle w:val="2para"/>
        <w:numPr>
          <w:ilvl w:val="0"/>
          <w:numId w:val="0"/>
        </w:numPr>
      </w:pPr>
      <w:r>
        <w:br w:type="page"/>
      </w:r>
      <w:bookmarkStart w:id="2" w:name="_GoBack"/>
    </w:p>
    <w:bookmarkEnd w:id="2"/>
    <w:p w14:paraId="3A941EF9" w14:textId="77777777" w:rsidR="00770160" w:rsidRDefault="00A459F8">
      <w:pPr>
        <w:pStyle w:val="1Heading"/>
      </w:pPr>
      <w:r>
        <w:t>CONCLUSION</w:t>
      </w:r>
    </w:p>
    <w:p w14:paraId="0C36C612" w14:textId="4B8F2EAC" w:rsidR="00A459F8" w:rsidRDefault="000B19FA" w:rsidP="00A459F8">
      <w:pPr>
        <w:pStyle w:val="2para"/>
      </w:pPr>
      <w:r>
        <w:t>These studies and the conclusions of those studies provide further evidence of issues related to receiver adjacent band performance</w:t>
      </w:r>
      <w:r w:rsidR="007F0398">
        <w:t xml:space="preserve"> </w:t>
      </w:r>
      <w:r>
        <w:t>and the need for the inclusion of receiver standards in the Radio Regulations.</w:t>
      </w:r>
    </w:p>
    <w:p w14:paraId="4EFE4E4E" w14:textId="7EC8B445" w:rsidR="000B19FA" w:rsidRPr="00A459F8" w:rsidRDefault="000B19FA" w:rsidP="00A459F8">
      <w:pPr>
        <w:pStyle w:val="2para"/>
      </w:pPr>
      <w:r>
        <w:t>Given the maturity of the studies it would appear that it is too late to get involved in the stusdies themselves but aviation may have to deal with the consequencies, if any.</w:t>
      </w:r>
    </w:p>
    <w:p w14:paraId="2C595657" w14:textId="77777777" w:rsidR="00E52A27" w:rsidRPr="005F109E" w:rsidRDefault="00E52A27" w:rsidP="005F109E">
      <w:pPr>
        <w:jc w:val="center"/>
        <w:rPr>
          <w:b/>
          <w:sz w:val="28"/>
        </w:rPr>
      </w:pPr>
      <w:r>
        <w:br w:type="page"/>
      </w:r>
      <w:r w:rsidRPr="005F109E">
        <w:rPr>
          <w:b/>
          <w:sz w:val="28"/>
        </w:rPr>
        <w:lastRenderedPageBreak/>
        <w:t>Annex 1</w:t>
      </w:r>
    </w:p>
    <w:p w14:paraId="34098EFE" w14:textId="77777777" w:rsidR="00E33FDA" w:rsidRDefault="00E33FDA" w:rsidP="00E33FDA">
      <w:pPr>
        <w:pStyle w:val="Default"/>
      </w:pPr>
    </w:p>
    <w:p w14:paraId="38814AA0" w14:textId="6DBF67AF" w:rsidR="00E52A27" w:rsidRPr="00E33FDA" w:rsidRDefault="00E33FDA" w:rsidP="00E33FDA">
      <w:pPr>
        <w:jc w:val="center"/>
        <w:rPr>
          <w:b/>
          <w:sz w:val="32"/>
        </w:rPr>
      </w:pPr>
      <w:r w:rsidRPr="00E33FDA">
        <w:rPr>
          <w:sz w:val="24"/>
        </w:rPr>
        <w:t xml:space="preserve"> </w:t>
      </w:r>
      <w:r w:rsidRPr="00E33FDA">
        <w:rPr>
          <w:b/>
          <w:bCs/>
          <w:sz w:val="24"/>
          <w:szCs w:val="23"/>
        </w:rPr>
        <w:t>Mandate to CEPT to develop harmonised technical conditions in additional frequency bands in the 1.5 GHz range for their use for terrestrial wireless broadband electronic communications services in the Union</w:t>
      </w:r>
    </w:p>
    <w:p w14:paraId="5318B5F7" w14:textId="10205E3A" w:rsidR="00E52A27" w:rsidRDefault="00E33FDA" w:rsidP="005F109E">
      <w:pPr>
        <w:spacing w:before="360"/>
        <w:jc w:val="center"/>
      </w:pPr>
      <w:r>
        <w:object w:dxaOrig="1534" w:dyaOrig="998" w14:anchorId="44CB88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35pt;height:50.2pt" o:ole="">
            <v:imagedata r:id="rId13" o:title=""/>
          </v:shape>
          <o:OLEObject Type="Embed" ProgID="AcroExch.Document.7" ShapeID="_x0000_i1025" DrawAspect="Icon" ObjectID="_1579256947" r:id="rId14"/>
        </w:object>
      </w:r>
    </w:p>
    <w:p w14:paraId="76099666" w14:textId="77777777" w:rsidR="00E52A27" w:rsidRPr="005F109E" w:rsidRDefault="00E52A27">
      <w:pPr>
        <w:spacing w:before="600"/>
        <w:jc w:val="center"/>
        <w:rPr>
          <w:b/>
          <w:sz w:val="28"/>
        </w:rPr>
      </w:pPr>
      <w:r w:rsidRPr="005F109E">
        <w:rPr>
          <w:b/>
          <w:sz w:val="28"/>
        </w:rPr>
        <w:t>Annex 2</w:t>
      </w:r>
    </w:p>
    <w:p w14:paraId="039E0FA3" w14:textId="7C0A7090" w:rsidR="00E33FDA" w:rsidRPr="00E33FDA" w:rsidRDefault="00E33FDA" w:rsidP="00E33FDA">
      <w:pPr>
        <w:spacing w:before="240"/>
        <w:jc w:val="center"/>
        <w:rPr>
          <w:b/>
          <w:sz w:val="24"/>
        </w:rPr>
      </w:pPr>
      <w:r w:rsidRPr="00E33FDA">
        <w:rPr>
          <w:b/>
          <w:sz w:val="24"/>
        </w:rPr>
        <w:t>Report from CEPT to the European Commission in</w:t>
      </w:r>
      <w:r>
        <w:rPr>
          <w:b/>
          <w:sz w:val="24"/>
        </w:rPr>
        <w:t xml:space="preserve"> </w:t>
      </w:r>
      <w:r w:rsidRPr="00E33FDA">
        <w:rPr>
          <w:b/>
          <w:sz w:val="24"/>
        </w:rPr>
        <w:t>response to the Mandate</w:t>
      </w:r>
    </w:p>
    <w:p w14:paraId="6AED23A9" w14:textId="16CF20EC" w:rsidR="00E33FDA" w:rsidRPr="00E33FDA" w:rsidRDefault="00E33FDA" w:rsidP="00E33FDA">
      <w:pPr>
        <w:spacing w:before="240"/>
        <w:jc w:val="center"/>
        <w:rPr>
          <w:b/>
          <w:sz w:val="24"/>
        </w:rPr>
      </w:pPr>
      <w:r w:rsidRPr="00E33FDA">
        <w:rPr>
          <w:b/>
          <w:sz w:val="24"/>
        </w:rPr>
        <w:t>“to develop harmonised technical conditions in additional</w:t>
      </w:r>
      <w:r>
        <w:rPr>
          <w:b/>
          <w:sz w:val="24"/>
        </w:rPr>
        <w:t xml:space="preserve"> </w:t>
      </w:r>
      <w:r w:rsidRPr="00E33FDA">
        <w:rPr>
          <w:b/>
          <w:sz w:val="24"/>
        </w:rPr>
        <w:t>frequency bands in the 1.5 GHz range for their use for</w:t>
      </w:r>
      <w:r>
        <w:rPr>
          <w:b/>
          <w:sz w:val="24"/>
        </w:rPr>
        <w:t xml:space="preserve"> </w:t>
      </w:r>
      <w:r w:rsidRPr="00E33FDA">
        <w:rPr>
          <w:b/>
          <w:sz w:val="24"/>
        </w:rPr>
        <w:t>terrestrial wireless broadband electronic communications</w:t>
      </w:r>
      <w:r>
        <w:rPr>
          <w:b/>
          <w:sz w:val="24"/>
        </w:rPr>
        <w:t xml:space="preserve"> </w:t>
      </w:r>
      <w:r w:rsidRPr="00E33FDA">
        <w:rPr>
          <w:b/>
          <w:sz w:val="24"/>
        </w:rPr>
        <w:t>services in the Union”</w:t>
      </w:r>
    </w:p>
    <w:p w14:paraId="5266C180" w14:textId="33673AAC" w:rsidR="00E52A27" w:rsidRDefault="00E33FDA" w:rsidP="005F109E">
      <w:pPr>
        <w:spacing w:before="360"/>
        <w:jc w:val="center"/>
      </w:pPr>
      <w:r>
        <w:object w:dxaOrig="1534" w:dyaOrig="998" w14:anchorId="1A429554">
          <v:shape id="_x0000_i1026" type="#_x0000_t75" style="width:76.35pt;height:50.2pt" o:ole="">
            <v:imagedata r:id="rId15" o:title=""/>
          </v:shape>
          <o:OLEObject Type="Embed" ProgID="AcroExch.Document.7" ShapeID="_x0000_i1026" DrawAspect="Icon" ObjectID="_1579256948" r:id="rId16"/>
        </w:object>
      </w:r>
    </w:p>
    <w:p w14:paraId="4B1A1E38" w14:textId="77777777" w:rsidR="00E52A27" w:rsidRPr="005F109E" w:rsidRDefault="00E52A27">
      <w:pPr>
        <w:spacing w:before="600"/>
        <w:jc w:val="center"/>
        <w:rPr>
          <w:b/>
          <w:sz w:val="28"/>
        </w:rPr>
      </w:pPr>
      <w:r w:rsidRPr="005F109E">
        <w:rPr>
          <w:b/>
          <w:sz w:val="28"/>
        </w:rPr>
        <w:t>Annex 3</w:t>
      </w:r>
    </w:p>
    <w:p w14:paraId="5C3F2B09" w14:textId="781B8480" w:rsidR="005F109E" w:rsidRPr="005F109E" w:rsidRDefault="00E33FDA" w:rsidP="00E33FDA">
      <w:pPr>
        <w:spacing w:before="240"/>
        <w:jc w:val="center"/>
        <w:rPr>
          <w:b/>
          <w:sz w:val="24"/>
        </w:rPr>
      </w:pPr>
      <w:r w:rsidRPr="00E33FDA">
        <w:rPr>
          <w:b/>
          <w:sz w:val="24"/>
        </w:rPr>
        <w:t>Adjacent band compatibility studies between IMT</w:t>
      </w:r>
      <w:r>
        <w:rPr>
          <w:b/>
          <w:sz w:val="24"/>
        </w:rPr>
        <w:t xml:space="preserve"> </w:t>
      </w:r>
      <w:r w:rsidRPr="00E33FDA">
        <w:rPr>
          <w:b/>
          <w:sz w:val="24"/>
        </w:rPr>
        <w:t>operating in the frequency band 1492-1518 MHz and the</w:t>
      </w:r>
      <w:r>
        <w:rPr>
          <w:b/>
          <w:sz w:val="24"/>
        </w:rPr>
        <w:t xml:space="preserve"> </w:t>
      </w:r>
      <w:r w:rsidRPr="00E33FDA">
        <w:rPr>
          <w:b/>
          <w:sz w:val="24"/>
        </w:rPr>
        <w:t>MSS operating in the frequency band 1518-1525 MHz</w:t>
      </w:r>
    </w:p>
    <w:bookmarkStart w:id="3" w:name="_MON_1579246237"/>
    <w:bookmarkEnd w:id="3"/>
    <w:p w14:paraId="7E62DFAB" w14:textId="72564D07" w:rsidR="005F109E" w:rsidRDefault="00FD56F3" w:rsidP="005F109E">
      <w:pPr>
        <w:spacing w:before="360"/>
        <w:jc w:val="center"/>
      </w:pPr>
      <w:r>
        <w:object w:dxaOrig="1534" w:dyaOrig="998" w14:anchorId="73D5F8B4">
          <v:shape id="_x0000_i1027" type="#_x0000_t75" style="width:76.35pt;height:50.2pt" o:ole="">
            <v:imagedata r:id="rId17" o:title=""/>
          </v:shape>
          <o:OLEObject Type="Embed" ProgID="Word.Document.12" ShapeID="_x0000_i1027" DrawAspect="Icon" ObjectID="_1579256949" r:id="rId18">
            <o:FieldCodes>\s</o:FieldCodes>
          </o:OLEObject>
        </w:object>
      </w:r>
    </w:p>
    <w:p w14:paraId="5309004E" w14:textId="77777777" w:rsidR="00770160" w:rsidRDefault="00770160">
      <w:pPr>
        <w:spacing w:before="600"/>
        <w:jc w:val="center"/>
      </w:pPr>
      <w:r>
        <w:t>— END —</w:t>
      </w:r>
    </w:p>
    <w:p w14:paraId="1B5D93B2" w14:textId="77777777" w:rsidR="00A12CBA" w:rsidRDefault="00770160">
      <w:pPr>
        <w:spacing w:before="600"/>
        <w:jc w:val="center"/>
      </w:pPr>
      <w:r>
        <w:br w:type="page"/>
      </w:r>
    </w:p>
    <w:sectPr w:rsidR="00A12CBA">
      <w:headerReference w:type="even" r:id="rId19"/>
      <w:headerReference w:type="default" r:id="rId20"/>
      <w:headerReference w:type="first" r:id="rId21"/>
      <w:footerReference w:type="first" r:id="rId22"/>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AE248C" w14:textId="77777777" w:rsidR="00A57B8F" w:rsidRDefault="00A57B8F">
      <w:r>
        <w:separator/>
      </w:r>
    </w:p>
  </w:endnote>
  <w:endnote w:type="continuationSeparator" w:id="0">
    <w:p w14:paraId="4424D2AA" w14:textId="77777777" w:rsidR="00A57B8F" w:rsidRDefault="00A57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DengXian">
    <w:altName w:val="等线"/>
    <w:panose1 w:val="00000000000000000000"/>
    <w:charset w:val="86"/>
    <w:family w:val="roman"/>
    <w:notTrueType/>
    <w:pitch w:val="default"/>
  </w:font>
  <w:font w:name="Arial">
    <w:panose1 w:val="020B0604020202020204"/>
    <w:charset w:val="00"/>
    <w:family w:val="swiss"/>
    <w:pitch w:val="variable"/>
    <w:sig w:usb0="E0002AFF" w:usb1="C0007843"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8CAF6" w14:textId="7B8239AE" w:rsidR="00812950" w:rsidRPr="006079B9" w:rsidRDefault="00812950">
    <w:pPr>
      <w:pStyle w:val="Footer"/>
      <w:rPr>
        <w:sz w:val="18"/>
      </w:rPr>
    </w:pPr>
    <w:r w:rsidRPr="006079B9">
      <w:rPr>
        <w:sz w:val="18"/>
      </w:rPr>
      <w:t>(</w:t>
    </w:r>
    <w:r>
      <w:rPr>
        <w:sz w:val="18"/>
        <w:lang w:val="en-US"/>
      </w:rPr>
      <w:fldChar w:fldCharType="begin"/>
    </w:r>
    <w:r w:rsidRPr="006079B9">
      <w:rPr>
        <w:sz w:val="18"/>
      </w:rPr>
      <w:instrText xml:space="preserve"> NUMPAGES  \* MERGEFORMAT </w:instrText>
    </w:r>
    <w:r>
      <w:rPr>
        <w:sz w:val="18"/>
        <w:lang w:val="en-US"/>
      </w:rPr>
      <w:fldChar w:fldCharType="separate"/>
    </w:r>
    <w:r w:rsidR="006079B9">
      <w:rPr>
        <w:noProof/>
        <w:sz w:val="18"/>
      </w:rPr>
      <w:t>5</w:t>
    </w:r>
    <w:r>
      <w:rPr>
        <w:sz w:val="18"/>
        <w:lang w:val="en-US"/>
      </w:rPr>
      <w:fldChar w:fldCharType="end"/>
    </w:r>
    <w:r w:rsidRPr="006079B9">
      <w:rPr>
        <w:sz w:val="18"/>
      </w:rPr>
      <w:t xml:space="preserve"> pages)</w:t>
    </w:r>
  </w:p>
  <w:p w14:paraId="6C5EE92D" w14:textId="77777777" w:rsidR="00812950" w:rsidRDefault="00812950">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6079B9">
      <w:rPr>
        <w:noProof/>
        <w:sz w:val="18"/>
        <w:lang w:val="en-US"/>
      </w:rPr>
      <w:t>FSMP-WG06-IP08_IMT compatibility with MSS.docx</w:t>
    </w:r>
    <w:r>
      <w:rPr>
        <w:sz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885825" w14:textId="77777777" w:rsidR="00A57B8F" w:rsidRDefault="00A57B8F">
      <w:r>
        <w:separator/>
      </w:r>
    </w:p>
  </w:footnote>
  <w:footnote w:type="continuationSeparator" w:id="0">
    <w:p w14:paraId="3707F405" w14:textId="77777777" w:rsidR="00A57B8F" w:rsidRDefault="00A57B8F">
      <w:r>
        <w:continuationSeparator/>
      </w:r>
    </w:p>
  </w:footnote>
  <w:footnote w:id="1">
    <w:p w14:paraId="318D44A0" w14:textId="5C222761" w:rsidR="007A2C57" w:rsidRDefault="007A2C57">
      <w:pPr>
        <w:pStyle w:val="FootnoteText"/>
      </w:pPr>
      <w:r>
        <w:rPr>
          <w:rStyle w:val="FootnoteReference"/>
        </w:rPr>
        <w:footnoteRef/>
      </w:r>
      <w:r>
        <w:t xml:space="preserve"> “</w:t>
      </w:r>
      <w:r w:rsidRPr="007A2C57">
        <w:rPr>
          <w:i/>
        </w:rPr>
        <w:t>Satellite Earth Stations and Systems (SES); Aircraft Earth Stations (AES) providing Aeronautical Mobile Satellite Service (AMSS)/Mobile Satellite Service (MSS) and/or the Aeronautical Mobile Satellite on Route Service (AMS(R)S)/Mobile Satellite Service (MSS), operating in the frequency band below 3 GHz; Harmonised Standard for access to radio spectrum</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DB454D" w14:textId="6A3427BA" w:rsidR="00812950" w:rsidRDefault="00812950" w:rsidP="001449D6">
    <w:pPr>
      <w:tabs>
        <w:tab w:val="center" w:pos="4876"/>
      </w:tabs>
      <w:spacing w:after="600"/>
    </w:pPr>
    <w:r>
      <w:t>F</w:t>
    </w:r>
    <w:r w:rsidR="006079B9">
      <w:t>SMP-WG/6-IP/08</w:t>
    </w:r>
    <w:r>
      <w:tab/>
      <w:t xml:space="preserve">- </w:t>
    </w:r>
    <w:r>
      <w:rPr>
        <w:rStyle w:val="PageNumber"/>
      </w:rPr>
      <w:fldChar w:fldCharType="begin"/>
    </w:r>
    <w:r>
      <w:rPr>
        <w:rStyle w:val="PageNumber"/>
      </w:rPr>
      <w:instrText xml:space="preserve"> PAGE </w:instrText>
    </w:r>
    <w:r>
      <w:rPr>
        <w:rStyle w:val="PageNumber"/>
      </w:rPr>
      <w:fldChar w:fldCharType="separate"/>
    </w:r>
    <w:r w:rsidR="006079B9">
      <w:rPr>
        <w:rStyle w:val="PageNumber"/>
        <w:noProof/>
      </w:rPr>
      <w:t>2</w:t>
    </w:r>
    <w:r>
      <w:rPr>
        <w:rStyle w:val="PageNumber"/>
      </w:rPr>
      <w:fldChar w:fldCharType="end"/>
    </w:r>
    <w:r>
      <w:rPr>
        <w:rStyle w:val="PageNumbe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801718" w14:textId="1396AE0F" w:rsidR="00812950" w:rsidRDefault="00812950" w:rsidP="00C62653">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6079B9">
      <w:rPr>
        <w:rStyle w:val="PageNumber"/>
        <w:noProof/>
      </w:rPr>
      <w:t>3</w:t>
    </w:r>
    <w:r>
      <w:rPr>
        <w:rStyle w:val="PageNumber"/>
      </w:rPr>
      <w:fldChar w:fldCharType="end"/>
    </w:r>
    <w:r>
      <w:rPr>
        <w:rStyle w:val="PageNumber"/>
      </w:rPr>
      <w:t xml:space="preserve"> -</w:t>
    </w:r>
    <w:r>
      <w:rPr>
        <w:rStyle w:val="PageNumber"/>
      </w:rPr>
      <w:tab/>
    </w:r>
    <w:r w:rsidR="006079B9">
      <w:t>FSMP-WG/6-IP/08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812950" w14:paraId="5FBF0783" w14:textId="77777777" w:rsidTr="001742AF">
      <w:trPr>
        <w:trHeight w:val="1790"/>
      </w:trPr>
      <w:tc>
        <w:tcPr>
          <w:tcW w:w="1915" w:type="dxa"/>
          <w:tcBorders>
            <w:top w:val="single" w:sz="2" w:space="0" w:color="FFFFFF"/>
            <w:left w:val="single" w:sz="2" w:space="0" w:color="FFFFFF"/>
            <w:bottom w:val="single" w:sz="2" w:space="0" w:color="FFFFFF"/>
            <w:right w:val="single" w:sz="2" w:space="0" w:color="FFFFFF"/>
          </w:tcBorders>
          <w:shd w:val="clear" w:color="auto" w:fill="FFFFFF"/>
          <w:hideMark/>
        </w:tcPr>
        <w:p w14:paraId="06DF49C1" w14:textId="77777777" w:rsidR="00812950" w:rsidRDefault="00A57B8F">
          <w:pPr>
            <w:autoSpaceDE w:val="0"/>
            <w:autoSpaceDN w:val="0"/>
            <w:adjustRightInd w:val="0"/>
            <w:rPr>
              <w:szCs w:val="24"/>
            </w:rPr>
          </w:pPr>
          <w:bookmarkStart w:id="4" w:name="logo"/>
          <w:r>
            <w:rPr>
              <w:noProof/>
              <w:lang w:eastAsia="zh-CN"/>
            </w:rPr>
            <w:pict w14:anchorId="699BE5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ICAOBIG" style="width:85.65pt;height:69.25pt;visibility:visible">
                <v:imagedata r:id="rId1" o:title="ICAOBIG"/>
              </v:shape>
            </w:pict>
          </w:r>
          <w:bookmarkEnd w:id="4"/>
        </w:p>
      </w:tc>
      <w:tc>
        <w:tcPr>
          <w:tcW w:w="3895" w:type="dxa"/>
          <w:tcBorders>
            <w:top w:val="single" w:sz="2" w:space="0" w:color="FFFFFF"/>
            <w:left w:val="single" w:sz="2" w:space="0" w:color="FFFFFF"/>
            <w:bottom w:val="single" w:sz="2" w:space="0" w:color="FFFFFF"/>
            <w:right w:val="single" w:sz="2" w:space="0" w:color="FFFFFF"/>
          </w:tcBorders>
          <w:shd w:val="clear" w:color="auto" w:fill="FFFFFF"/>
          <w:tcMar>
            <w:top w:w="0" w:type="dxa"/>
            <w:left w:w="0" w:type="dxa"/>
            <w:bottom w:w="0" w:type="dxa"/>
            <w:right w:w="0" w:type="dxa"/>
          </w:tcMar>
        </w:tcPr>
        <w:p w14:paraId="3F1D1694" w14:textId="77777777" w:rsidR="00812950" w:rsidRDefault="00A57B8F">
          <w:pPr>
            <w:rPr>
              <w:rFonts w:ascii="Arial" w:hAnsi="Arial" w:cs="Arial"/>
              <w:szCs w:val="22"/>
            </w:rPr>
          </w:pPr>
          <w:r>
            <w:rPr>
              <w:szCs w:val="24"/>
            </w:rPr>
            <w:pict w14:anchorId="426257FF">
              <v:line id="_x0000_s2049" style="position:absolute;left:0;text-align:left;z-index:1;mso-position-horizontal-relative:text;mso-position-vertical-relative:text" from="1pt,27pt" to="190pt,27pt"/>
            </w:pict>
          </w:r>
        </w:p>
        <w:p w14:paraId="59F7FEB6" w14:textId="77777777" w:rsidR="00812950" w:rsidRDefault="00812950">
          <w:pPr>
            <w:rPr>
              <w:rFonts w:ascii="Arial" w:hAnsi="Arial" w:cs="Arial"/>
              <w:szCs w:val="22"/>
            </w:rPr>
          </w:pPr>
          <w:r>
            <w:rPr>
              <w:rFonts w:ascii="Arial" w:hAnsi="Arial" w:cs="Arial"/>
              <w:szCs w:val="22"/>
            </w:rPr>
            <w:t>International Civil Aviation Organization</w:t>
          </w:r>
        </w:p>
        <w:p w14:paraId="19F368E2" w14:textId="77777777" w:rsidR="00812950" w:rsidRDefault="00812950">
          <w:pPr>
            <w:rPr>
              <w:rFonts w:ascii="Arial" w:hAnsi="Arial" w:cs="Arial"/>
              <w:szCs w:val="22"/>
            </w:rPr>
          </w:pPr>
        </w:p>
        <w:p w14:paraId="2A0B54A2" w14:textId="77777777" w:rsidR="00812950" w:rsidRDefault="00812950">
          <w:pPr>
            <w:autoSpaceDE w:val="0"/>
            <w:autoSpaceDN w:val="0"/>
            <w:adjustRightInd w:val="0"/>
            <w:rPr>
              <w:rFonts w:ascii="Arial" w:hAnsi="Arial" w:cs="Arial"/>
              <w:b/>
              <w:sz w:val="24"/>
              <w:szCs w:val="22"/>
            </w:rPr>
          </w:pPr>
          <w:r>
            <w:rPr>
              <w:rFonts w:ascii="Arial" w:hAnsi="Arial" w:cs="Arial"/>
              <w:b/>
              <w:sz w:val="24"/>
              <w:szCs w:val="22"/>
            </w:rPr>
            <w:t>INFORMATION PAPER</w:t>
          </w:r>
        </w:p>
      </w:tc>
      <w:tc>
        <w:tcPr>
          <w:tcW w:w="3766" w:type="dxa"/>
          <w:tcBorders>
            <w:top w:val="single" w:sz="2" w:space="0" w:color="FFFFFF"/>
            <w:left w:val="single" w:sz="2" w:space="0" w:color="FFFFFF"/>
            <w:bottom w:val="single" w:sz="2" w:space="0" w:color="FFFFFF"/>
            <w:right w:val="single" w:sz="2" w:space="0" w:color="FFFFFF"/>
          </w:tcBorders>
          <w:shd w:val="clear" w:color="auto" w:fill="FFFFFF"/>
          <w:hideMark/>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940"/>
          </w:tblGrid>
          <w:tr w:rsidR="00812950" w14:paraId="71B0EE1B"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0FBA9CFA" w14:textId="37733F1A" w:rsidR="00812950" w:rsidRDefault="00812950" w:rsidP="006079B9">
                <w:pPr>
                  <w:framePr w:hSpace="180" w:wrap="around" w:vAnchor="text" w:hAnchor="text" w:y="1"/>
                  <w:suppressOverlap/>
                  <w:jc w:val="left"/>
                  <w:rPr>
                    <w:szCs w:val="22"/>
                  </w:rPr>
                </w:pPr>
                <w:bookmarkStart w:id="5" w:name="document_no"/>
                <w:r>
                  <w:rPr>
                    <w:szCs w:val="22"/>
                  </w:rPr>
                  <w:t>FSMP-WG/6-IP/</w:t>
                </w:r>
                <w:bookmarkEnd w:id="5"/>
                <w:r w:rsidR="006079B9">
                  <w:rPr>
                    <w:szCs w:val="22"/>
                  </w:rPr>
                  <w:t>08</w:t>
                </w:r>
              </w:p>
              <w:p w14:paraId="0524D94C" w14:textId="15290530" w:rsidR="00812950" w:rsidRDefault="006079B9" w:rsidP="006079B9">
                <w:pPr>
                  <w:framePr w:hSpace="180" w:wrap="around" w:vAnchor="text" w:hAnchor="text" w:y="1"/>
                  <w:autoSpaceDE w:val="0"/>
                  <w:autoSpaceDN w:val="0"/>
                  <w:adjustRightInd w:val="0"/>
                  <w:suppressOverlap/>
                  <w:jc w:val="left"/>
                  <w:rPr>
                    <w:b/>
                    <w:szCs w:val="24"/>
                  </w:rPr>
                </w:pPr>
                <w:bookmarkStart w:id="6" w:name="related_to"/>
                <w:bookmarkStart w:id="7" w:name="revision_date"/>
                <w:bookmarkStart w:id="8" w:name="revision_no"/>
                <w:bookmarkStart w:id="9" w:name="addendum_corrigendum_appendix"/>
                <w:bookmarkStart w:id="10" w:name="restricted"/>
                <w:bookmarkEnd w:id="6"/>
                <w:bookmarkEnd w:id="7"/>
                <w:bookmarkEnd w:id="8"/>
                <w:bookmarkEnd w:id="9"/>
                <w:bookmarkEnd w:id="10"/>
                <w:r>
                  <w:rPr>
                    <w:sz w:val="18"/>
                    <w:szCs w:val="18"/>
                  </w:rPr>
                  <w:t>2018-02-05</w:t>
                </w:r>
                <w:r w:rsidR="00812950">
                  <w:rPr>
                    <w:b/>
                    <w:sz w:val="18"/>
                    <w:szCs w:val="18"/>
                  </w:rPr>
                  <w:t xml:space="preserve"> </w:t>
                </w:r>
                <w:bookmarkStart w:id="11" w:name="info_paper"/>
                <w:bookmarkEnd w:id="11"/>
              </w:p>
            </w:tc>
          </w:tr>
          <w:tr w:rsidR="00812950" w14:paraId="6BE15345"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2BAB762C" w14:textId="77777777" w:rsidR="00812950" w:rsidRDefault="00812950" w:rsidP="006079B9">
                <w:pPr>
                  <w:framePr w:hSpace="180" w:wrap="around" w:vAnchor="text" w:hAnchor="text" w:y="1"/>
                  <w:autoSpaceDE w:val="0"/>
                  <w:autoSpaceDN w:val="0"/>
                  <w:adjustRightInd w:val="0"/>
                  <w:suppressOverlap/>
                  <w:jc w:val="left"/>
                  <w:rPr>
                    <w:szCs w:val="22"/>
                  </w:rPr>
                </w:pPr>
              </w:p>
            </w:tc>
          </w:tr>
        </w:tbl>
        <w:p w14:paraId="3E445D60" w14:textId="77777777" w:rsidR="00812950" w:rsidRDefault="00812950">
          <w:pPr>
            <w:tabs>
              <w:tab w:val="left" w:pos="720"/>
              <w:tab w:val="left" w:pos="1440"/>
              <w:tab w:val="left" w:pos="1800"/>
              <w:tab w:val="left" w:pos="2160"/>
              <w:tab w:val="left" w:pos="2520"/>
              <w:tab w:val="left" w:pos="2880"/>
            </w:tabs>
            <w:autoSpaceDE w:val="0"/>
            <w:autoSpaceDN w:val="0"/>
            <w:adjustRightInd w:val="0"/>
            <w:ind w:left="4320"/>
            <w:rPr>
              <w:b/>
              <w:sz w:val="18"/>
              <w:szCs w:val="18"/>
            </w:rPr>
          </w:pPr>
        </w:p>
      </w:tc>
    </w:tr>
  </w:tbl>
  <w:p w14:paraId="3E900C0D" w14:textId="77777777" w:rsidR="00812950" w:rsidRDefault="00812950">
    <w:pPr>
      <w:pStyle w:val="3para"/>
      <w:numPr>
        <w:ilvl w:val="0"/>
        <w:numId w:val="0"/>
      </w:numPr>
      <w:tabs>
        <w:tab w:val="left" w:pos="6480"/>
      </w:tabs>
      <w:spacing w:after="0"/>
      <w:outlineLvl w:val="9"/>
    </w:pPr>
    <w:r>
      <w:tab/>
      <w:t>ATMRPP-WG/WHL/x-IP/</w:t>
    </w:r>
  </w:p>
  <w:p w14:paraId="372B11EF" w14:textId="77777777" w:rsidR="00812950" w:rsidRDefault="00812950">
    <w:pPr>
      <w:pStyle w:val="smallfont"/>
      <w:tabs>
        <w:tab w:val="clear" w:pos="6660"/>
        <w:tab w:val="left" w:pos="6480"/>
      </w:tabs>
      <w:spacing w:after="600"/>
      <w:rPr>
        <w:b/>
      </w:rPr>
    </w:pPr>
    <w:r>
      <w:tab/>
      <w:t>.././06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
    <w:nsid w:val="674E637C"/>
    <w:multiLevelType w:val="singleLevel"/>
    <w:tmpl w:val="DCF4410C"/>
    <w:lvl w:ilvl="0">
      <w:start w:val="1"/>
      <w:numFmt w:val="lowerLetter"/>
      <w:pStyle w:val="Listabc"/>
      <w:lvlText w:val="%1)"/>
      <w:lvlJc w:val="left"/>
      <w:pPr>
        <w:tabs>
          <w:tab w:val="num" w:pos="360"/>
        </w:tabs>
        <w:ind w:left="360" w:hanging="360"/>
      </w:pPr>
    </w:lvl>
  </w:abstractNum>
  <w:num w:numId="1">
    <w:abstractNumId w:val="2"/>
  </w:num>
  <w:num w:numId="2">
    <w:abstractNumId w:val="3"/>
  </w:num>
  <w:num w:numId="3">
    <w:abstractNumId w:val="1"/>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formsDesig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0160"/>
    <w:rsid w:val="000B19FA"/>
    <w:rsid w:val="001449D6"/>
    <w:rsid w:val="001742AF"/>
    <w:rsid w:val="001857C4"/>
    <w:rsid w:val="00261317"/>
    <w:rsid w:val="003D7FD8"/>
    <w:rsid w:val="004D46B0"/>
    <w:rsid w:val="004E0F4A"/>
    <w:rsid w:val="004E4B58"/>
    <w:rsid w:val="00541201"/>
    <w:rsid w:val="005519FD"/>
    <w:rsid w:val="00552447"/>
    <w:rsid w:val="005F109E"/>
    <w:rsid w:val="006079B9"/>
    <w:rsid w:val="0067447C"/>
    <w:rsid w:val="006E72C0"/>
    <w:rsid w:val="00702279"/>
    <w:rsid w:val="00707ADA"/>
    <w:rsid w:val="00770160"/>
    <w:rsid w:val="0078457A"/>
    <w:rsid w:val="007A2C57"/>
    <w:rsid w:val="007F0398"/>
    <w:rsid w:val="00812950"/>
    <w:rsid w:val="008150C2"/>
    <w:rsid w:val="00917E36"/>
    <w:rsid w:val="00930FD5"/>
    <w:rsid w:val="00962B86"/>
    <w:rsid w:val="009A056D"/>
    <w:rsid w:val="00A12CBA"/>
    <w:rsid w:val="00A26F34"/>
    <w:rsid w:val="00A459F8"/>
    <w:rsid w:val="00A57B8F"/>
    <w:rsid w:val="00AD1C3E"/>
    <w:rsid w:val="00B31502"/>
    <w:rsid w:val="00B72E78"/>
    <w:rsid w:val="00BA1984"/>
    <w:rsid w:val="00BB53D1"/>
    <w:rsid w:val="00C62653"/>
    <w:rsid w:val="00C87B77"/>
    <w:rsid w:val="00CA0175"/>
    <w:rsid w:val="00CB5CFE"/>
    <w:rsid w:val="00D361E2"/>
    <w:rsid w:val="00DC0A68"/>
    <w:rsid w:val="00E33FDA"/>
    <w:rsid w:val="00E52A27"/>
    <w:rsid w:val="00F00E16"/>
    <w:rsid w:val="00F1361B"/>
    <w:rsid w:val="00F21296"/>
    <w:rsid w:val="00F63E2C"/>
    <w:rsid w:val="00FD56F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26F0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2"/>
      <w:lang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FootnoteText">
    <w:name w:val="footnote text"/>
    <w:basedOn w:val="Normal"/>
    <w:link w:val="FootnoteTextChar"/>
    <w:rsid w:val="007A2C57"/>
    <w:rPr>
      <w:sz w:val="20"/>
    </w:rPr>
  </w:style>
  <w:style w:type="paragraph" w:customStyle="1" w:styleId="Blockquote">
    <w:name w:val="Blockquote"/>
    <w:basedOn w:val="Normal"/>
    <w:pPr>
      <w:spacing w:after="240"/>
      <w:ind w:left="1440"/>
      <w:jc w:val="center"/>
    </w:pPr>
    <w:rPr>
      <w:b/>
      <w:sz w:val="24"/>
      <w:lang w:val="en-US"/>
    </w:rPr>
  </w:style>
  <w:style w:type="character" w:customStyle="1" w:styleId="FootnoteTextChar">
    <w:name w:val="Footnote Text Char"/>
    <w:link w:val="FootnoteText"/>
    <w:rsid w:val="007A2C57"/>
    <w:rPr>
      <w:lang w:eastAsia="en-US"/>
    </w:rPr>
  </w:style>
  <w:style w:type="character" w:styleId="FootnoteReference">
    <w:name w:val="footnote reference"/>
    <w:rsid w:val="007A2C57"/>
    <w:rPr>
      <w:vertAlign w:val="superscript"/>
    </w:rPr>
  </w:style>
  <w:style w:type="character" w:styleId="Hyperlink">
    <w:name w:val="Hyperlink"/>
    <w:rsid w:val="00B31502"/>
    <w:rPr>
      <w:color w:val="0563C1"/>
      <w:u w:val="single"/>
    </w:rPr>
  </w:style>
  <w:style w:type="character" w:customStyle="1" w:styleId="UnresolvedMention">
    <w:name w:val="Unresolved Mention"/>
    <w:uiPriority w:val="99"/>
    <w:semiHidden/>
    <w:unhideWhenUsed/>
    <w:rsid w:val="00B31502"/>
    <w:rPr>
      <w:color w:val="808080"/>
      <w:shd w:val="clear" w:color="auto" w:fill="E6E6E6"/>
    </w:rPr>
  </w:style>
  <w:style w:type="paragraph" w:customStyle="1" w:styleId="Default">
    <w:name w:val="Default"/>
    <w:rsid w:val="00E33FDA"/>
    <w:pPr>
      <w:autoSpaceDE w:val="0"/>
      <w:autoSpaceDN w:val="0"/>
      <w:adjustRightInd w:val="0"/>
    </w:pPr>
    <w:rPr>
      <w:color w:val="000000"/>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49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emf"/><Relationship Id="rId18" Type="http://schemas.openxmlformats.org/officeDocument/2006/relationships/package" Target="embeddings/Microsoft_Word_Document1.docx"/><Relationship Id="rId3" Type="http://schemas.openxmlformats.org/officeDocument/2006/relationships/customXml" Target="../customXml/item3.xml"/><Relationship Id="rId21" Type="http://schemas.openxmlformats.org/officeDocument/2006/relationships/header" Target="header3.xml"/><Relationship Id="rId7" Type="http://schemas.microsoft.com/office/2007/relationships/stylesWithEffects" Target="stylesWithEffects.xml"/><Relationship Id="rId12" Type="http://schemas.openxmlformats.org/officeDocument/2006/relationships/hyperlink" Target="https://portal.etsi.org/webapp/WorkProgram/Report_WorkItem.asp?WKI_ID=50119" TargetMode="Externa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oleObject" Target="embeddings/oleObject1.bin"/><Relationship Id="rId22"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9EE45F-8479-4AE4-9A56-4923546BF97E}"/>
</file>

<file path=customXml/itemProps2.xml><?xml version="1.0" encoding="utf-8"?>
<ds:datastoreItem xmlns:ds="http://schemas.openxmlformats.org/officeDocument/2006/customXml" ds:itemID="{5F9C57D1-0056-4909-9168-E443EEBD8CB1}"/>
</file>

<file path=customXml/itemProps3.xml><?xml version="1.0" encoding="utf-8"?>
<ds:datastoreItem xmlns:ds="http://schemas.openxmlformats.org/officeDocument/2006/customXml" ds:itemID="{EB187255-1E5A-40F6-9779-9DE75BDF944B}"/>
</file>

<file path=customXml/itemProps4.xml><?xml version="1.0" encoding="utf-8"?>
<ds:datastoreItem xmlns:ds="http://schemas.openxmlformats.org/officeDocument/2006/customXml" ds:itemID="{971098A2-4DEA-4DF6-B614-069D959389C8}"/>
</file>

<file path=docProps/app.xml><?xml version="1.0" encoding="utf-8"?>
<Properties xmlns="http://schemas.openxmlformats.org/officeDocument/2006/extended-properties" xmlns:vt="http://schemas.openxmlformats.org/officeDocument/2006/docPropsVTypes">
  <Template>ATMRPP_WG_WHL_1.dot</Template>
  <TotalTime>3</TotalTime>
  <Pages>5</Pages>
  <Words>837</Words>
  <Characters>4773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5599</CharactersWithSpaces>
  <SharedDoc>false</SharedDoc>
  <HLinks>
    <vt:vector size="6" baseType="variant">
      <vt:variant>
        <vt:i4>1704012</vt:i4>
      </vt:variant>
      <vt:variant>
        <vt:i4>0</vt:i4>
      </vt:variant>
      <vt:variant>
        <vt:i4>0</vt:i4>
      </vt:variant>
      <vt:variant>
        <vt:i4>5</vt:i4>
      </vt:variant>
      <vt:variant>
        <vt:lpwstr>https://portal.etsi.org/webapp/WorkProgram/Report_WorkItem.asp?WKI_ID=50119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Loftur</cp:lastModifiedBy>
  <cp:revision>3</cp:revision>
  <cp:lastPrinted>2005-03-16T13:26:00Z</cp:lastPrinted>
  <dcterms:created xsi:type="dcterms:W3CDTF">2018-02-04T10:51:00Z</dcterms:created>
  <dcterms:modified xsi:type="dcterms:W3CDTF">2018-02-04T18:43:00Z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