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5B7B" w14:textId="77777777" w:rsidR="00FF33FF" w:rsidRDefault="00FF33FF" w:rsidP="00FF33FF">
      <w:pPr>
        <w:jc w:val="center"/>
        <w:rPr>
          <w:b/>
        </w:rPr>
      </w:pPr>
      <w:r w:rsidRPr="00D23A12">
        <w:rPr>
          <w:b/>
        </w:rPr>
        <w:t>FREQUENCY SPECTRUM</w:t>
      </w:r>
      <w:r>
        <w:rPr>
          <w:b/>
        </w:rPr>
        <w:t xml:space="preserve"> MANGEMENT PANEL (FSMP)</w:t>
      </w:r>
    </w:p>
    <w:p w14:paraId="1ECF52E1" w14:textId="77777777" w:rsidR="00FF33FF" w:rsidRDefault="00FF33FF" w:rsidP="00FF33FF">
      <w:pPr>
        <w:tabs>
          <w:tab w:val="left" w:pos="6972"/>
        </w:tabs>
        <w:jc w:val="center"/>
        <w:rPr>
          <w:b/>
        </w:rPr>
      </w:pPr>
    </w:p>
    <w:p w14:paraId="12AB495F" w14:textId="77777777" w:rsidR="00FF33FF" w:rsidRDefault="00FF33FF" w:rsidP="00FF33FF">
      <w:pPr>
        <w:widowControl w:val="0"/>
        <w:autoSpaceDE w:val="0"/>
        <w:autoSpaceDN w:val="0"/>
        <w:adjustRightInd w:val="0"/>
        <w:ind w:right="4"/>
        <w:jc w:val="center"/>
        <w:rPr>
          <w:rFonts w:eastAsia="SimSun"/>
          <w:b/>
          <w:caps/>
          <w:szCs w:val="24"/>
        </w:rPr>
      </w:pPr>
      <w:r>
        <w:rPr>
          <w:rFonts w:eastAsia="SimSun"/>
          <w:b/>
          <w:szCs w:val="24"/>
        </w:rPr>
        <w:t>Seventeenth</w:t>
      </w:r>
      <w:r w:rsidRPr="003A7291">
        <w:rPr>
          <w:rFonts w:eastAsia="SimSun"/>
          <w:b/>
          <w:szCs w:val="24"/>
        </w:rPr>
        <w:t xml:space="preserve"> Working Group Meeting </w:t>
      </w:r>
    </w:p>
    <w:p w14:paraId="502A8DDD" w14:textId="77777777" w:rsidR="00FF33FF" w:rsidRDefault="00FF33FF" w:rsidP="00FF33FF">
      <w:pPr>
        <w:widowControl w:val="0"/>
        <w:autoSpaceDE w:val="0"/>
        <w:autoSpaceDN w:val="0"/>
        <w:adjustRightInd w:val="0"/>
        <w:ind w:right="4"/>
        <w:jc w:val="center"/>
        <w:rPr>
          <w:rFonts w:eastAsia="SimSun"/>
          <w:b/>
          <w:caps/>
          <w:szCs w:val="24"/>
        </w:rPr>
      </w:pPr>
    </w:p>
    <w:p w14:paraId="0B9134A6" w14:textId="77777777" w:rsidR="00FF33FF" w:rsidRDefault="00FF33FF" w:rsidP="00FF33FF">
      <w:pPr>
        <w:widowControl w:val="0"/>
        <w:autoSpaceDE w:val="0"/>
        <w:autoSpaceDN w:val="0"/>
        <w:adjustRightInd w:val="0"/>
        <w:jc w:val="center"/>
        <w:rPr>
          <w:rFonts w:eastAsia="SimSun"/>
          <w:b/>
          <w:szCs w:val="24"/>
        </w:rPr>
      </w:pPr>
      <w:r w:rsidRPr="00BD46AB">
        <w:rPr>
          <w:rFonts w:eastAsia="SimSun"/>
          <w:b/>
          <w:szCs w:val="24"/>
        </w:rPr>
        <w:t>Cairo, Egypt – 30 August – 7 September 2023</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632DCD8E" w14:textId="3EA55B13" w:rsidR="00373594" w:rsidRDefault="001E2302" w:rsidP="00373594">
      <w:pPr>
        <w:kinsoku w:val="0"/>
        <w:overflowPunct w:val="0"/>
        <w:autoSpaceDE w:val="0"/>
        <w:autoSpaceDN w:val="0"/>
        <w:adjustRightInd w:val="0"/>
        <w:spacing w:line="237" w:lineRule="exact"/>
        <w:rPr>
          <w:rFonts w:eastAsia="Calibri"/>
          <w:bCs/>
        </w:rPr>
      </w:pPr>
      <w:r>
        <w:rPr>
          <w:b/>
        </w:rPr>
        <w:t xml:space="preserve">Agenda Item </w:t>
      </w:r>
      <w:r w:rsidR="007E69E4">
        <w:rPr>
          <w:b/>
        </w:rPr>
        <w:t>3</w:t>
      </w:r>
      <w:r w:rsidR="0029192F" w:rsidRPr="0029192F">
        <w:rPr>
          <w:b/>
        </w:rPr>
        <w:t>:</w:t>
      </w:r>
      <w:r w:rsidR="00373594">
        <w:rPr>
          <w:b/>
        </w:rPr>
        <w:tab/>
      </w:r>
      <w:r w:rsidR="00373594" w:rsidRPr="00373594">
        <w:rPr>
          <w:rFonts w:eastAsia="Calibri"/>
          <w:b/>
        </w:rPr>
        <w:t>Development of (planned) Material for ITU-R Studies on:</w:t>
      </w:r>
    </w:p>
    <w:p w14:paraId="78E6B163" w14:textId="2E460C7E" w:rsidR="007C091B" w:rsidRDefault="003C5887" w:rsidP="007E69E4">
      <w:pPr>
        <w:kinsoku w:val="0"/>
        <w:overflowPunct w:val="0"/>
        <w:autoSpaceDE w:val="0"/>
        <w:autoSpaceDN w:val="0"/>
        <w:adjustRightInd w:val="0"/>
        <w:spacing w:line="237" w:lineRule="exact"/>
        <w:ind w:left="3060" w:hanging="900"/>
        <w:rPr>
          <w:rFonts w:eastAsia="Calibri"/>
          <w:bCs/>
        </w:rPr>
      </w:pPr>
      <w:r>
        <w:rPr>
          <w:rFonts w:eastAsia="Calibri"/>
          <w:bCs/>
        </w:rPr>
        <w:t>h</w:t>
      </w:r>
      <w:r w:rsidR="007C091B">
        <w:rPr>
          <w:rFonts w:eastAsia="Calibri"/>
          <w:bCs/>
        </w:rPr>
        <w:t>)</w:t>
      </w:r>
      <w:r w:rsidR="007C091B">
        <w:rPr>
          <w:rFonts w:eastAsia="Calibri"/>
          <w:bCs/>
        </w:rPr>
        <w:tab/>
      </w:r>
      <w:r w:rsidR="007E69E4">
        <w:rPr>
          <w:rFonts w:eastAsia="Calibri"/>
          <w:bCs/>
        </w:rPr>
        <w:t>Other</w:t>
      </w:r>
      <w:r w:rsidR="004C1045">
        <w:rPr>
          <w:rFonts w:eastAsia="Calibri"/>
          <w:bCs/>
        </w:rPr>
        <w:t xml:space="preserve"> ITU-R material outside of WRC items</w:t>
      </w:r>
    </w:p>
    <w:p w14:paraId="09F67D7B" w14:textId="207E412A" w:rsidR="0029192F" w:rsidRPr="0029192F" w:rsidRDefault="0029192F" w:rsidP="0029192F">
      <w:pPr>
        <w:jc w:val="left"/>
        <w:rPr>
          <w:b/>
        </w:rPr>
      </w:pP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bookmarkStart w:id="0" w:name="30j0zll" w:colFirst="0" w:colLast="0"/>
      <w:bookmarkEnd w:id="0"/>
    </w:p>
    <w:p w14:paraId="1BA7BCA9" w14:textId="714ADBA7" w:rsidR="009E6FA0" w:rsidRDefault="0044698C" w:rsidP="0044698C">
      <w:pPr>
        <w:pStyle w:val="Maintitle"/>
      </w:pPr>
      <w:r w:rsidRPr="0044698C">
        <w:t xml:space="preserve">A reply liaison statement to ITU-R Working Party 1A (copy to </w:t>
      </w:r>
      <w:r>
        <w:t>IMO and ICAO</w:t>
      </w:r>
      <w:r w:rsidRPr="0044698C">
        <w:t>) containing comments on WPT studies from ITU-R Working Party 5B</w:t>
      </w:r>
    </w:p>
    <w:p w14:paraId="700D27E7" w14:textId="77777777" w:rsidR="009E6FA0" w:rsidRDefault="009E6FA0" w:rsidP="009E6FA0">
      <w:pPr>
        <w:tabs>
          <w:tab w:val="left" w:pos="6972"/>
        </w:tabs>
      </w:pPr>
    </w:p>
    <w:p w14:paraId="43C0B2F1" w14:textId="7B5CEF9D" w:rsidR="009E6FA0" w:rsidRDefault="009E6FA0" w:rsidP="004C1045">
      <w:pPr>
        <w:jc w:val="center"/>
      </w:pPr>
      <w:r>
        <w:t>(Presented by</w:t>
      </w:r>
      <w:bookmarkStart w:id="1" w:name="presented_by"/>
      <w:bookmarkEnd w:id="1"/>
      <w:r>
        <w:t xml:space="preserve"> </w:t>
      </w:r>
      <w:r w:rsidR="0044698C">
        <w:t>Secretary</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7E8FF03A" w14:textId="134E6B6C" w:rsidR="007E69E4" w:rsidRPr="00444066" w:rsidRDefault="007E69E4" w:rsidP="00F34934">
            <w:pPr>
              <w:rPr>
                <w:bCs/>
              </w:rPr>
            </w:pPr>
            <w:r>
              <w:t xml:space="preserve">Attached is a </w:t>
            </w:r>
            <w:r w:rsidR="003C5887">
              <w:t xml:space="preserve">copy of a reply </w:t>
            </w:r>
            <w:r>
              <w:t xml:space="preserve">liaison statement </w:t>
            </w:r>
            <w:r w:rsidR="003C5887">
              <w:t xml:space="preserve">to ITU R Working Party 1A </w:t>
            </w:r>
            <w:r>
              <w:t xml:space="preserve">from ITU-R WP5B, </w:t>
            </w:r>
            <w:r w:rsidR="003C5887">
              <w:t>containing comments on WRT studies</w:t>
            </w:r>
            <w:r w:rsidR="00F34934">
              <w:t xml:space="preserve">. </w:t>
            </w:r>
          </w:p>
          <w:p w14:paraId="72FFE0D2" w14:textId="77777777" w:rsidR="007E69E4" w:rsidRDefault="007E69E4" w:rsidP="007E69E4"/>
          <w:p w14:paraId="1E48ECBD" w14:textId="04FFFD08" w:rsidR="009E6FA0" w:rsidRDefault="007E69E4" w:rsidP="00F34934">
            <w:r>
              <w:t>Action:  FSMP WG/1</w:t>
            </w:r>
            <w:r w:rsidR="00FF33FF">
              <w:t>7</w:t>
            </w:r>
            <w:r>
              <w:t xml:space="preserve"> is invited to </w:t>
            </w:r>
            <w:r w:rsidR="00FF33FF">
              <w:t xml:space="preserve">note </w:t>
            </w:r>
            <w:r>
              <w:t xml:space="preserve">the attached </w:t>
            </w:r>
            <w:r w:rsidR="00FF33FF">
              <w:t xml:space="preserve">copy of a reply </w:t>
            </w:r>
            <w:r>
              <w:t>liaison statement</w:t>
            </w:r>
            <w:r w:rsidR="009E6FA0">
              <w:t>.</w:t>
            </w:r>
          </w:p>
        </w:tc>
      </w:tr>
    </w:tbl>
    <w:p w14:paraId="42C4BA17" w14:textId="3ED46808" w:rsidR="009E6FA0" w:rsidRDefault="009E6FA0" w:rsidP="009E6FA0"/>
    <w:p w14:paraId="1023EF95" w14:textId="77777777" w:rsidR="009E6FA0" w:rsidRDefault="009E6FA0" w:rsidP="009E6FA0">
      <w:pPr>
        <w:spacing w:before="600"/>
        <w:jc w:val="center"/>
      </w:pPr>
      <w:r w:rsidRPr="00DC752E">
        <w:t>______________</w:t>
      </w:r>
    </w:p>
    <w:p w14:paraId="122561DA" w14:textId="77777777" w:rsidR="00FF33FF"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F33FF" w:rsidRPr="00FF33FF" w14:paraId="43AC4669" w14:textId="77777777" w:rsidTr="006A1BE2">
        <w:trPr>
          <w:cantSplit/>
        </w:trPr>
        <w:tc>
          <w:tcPr>
            <w:tcW w:w="6487" w:type="dxa"/>
            <w:vAlign w:val="center"/>
          </w:tcPr>
          <w:p w14:paraId="5DF92CC1" w14:textId="77777777" w:rsidR="00FF33FF" w:rsidRPr="00FF33FF" w:rsidRDefault="00FF33FF" w:rsidP="00FF33FF">
            <w:pPr>
              <w:shd w:val="solid" w:color="FFFFFF" w:fill="FFFFFF"/>
              <w:tabs>
                <w:tab w:val="left" w:pos="1134"/>
                <w:tab w:val="left" w:pos="1871"/>
                <w:tab w:val="left" w:pos="2268"/>
              </w:tabs>
              <w:overflowPunct w:val="0"/>
              <w:autoSpaceDE w:val="0"/>
              <w:autoSpaceDN w:val="0"/>
              <w:adjustRightInd w:val="0"/>
              <w:jc w:val="left"/>
              <w:textAlignment w:val="baseline"/>
              <w:rPr>
                <w:rFonts w:ascii="Verdana" w:hAnsi="Verdana" w:cs="Times New Roman Bold"/>
                <w:b/>
                <w:bCs/>
                <w:sz w:val="26"/>
                <w:szCs w:val="26"/>
                <w:lang w:val="en-GB"/>
              </w:rPr>
            </w:pPr>
            <w:r w:rsidRPr="00FF33FF">
              <w:rPr>
                <w:rFonts w:ascii="Verdana" w:hAnsi="Verdana" w:cs="Times New Roman Bold"/>
                <w:b/>
                <w:bCs/>
                <w:sz w:val="26"/>
                <w:szCs w:val="26"/>
                <w:lang w:val="en-GB"/>
              </w:rPr>
              <w:lastRenderedPageBreak/>
              <w:t>Radiocommunication Study Groups</w:t>
            </w:r>
          </w:p>
        </w:tc>
        <w:tc>
          <w:tcPr>
            <w:tcW w:w="3402" w:type="dxa"/>
          </w:tcPr>
          <w:p w14:paraId="3B36E2EC" w14:textId="77777777" w:rsidR="00FF33FF" w:rsidRPr="00FF33FF" w:rsidRDefault="00FF33FF" w:rsidP="00FF33FF">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sz w:val="24"/>
                <w:szCs w:val="20"/>
                <w:lang w:val="en-GB"/>
              </w:rPr>
            </w:pPr>
            <w:bookmarkStart w:id="2" w:name="ditulogo"/>
            <w:bookmarkEnd w:id="2"/>
            <w:r w:rsidRPr="00FF33FF">
              <w:rPr>
                <w:noProof/>
                <w:sz w:val="24"/>
                <w:szCs w:val="20"/>
                <w:lang w:val="en-GB" w:eastAsia="en-GB"/>
              </w:rPr>
              <w:drawing>
                <wp:inline distT="0" distB="0" distL="0" distR="0" wp14:anchorId="7B440413" wp14:editId="7B5D4E27">
                  <wp:extent cx="765175" cy="765175"/>
                  <wp:effectExtent l="0" t="0" r="0" b="0"/>
                  <wp:docPr id="2"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F33FF" w:rsidRPr="00FF33FF" w14:paraId="7D03FD41" w14:textId="77777777" w:rsidTr="006A1BE2">
        <w:trPr>
          <w:cantSplit/>
        </w:trPr>
        <w:tc>
          <w:tcPr>
            <w:tcW w:w="6487" w:type="dxa"/>
            <w:tcBorders>
              <w:bottom w:val="single" w:sz="12" w:space="0" w:color="auto"/>
            </w:tcBorders>
          </w:tcPr>
          <w:p w14:paraId="4315F958" w14:textId="77777777" w:rsidR="00FF33FF" w:rsidRPr="00FF33FF" w:rsidRDefault="00FF33FF" w:rsidP="00FF33FF">
            <w:pPr>
              <w:shd w:val="solid" w:color="FFFFFF" w:fill="FFFFFF"/>
              <w:tabs>
                <w:tab w:val="left" w:pos="1134"/>
                <w:tab w:val="left" w:pos="1871"/>
                <w:tab w:val="left" w:pos="2268"/>
              </w:tabs>
              <w:overflowPunct w:val="0"/>
              <w:autoSpaceDE w:val="0"/>
              <w:autoSpaceDN w:val="0"/>
              <w:adjustRightInd w:val="0"/>
              <w:spacing w:after="48"/>
              <w:jc w:val="left"/>
              <w:textAlignment w:val="baseline"/>
              <w:rPr>
                <w:rFonts w:ascii="Verdana" w:hAnsi="Verdana" w:cs="Times New Roman Bold"/>
                <w:b/>
                <w:lang w:val="en-GB"/>
              </w:rPr>
            </w:pPr>
          </w:p>
        </w:tc>
        <w:tc>
          <w:tcPr>
            <w:tcW w:w="3402" w:type="dxa"/>
            <w:tcBorders>
              <w:bottom w:val="single" w:sz="12" w:space="0" w:color="auto"/>
            </w:tcBorders>
          </w:tcPr>
          <w:p w14:paraId="3D0B7E95" w14:textId="77777777" w:rsidR="00FF33FF" w:rsidRPr="00FF33FF" w:rsidRDefault="00FF33FF" w:rsidP="00FF33FF">
            <w:pPr>
              <w:shd w:val="solid" w:color="FFFFFF" w:fill="FFFFFF"/>
              <w:tabs>
                <w:tab w:val="left" w:pos="1134"/>
                <w:tab w:val="left" w:pos="1871"/>
                <w:tab w:val="left" w:pos="2268"/>
              </w:tabs>
              <w:overflowPunct w:val="0"/>
              <w:autoSpaceDE w:val="0"/>
              <w:autoSpaceDN w:val="0"/>
              <w:adjustRightInd w:val="0"/>
              <w:spacing w:after="48" w:line="240" w:lineRule="atLeast"/>
              <w:jc w:val="left"/>
              <w:textAlignment w:val="baseline"/>
              <w:rPr>
                <w:lang w:val="en-GB"/>
              </w:rPr>
            </w:pPr>
          </w:p>
        </w:tc>
      </w:tr>
      <w:tr w:rsidR="00FF33FF" w:rsidRPr="00FF33FF" w14:paraId="2C3F5854" w14:textId="77777777" w:rsidTr="006A1BE2">
        <w:trPr>
          <w:cantSplit/>
        </w:trPr>
        <w:tc>
          <w:tcPr>
            <w:tcW w:w="6487" w:type="dxa"/>
            <w:tcBorders>
              <w:top w:val="single" w:sz="12" w:space="0" w:color="auto"/>
            </w:tcBorders>
          </w:tcPr>
          <w:p w14:paraId="1D17B2BB" w14:textId="77777777" w:rsidR="00FF33FF" w:rsidRPr="00FF33FF" w:rsidRDefault="00FF33FF" w:rsidP="00FF33FF">
            <w:pPr>
              <w:shd w:val="solid" w:color="FFFFFF" w:fill="FFFFFF"/>
              <w:tabs>
                <w:tab w:val="left" w:pos="1134"/>
                <w:tab w:val="left" w:pos="1871"/>
                <w:tab w:val="left" w:pos="2268"/>
              </w:tabs>
              <w:overflowPunct w:val="0"/>
              <w:autoSpaceDE w:val="0"/>
              <w:autoSpaceDN w:val="0"/>
              <w:adjustRightInd w:val="0"/>
              <w:spacing w:after="48"/>
              <w:jc w:val="left"/>
              <w:textAlignment w:val="baseline"/>
              <w:rPr>
                <w:rFonts w:ascii="Verdana" w:hAnsi="Verdana" w:cs="Times New Roman Bold"/>
                <w:bCs/>
                <w:lang w:val="en-GB"/>
              </w:rPr>
            </w:pPr>
          </w:p>
        </w:tc>
        <w:tc>
          <w:tcPr>
            <w:tcW w:w="3402" w:type="dxa"/>
            <w:tcBorders>
              <w:top w:val="single" w:sz="12" w:space="0" w:color="auto"/>
            </w:tcBorders>
          </w:tcPr>
          <w:p w14:paraId="31307D30" w14:textId="77777777" w:rsidR="00FF33FF" w:rsidRPr="00FF33FF" w:rsidRDefault="00FF33FF" w:rsidP="00FF33FF">
            <w:pPr>
              <w:shd w:val="solid" w:color="FFFFFF" w:fill="FFFFFF"/>
              <w:tabs>
                <w:tab w:val="left" w:pos="1134"/>
                <w:tab w:val="left" w:pos="1871"/>
                <w:tab w:val="left" w:pos="2268"/>
              </w:tabs>
              <w:overflowPunct w:val="0"/>
              <w:autoSpaceDE w:val="0"/>
              <w:autoSpaceDN w:val="0"/>
              <w:adjustRightInd w:val="0"/>
              <w:spacing w:after="48" w:line="240" w:lineRule="atLeast"/>
              <w:jc w:val="left"/>
              <w:textAlignment w:val="baseline"/>
              <w:rPr>
                <w:sz w:val="24"/>
                <w:szCs w:val="20"/>
                <w:lang w:val="en-GB"/>
              </w:rPr>
            </w:pPr>
          </w:p>
        </w:tc>
      </w:tr>
      <w:tr w:rsidR="00FF33FF" w:rsidRPr="008537C5" w14:paraId="73F10106" w14:textId="77777777" w:rsidTr="006A1BE2">
        <w:trPr>
          <w:cantSplit/>
        </w:trPr>
        <w:tc>
          <w:tcPr>
            <w:tcW w:w="6487" w:type="dxa"/>
            <w:vMerge w:val="restart"/>
          </w:tcPr>
          <w:p w14:paraId="152C69B5" w14:textId="77777777" w:rsidR="00FF33FF" w:rsidRPr="00FF33FF" w:rsidRDefault="00FF33FF" w:rsidP="00FF33FF">
            <w:pPr>
              <w:shd w:val="solid" w:color="FFFFFF" w:fill="FFFFFF"/>
              <w:overflowPunct w:val="0"/>
              <w:autoSpaceDE w:val="0"/>
              <w:autoSpaceDN w:val="0"/>
              <w:adjustRightInd w:val="0"/>
              <w:spacing w:after="240"/>
              <w:ind w:left="1134" w:hanging="1134"/>
              <w:jc w:val="left"/>
              <w:textAlignment w:val="baseline"/>
              <w:rPr>
                <w:rFonts w:ascii="Verdana" w:hAnsi="Verdana"/>
                <w:bCs/>
                <w:sz w:val="20"/>
                <w:szCs w:val="20"/>
                <w:lang w:val="fr-CA"/>
              </w:rPr>
            </w:pPr>
            <w:bookmarkStart w:id="3" w:name="recibido"/>
            <w:bookmarkStart w:id="4" w:name="dnum" w:colFirst="1" w:colLast="1"/>
            <w:bookmarkEnd w:id="3"/>
            <w:r w:rsidRPr="00FF33FF">
              <w:rPr>
                <w:rFonts w:ascii="Verdana" w:hAnsi="Verdana"/>
                <w:sz w:val="20"/>
                <w:szCs w:val="20"/>
                <w:lang w:val="fr-CA"/>
              </w:rPr>
              <w:t>Source:</w:t>
            </w:r>
            <w:r w:rsidRPr="00FF33FF">
              <w:rPr>
                <w:rFonts w:ascii="Verdana" w:hAnsi="Verdana"/>
                <w:sz w:val="20"/>
                <w:szCs w:val="20"/>
                <w:lang w:val="fr-CA"/>
              </w:rPr>
              <w:tab/>
              <w:t xml:space="preserve">Document </w:t>
            </w:r>
            <w:r w:rsidRPr="00FF33FF">
              <w:rPr>
                <w:rFonts w:ascii="Verdana" w:hAnsi="Verdana"/>
                <w:bCs/>
                <w:sz w:val="20"/>
                <w:szCs w:val="20"/>
                <w:lang w:val="fr-CA" w:eastAsia="zh-CN"/>
              </w:rPr>
              <w:t>5B/TEMP/337</w:t>
            </w:r>
          </w:p>
          <w:p w14:paraId="63DFFA67" w14:textId="77777777" w:rsidR="00FF33FF" w:rsidRPr="00FF33FF" w:rsidRDefault="00FF33FF" w:rsidP="00FF33FF">
            <w:pPr>
              <w:shd w:val="solid" w:color="FFFFFF" w:fill="FFFFFF"/>
              <w:overflowPunct w:val="0"/>
              <w:autoSpaceDE w:val="0"/>
              <w:autoSpaceDN w:val="0"/>
              <w:adjustRightInd w:val="0"/>
              <w:spacing w:after="240"/>
              <w:ind w:left="1134" w:hanging="1134"/>
              <w:jc w:val="left"/>
              <w:textAlignment w:val="baseline"/>
              <w:rPr>
                <w:rFonts w:ascii="Verdana" w:hAnsi="Verdana"/>
                <w:sz w:val="20"/>
                <w:szCs w:val="20"/>
                <w:lang w:val="fr-CA"/>
              </w:rPr>
            </w:pPr>
            <w:r w:rsidRPr="00FF33FF">
              <w:rPr>
                <w:rFonts w:ascii="Verdana" w:hAnsi="Verdana"/>
                <w:sz w:val="20"/>
                <w:szCs w:val="20"/>
                <w:lang w:val="fr-CA" w:eastAsia="zh-CN"/>
              </w:rPr>
              <w:t>Subject:</w:t>
            </w:r>
            <w:r w:rsidRPr="00FF33FF">
              <w:rPr>
                <w:rFonts w:ascii="Verdana" w:hAnsi="Verdana"/>
                <w:sz w:val="20"/>
                <w:szCs w:val="20"/>
                <w:lang w:val="fr-CA" w:eastAsia="zh-CN"/>
              </w:rPr>
              <w:tab/>
              <w:t>Liaison statement on WPT</w:t>
            </w:r>
          </w:p>
        </w:tc>
        <w:tc>
          <w:tcPr>
            <w:tcW w:w="3402" w:type="dxa"/>
          </w:tcPr>
          <w:p w14:paraId="22961D5B" w14:textId="77777777" w:rsidR="00FF33FF" w:rsidRPr="00FF33FF" w:rsidRDefault="00FF33FF" w:rsidP="00FF33FF">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rFonts w:ascii="Verdana" w:hAnsi="Verdana"/>
                <w:sz w:val="20"/>
                <w:szCs w:val="20"/>
                <w:lang w:val="fr-CA" w:eastAsia="zh-CN"/>
              </w:rPr>
            </w:pPr>
          </w:p>
        </w:tc>
      </w:tr>
      <w:tr w:rsidR="00FF33FF" w:rsidRPr="00FF33FF" w14:paraId="34B28BDC" w14:textId="77777777" w:rsidTr="006A1BE2">
        <w:trPr>
          <w:cantSplit/>
        </w:trPr>
        <w:tc>
          <w:tcPr>
            <w:tcW w:w="6487" w:type="dxa"/>
            <w:vMerge/>
          </w:tcPr>
          <w:p w14:paraId="7FC142A1" w14:textId="77777777" w:rsidR="00FF33FF" w:rsidRPr="00FF33FF" w:rsidRDefault="00FF33FF" w:rsidP="00FF33FF">
            <w:pPr>
              <w:tabs>
                <w:tab w:val="left" w:pos="1134"/>
                <w:tab w:val="left" w:pos="1871"/>
                <w:tab w:val="left" w:pos="2268"/>
              </w:tabs>
              <w:overflowPunct w:val="0"/>
              <w:autoSpaceDE w:val="0"/>
              <w:autoSpaceDN w:val="0"/>
              <w:adjustRightInd w:val="0"/>
              <w:spacing w:before="60"/>
              <w:jc w:val="center"/>
              <w:textAlignment w:val="baseline"/>
              <w:rPr>
                <w:b/>
                <w:smallCaps/>
                <w:sz w:val="32"/>
                <w:szCs w:val="20"/>
                <w:lang w:val="fr-CA" w:eastAsia="zh-CN"/>
              </w:rPr>
            </w:pPr>
            <w:bookmarkStart w:id="5" w:name="ddate" w:colFirst="1" w:colLast="1"/>
            <w:bookmarkEnd w:id="4"/>
          </w:p>
        </w:tc>
        <w:tc>
          <w:tcPr>
            <w:tcW w:w="3402" w:type="dxa"/>
          </w:tcPr>
          <w:p w14:paraId="342619A5" w14:textId="77777777" w:rsidR="00FF33FF" w:rsidRPr="00FF33FF" w:rsidRDefault="00FF33FF" w:rsidP="00FF33FF">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rFonts w:ascii="Verdana" w:hAnsi="Verdana"/>
                <w:sz w:val="20"/>
                <w:szCs w:val="20"/>
                <w:lang w:val="en-GB" w:eastAsia="zh-CN"/>
              </w:rPr>
            </w:pPr>
            <w:r w:rsidRPr="00FF33FF">
              <w:rPr>
                <w:rFonts w:ascii="Verdana" w:hAnsi="Verdana"/>
                <w:b/>
                <w:sz w:val="20"/>
                <w:szCs w:val="20"/>
                <w:lang w:val="en-GB" w:eastAsia="zh-CN"/>
              </w:rPr>
              <w:t>28 July 2023</w:t>
            </w:r>
          </w:p>
        </w:tc>
      </w:tr>
      <w:tr w:rsidR="00FF33FF" w:rsidRPr="00FF33FF" w14:paraId="754DD93C" w14:textId="77777777" w:rsidTr="006A1BE2">
        <w:trPr>
          <w:cantSplit/>
        </w:trPr>
        <w:tc>
          <w:tcPr>
            <w:tcW w:w="6487" w:type="dxa"/>
            <w:vMerge/>
          </w:tcPr>
          <w:p w14:paraId="40AC4440" w14:textId="77777777" w:rsidR="00FF33FF" w:rsidRPr="00FF33FF" w:rsidRDefault="00FF33FF" w:rsidP="00FF33FF">
            <w:pPr>
              <w:tabs>
                <w:tab w:val="left" w:pos="1134"/>
                <w:tab w:val="left" w:pos="1871"/>
                <w:tab w:val="left" w:pos="2268"/>
              </w:tabs>
              <w:overflowPunct w:val="0"/>
              <w:autoSpaceDE w:val="0"/>
              <w:autoSpaceDN w:val="0"/>
              <w:adjustRightInd w:val="0"/>
              <w:spacing w:before="60"/>
              <w:jc w:val="center"/>
              <w:textAlignment w:val="baseline"/>
              <w:rPr>
                <w:b/>
                <w:smallCaps/>
                <w:sz w:val="32"/>
                <w:szCs w:val="20"/>
                <w:lang w:val="en-GB" w:eastAsia="zh-CN"/>
              </w:rPr>
            </w:pPr>
            <w:bookmarkStart w:id="6" w:name="dorlang" w:colFirst="1" w:colLast="1"/>
            <w:bookmarkEnd w:id="5"/>
          </w:p>
        </w:tc>
        <w:tc>
          <w:tcPr>
            <w:tcW w:w="3402" w:type="dxa"/>
          </w:tcPr>
          <w:p w14:paraId="2BC3101C" w14:textId="77777777" w:rsidR="00FF33FF" w:rsidRPr="00FF33FF" w:rsidRDefault="00FF33FF" w:rsidP="00FF33FF">
            <w:pPr>
              <w:shd w:val="solid" w:color="FFFFFF" w:fill="FFFFFF"/>
              <w:tabs>
                <w:tab w:val="left" w:pos="1134"/>
                <w:tab w:val="left" w:pos="1871"/>
                <w:tab w:val="left" w:pos="2268"/>
              </w:tabs>
              <w:overflowPunct w:val="0"/>
              <w:autoSpaceDE w:val="0"/>
              <w:autoSpaceDN w:val="0"/>
              <w:adjustRightInd w:val="0"/>
              <w:spacing w:line="240" w:lineRule="atLeast"/>
              <w:jc w:val="left"/>
              <w:textAlignment w:val="baseline"/>
              <w:rPr>
                <w:rFonts w:ascii="Verdana" w:eastAsia="SimSun" w:hAnsi="Verdana"/>
                <w:sz w:val="20"/>
                <w:szCs w:val="20"/>
                <w:lang w:val="en-GB" w:eastAsia="zh-CN"/>
              </w:rPr>
            </w:pPr>
            <w:r w:rsidRPr="00FF33FF">
              <w:rPr>
                <w:rFonts w:ascii="Verdana" w:eastAsia="SimSun" w:hAnsi="Verdana"/>
                <w:b/>
                <w:sz w:val="20"/>
                <w:szCs w:val="20"/>
                <w:lang w:val="en-GB" w:eastAsia="zh-CN"/>
              </w:rPr>
              <w:t>English only</w:t>
            </w:r>
          </w:p>
        </w:tc>
      </w:tr>
      <w:tr w:rsidR="00FF33FF" w:rsidRPr="00FF33FF" w14:paraId="3074345A" w14:textId="77777777" w:rsidTr="006A1BE2">
        <w:trPr>
          <w:cantSplit/>
        </w:trPr>
        <w:tc>
          <w:tcPr>
            <w:tcW w:w="9889" w:type="dxa"/>
            <w:gridSpan w:val="2"/>
          </w:tcPr>
          <w:p w14:paraId="4693D58C" w14:textId="77777777" w:rsidR="00FF33FF" w:rsidRPr="00FF33FF" w:rsidRDefault="00FF33FF" w:rsidP="00FF33FF">
            <w:pPr>
              <w:tabs>
                <w:tab w:val="left" w:pos="1134"/>
                <w:tab w:val="left" w:pos="1871"/>
                <w:tab w:val="left" w:pos="2268"/>
              </w:tabs>
              <w:overflowPunct w:val="0"/>
              <w:autoSpaceDE w:val="0"/>
              <w:autoSpaceDN w:val="0"/>
              <w:adjustRightInd w:val="0"/>
              <w:spacing w:before="840"/>
              <w:jc w:val="center"/>
              <w:textAlignment w:val="baseline"/>
              <w:rPr>
                <w:b/>
                <w:sz w:val="28"/>
                <w:szCs w:val="20"/>
                <w:lang w:val="en-GB" w:eastAsia="zh-CN"/>
              </w:rPr>
            </w:pPr>
            <w:bookmarkStart w:id="7" w:name="dsource" w:colFirst="0" w:colLast="0"/>
            <w:bookmarkEnd w:id="6"/>
            <w:r w:rsidRPr="00FF33FF">
              <w:rPr>
                <w:b/>
                <w:sz w:val="28"/>
                <w:szCs w:val="20"/>
                <w:lang w:val="en-GB" w:eastAsia="zh-CN"/>
              </w:rPr>
              <w:t>ITU-R Working Party 5B</w:t>
            </w:r>
          </w:p>
        </w:tc>
      </w:tr>
      <w:tr w:rsidR="00FF33FF" w:rsidRPr="00FF33FF" w14:paraId="7B516B62" w14:textId="77777777" w:rsidTr="006A1BE2">
        <w:trPr>
          <w:cantSplit/>
        </w:trPr>
        <w:tc>
          <w:tcPr>
            <w:tcW w:w="9889" w:type="dxa"/>
            <w:gridSpan w:val="2"/>
          </w:tcPr>
          <w:p w14:paraId="75092806" w14:textId="77777777" w:rsidR="00FF33FF" w:rsidRPr="00FF33FF" w:rsidRDefault="00FF33FF" w:rsidP="00FF33FF">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bookmarkStart w:id="8" w:name="_Hlk116028031"/>
            <w:bookmarkStart w:id="9" w:name="drec" w:colFirst="0" w:colLast="0"/>
            <w:bookmarkEnd w:id="7"/>
            <w:r w:rsidRPr="00FF33FF">
              <w:rPr>
                <w:sz w:val="28"/>
                <w:szCs w:val="20"/>
                <w:lang w:val="en-GB"/>
              </w:rPr>
              <w:t>REPLY LIAISON STATEMENT TO ITU-R WORKING PARTY 1A</w:t>
            </w:r>
            <w:bookmarkEnd w:id="8"/>
            <w:r w:rsidRPr="00FF33FF">
              <w:rPr>
                <w:sz w:val="28"/>
                <w:szCs w:val="20"/>
                <w:lang w:val="en-GB"/>
              </w:rPr>
              <w:t xml:space="preserve"> </w:t>
            </w:r>
            <w:r w:rsidRPr="00FF33FF">
              <w:rPr>
                <w:sz w:val="28"/>
                <w:szCs w:val="20"/>
                <w:lang w:val="en-GB"/>
              </w:rPr>
              <w:br/>
              <w:t>(COPY TO INTERNATIONAL MARITIME ORGANIZATION AND INTERNATIONAL CIVIL AVIATION ORGANIZATION FOR INFORMATION)</w:t>
            </w:r>
          </w:p>
        </w:tc>
      </w:tr>
      <w:tr w:rsidR="00FF33FF" w:rsidRPr="00FF33FF" w14:paraId="5162E623" w14:textId="77777777" w:rsidTr="006A1BE2">
        <w:trPr>
          <w:cantSplit/>
        </w:trPr>
        <w:tc>
          <w:tcPr>
            <w:tcW w:w="9889" w:type="dxa"/>
            <w:gridSpan w:val="2"/>
          </w:tcPr>
          <w:p w14:paraId="7D917C85" w14:textId="77777777" w:rsidR="00FF33FF" w:rsidRPr="00FF33FF" w:rsidRDefault="00FF33FF" w:rsidP="00FF33FF">
            <w:pPr>
              <w:tabs>
                <w:tab w:val="left" w:pos="1134"/>
                <w:tab w:val="left" w:pos="1871"/>
                <w:tab w:val="left" w:pos="2268"/>
              </w:tabs>
              <w:spacing w:before="240"/>
              <w:jc w:val="center"/>
              <w:rPr>
                <w:b/>
                <w:sz w:val="28"/>
                <w:szCs w:val="20"/>
                <w:lang w:val="en-GB" w:eastAsia="zh-CN"/>
              </w:rPr>
            </w:pPr>
            <w:bookmarkStart w:id="10" w:name="_Hlk141434142"/>
            <w:bookmarkStart w:id="11" w:name="dtitle1" w:colFirst="0" w:colLast="0"/>
            <w:bookmarkEnd w:id="9"/>
            <w:r w:rsidRPr="00FF33FF">
              <w:rPr>
                <w:b/>
                <w:sz w:val="28"/>
                <w:szCs w:val="20"/>
                <w:lang w:val="en-GB" w:eastAsia="zh-CN"/>
              </w:rPr>
              <w:t>Comments on WPT studies</w:t>
            </w:r>
            <w:bookmarkEnd w:id="10"/>
          </w:p>
        </w:tc>
      </w:tr>
    </w:tbl>
    <w:bookmarkEnd w:id="11"/>
    <w:p w14:paraId="5A23B53D" w14:textId="77777777" w:rsidR="00FF33FF" w:rsidRPr="00FF33FF" w:rsidRDefault="00FF33FF" w:rsidP="00FF33FF">
      <w:pPr>
        <w:tabs>
          <w:tab w:val="left" w:pos="1134"/>
          <w:tab w:val="left" w:pos="1871"/>
          <w:tab w:val="left" w:pos="2268"/>
        </w:tabs>
        <w:overflowPunct w:val="0"/>
        <w:autoSpaceDE w:val="0"/>
        <w:autoSpaceDN w:val="0"/>
        <w:adjustRightInd w:val="0"/>
        <w:spacing w:before="360"/>
        <w:textAlignment w:val="baseline"/>
        <w:rPr>
          <w:sz w:val="24"/>
          <w:szCs w:val="20"/>
          <w:lang w:val="en-GB" w:eastAsia="zh-CN"/>
        </w:rPr>
      </w:pPr>
      <w:r w:rsidRPr="00FF33FF">
        <w:rPr>
          <w:sz w:val="24"/>
          <w:szCs w:val="20"/>
          <w:lang w:val="en-GB" w:eastAsia="zh-CN"/>
        </w:rPr>
        <w:t xml:space="preserve">ITU-R Working Party (WP) 5B would like to thank ITU-R WP 1A for its liaison statement in Document </w:t>
      </w:r>
      <w:hyperlink r:id="rId12" w:history="1">
        <w:r w:rsidRPr="00FF33FF">
          <w:rPr>
            <w:color w:val="0000FF"/>
            <w:sz w:val="24"/>
            <w:szCs w:val="20"/>
            <w:u w:val="single"/>
            <w:lang w:val="en-GB" w:eastAsia="zh-CN"/>
          </w:rPr>
          <w:t>5B/752</w:t>
        </w:r>
      </w:hyperlink>
      <w:r w:rsidRPr="00FF33FF">
        <w:rPr>
          <w:sz w:val="24"/>
          <w:szCs w:val="20"/>
          <w:lang w:val="en-GB" w:eastAsia="zh-CN"/>
        </w:rPr>
        <w:t xml:space="preserve"> </w:t>
      </w:r>
      <w:r w:rsidRPr="00FF33FF">
        <w:rPr>
          <w:rFonts w:eastAsia="Calibri"/>
          <w:sz w:val="24"/>
          <w:szCs w:val="20"/>
          <w:lang w:val="en-GB" w:eastAsia="zh-CN"/>
        </w:rPr>
        <w:t>and keeping WP 5B informed</w:t>
      </w:r>
      <w:r w:rsidRPr="00FF33FF">
        <w:rPr>
          <w:sz w:val="24"/>
          <w:szCs w:val="20"/>
          <w:lang w:val="en-GB" w:eastAsia="zh-CN"/>
        </w:rPr>
        <w:t xml:space="preserve">. It seems the information provided previously pertaining specifically to WPT EV was not taken into account by WP 1A. The interference risk of high power WPT (i.e. WPT for electric vehicle charging) and its unwanted emissions substantially exceed that of low power WPT. It is therefore necessary to focus the work of WP 1A on those applications with a higher interference risk. Although information on this topic has previously been provided to WP 1A (see liaison statement sent in Documents </w:t>
      </w:r>
      <w:hyperlink r:id="rId13" w:history="1">
        <w:r w:rsidRPr="00FF33FF">
          <w:rPr>
            <w:color w:val="0000FF"/>
            <w:sz w:val="24"/>
            <w:szCs w:val="20"/>
            <w:u w:val="single"/>
            <w:lang w:val="en-GB" w:eastAsia="zh-CN"/>
          </w:rPr>
          <w:t>1A/238</w:t>
        </w:r>
      </w:hyperlink>
      <w:r w:rsidRPr="00FF33FF">
        <w:rPr>
          <w:sz w:val="24"/>
          <w:szCs w:val="20"/>
          <w:lang w:val="en-GB" w:eastAsia="zh-CN"/>
        </w:rPr>
        <w:t xml:space="preserve"> and </w:t>
      </w:r>
      <w:hyperlink r:id="rId14" w:history="1">
        <w:r w:rsidRPr="00FF33FF">
          <w:rPr>
            <w:color w:val="0000FF"/>
            <w:sz w:val="24"/>
            <w:szCs w:val="24"/>
            <w:u w:val="single"/>
            <w:lang w:val="en-GB"/>
          </w:rPr>
          <w:t>1A/377 (2015-2019)</w:t>
        </w:r>
      </w:hyperlink>
      <w:r w:rsidRPr="00FF33FF">
        <w:rPr>
          <w:color w:val="0000FF"/>
          <w:sz w:val="24"/>
          <w:szCs w:val="24"/>
          <w:u w:val="single"/>
          <w:lang w:val="en-GB"/>
        </w:rPr>
        <w:t>)</w:t>
      </w:r>
      <w:r w:rsidRPr="00FF33FF">
        <w:rPr>
          <w:sz w:val="24"/>
          <w:szCs w:val="20"/>
          <w:lang w:val="en-GB" w:eastAsia="zh-CN"/>
        </w:rPr>
        <w:t>, this issue still needs to be addressed and resolved as a matter of urgency.</w:t>
      </w:r>
    </w:p>
    <w:p w14:paraId="26ECCDE9"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sz w:val="24"/>
          <w:szCs w:val="20"/>
          <w:lang w:val="en-GB" w:eastAsia="zh-CN"/>
        </w:rPr>
      </w:pPr>
      <w:r w:rsidRPr="00FF33FF">
        <w:rPr>
          <w:sz w:val="24"/>
          <w:szCs w:val="20"/>
          <w:lang w:val="en-GB" w:eastAsia="zh-CN"/>
        </w:rPr>
        <w:t>Working Party 5B has identified that the work carried out in WP 1A addresses different categories of WPT: high power WPT (i.e. WPT for electric vehicle charging) and low power WPT for portable and mobile devices. Each is addressed in corresponding ITU-R Recommendations and Reports. WP 5B would specifically like to point out that the interference risk of high power WPT (i.e. WPT for electric vehicle charging) and its unwanted emissions exceeds those of low power WPT. The response here is therefore split into two parts. The first part covers WPT-EV</w:t>
      </w:r>
      <w:r w:rsidRPr="00FF33FF">
        <w:rPr>
          <w:position w:val="6"/>
          <w:sz w:val="18"/>
          <w:szCs w:val="20"/>
          <w:lang w:val="en-GB" w:eastAsia="zh-CN"/>
        </w:rPr>
        <w:footnoteReference w:id="2"/>
      </w:r>
      <w:r w:rsidRPr="00FF33FF">
        <w:rPr>
          <w:sz w:val="24"/>
          <w:szCs w:val="20"/>
          <w:lang w:val="en-GB" w:eastAsia="zh-CN"/>
        </w:rPr>
        <w:t xml:space="preserve"> while the second part focuses on low power WPT for portable and mobile devices.</w:t>
      </w:r>
    </w:p>
    <w:p w14:paraId="65A43AEF" w14:textId="77777777" w:rsidR="00FF33FF" w:rsidRPr="00FF33FF" w:rsidRDefault="00FF33FF" w:rsidP="00FF33FF">
      <w:pPr>
        <w:keepNext/>
        <w:keepLines/>
        <w:tabs>
          <w:tab w:val="left" w:pos="1134"/>
          <w:tab w:val="left" w:pos="1871"/>
          <w:tab w:val="left" w:pos="2268"/>
        </w:tabs>
        <w:overflowPunct w:val="0"/>
        <w:autoSpaceDE w:val="0"/>
        <w:autoSpaceDN w:val="0"/>
        <w:adjustRightInd w:val="0"/>
        <w:spacing w:before="280"/>
        <w:ind w:left="1134" w:hanging="1134"/>
        <w:jc w:val="left"/>
        <w:textAlignment w:val="baseline"/>
        <w:outlineLvl w:val="0"/>
        <w:rPr>
          <w:b/>
          <w:sz w:val="28"/>
          <w:szCs w:val="20"/>
          <w:lang w:val="en-GB"/>
        </w:rPr>
      </w:pPr>
      <w:r w:rsidRPr="00FF33FF">
        <w:rPr>
          <w:b/>
          <w:sz w:val="28"/>
          <w:szCs w:val="20"/>
          <w:lang w:val="en-GB"/>
        </w:rPr>
        <w:t>1</w:t>
      </w:r>
      <w:r w:rsidRPr="00FF33FF">
        <w:rPr>
          <w:b/>
          <w:sz w:val="28"/>
          <w:szCs w:val="20"/>
          <w:lang w:val="en-GB"/>
        </w:rPr>
        <w:tab/>
        <w:t xml:space="preserve">WPT Studies regarding WPT-EV </w:t>
      </w:r>
      <w:r w:rsidRPr="00FF33FF">
        <w:rPr>
          <w:b/>
          <w:sz w:val="28"/>
          <w:szCs w:val="20"/>
          <w:lang w:val="en-GB"/>
        </w:rPr>
        <w:br/>
        <w:t>(Report ITU-R SM.2451 and Recommendation ITU-R SM.2110)</w:t>
      </w:r>
    </w:p>
    <w:p w14:paraId="6875D41D"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sz w:val="24"/>
          <w:szCs w:val="20"/>
          <w:lang w:val="en-GB" w:eastAsia="zh-CN"/>
        </w:rPr>
      </w:pPr>
      <w:r w:rsidRPr="00FF33FF">
        <w:rPr>
          <w:sz w:val="24"/>
          <w:szCs w:val="20"/>
          <w:lang w:val="en-GB" w:eastAsia="zh-CN"/>
        </w:rPr>
        <w:t xml:space="preserve">Working Party 5B analysed Report ITU-R SM.2451 and did not find any study results regarding the Aeronautical Radionavigation Services (ADF/NDB) and Maritime Mobile Services. There is a need for additional studies. </w:t>
      </w:r>
    </w:p>
    <w:p w14:paraId="0B574EF4" w14:textId="77777777" w:rsidR="00FF33FF" w:rsidRPr="00FF33FF" w:rsidRDefault="00FF33FF" w:rsidP="00FF33FF">
      <w:pPr>
        <w:keepNext/>
        <w:keepLines/>
        <w:tabs>
          <w:tab w:val="left" w:pos="1134"/>
          <w:tab w:val="left" w:pos="1871"/>
          <w:tab w:val="left" w:pos="2268"/>
        </w:tabs>
        <w:overflowPunct w:val="0"/>
        <w:autoSpaceDE w:val="0"/>
        <w:autoSpaceDN w:val="0"/>
        <w:adjustRightInd w:val="0"/>
        <w:spacing w:before="160"/>
        <w:jc w:val="left"/>
        <w:textAlignment w:val="baseline"/>
        <w:rPr>
          <w:rFonts w:ascii="Times New Roman Bold" w:hAnsi="Times New Roman Bold" w:cs="Times New Roman Bold"/>
          <w:b/>
          <w:sz w:val="24"/>
          <w:szCs w:val="20"/>
          <w:lang w:val="en-GB" w:eastAsia="zh-CN"/>
        </w:rPr>
      </w:pPr>
      <w:r w:rsidRPr="00FF33FF">
        <w:rPr>
          <w:rFonts w:ascii="Times New Roman Bold" w:hAnsi="Times New Roman Bold" w:cs="Times New Roman Bold"/>
          <w:b/>
          <w:sz w:val="24"/>
          <w:szCs w:val="20"/>
          <w:lang w:val="en-GB" w:eastAsia="zh-CN"/>
        </w:rPr>
        <w:t>Aeronautical Radionavigation Services (130-525 kHz)</w:t>
      </w:r>
    </w:p>
    <w:p w14:paraId="2F7CA821" w14:textId="77777777" w:rsidR="00FF33FF" w:rsidRPr="00FF33FF" w:rsidRDefault="00FF33FF" w:rsidP="00FF33FF">
      <w:pPr>
        <w:tabs>
          <w:tab w:val="left" w:pos="1134"/>
          <w:tab w:val="left" w:pos="1871"/>
          <w:tab w:val="left" w:pos="2268"/>
        </w:tabs>
        <w:overflowPunct w:val="0"/>
        <w:autoSpaceDE w:val="0"/>
        <w:autoSpaceDN w:val="0"/>
        <w:adjustRightInd w:val="0"/>
        <w:spacing w:before="120"/>
        <w:jc w:val="left"/>
        <w:textAlignment w:val="baseline"/>
        <w:rPr>
          <w:sz w:val="24"/>
          <w:szCs w:val="24"/>
          <w:lang w:val="en-GB"/>
        </w:rPr>
      </w:pPr>
      <w:r w:rsidRPr="00FF33FF">
        <w:rPr>
          <w:sz w:val="24"/>
          <w:szCs w:val="24"/>
          <w:lang w:val="en-GB"/>
        </w:rPr>
        <w:t xml:space="preserve">In liaison with International Civil Aviation Organization (ICAO) (Doc. </w:t>
      </w:r>
      <w:hyperlink r:id="rId15" w:history="1">
        <w:r w:rsidRPr="00FF33FF">
          <w:rPr>
            <w:color w:val="0000FF"/>
            <w:sz w:val="24"/>
            <w:szCs w:val="24"/>
            <w:u w:val="single"/>
            <w:lang w:val="en-GB"/>
          </w:rPr>
          <w:t>5B/649, Annex 29</w:t>
        </w:r>
      </w:hyperlink>
      <w:r w:rsidRPr="00FF33FF">
        <w:rPr>
          <w:sz w:val="24"/>
          <w:szCs w:val="24"/>
          <w:lang w:val="en-GB"/>
        </w:rPr>
        <w:t xml:space="preserve">) WP 5B received the response Document </w:t>
      </w:r>
      <w:hyperlink r:id="rId16" w:history="1">
        <w:r w:rsidRPr="00FF33FF">
          <w:rPr>
            <w:rFonts w:eastAsia="Calibri"/>
            <w:color w:val="0000FF"/>
            <w:sz w:val="24"/>
            <w:szCs w:val="20"/>
            <w:u w:val="single"/>
            <w:lang w:val="en-GB" w:eastAsia="zh-CN"/>
          </w:rPr>
          <w:t>5B/651</w:t>
        </w:r>
      </w:hyperlink>
      <w:r w:rsidRPr="00FF33FF">
        <w:rPr>
          <w:rFonts w:eastAsia="Calibri"/>
          <w:sz w:val="24"/>
          <w:szCs w:val="20"/>
          <w:lang w:val="en-GB" w:eastAsia="zh-CN"/>
        </w:rPr>
        <w:t>.</w:t>
      </w:r>
      <w:r w:rsidRPr="00FF33FF" w:rsidDel="00051EF6">
        <w:rPr>
          <w:sz w:val="24"/>
          <w:szCs w:val="24"/>
          <w:lang w:val="en-GB"/>
        </w:rPr>
        <w:t xml:space="preserve"> </w:t>
      </w:r>
    </w:p>
    <w:p w14:paraId="5C4ACA63"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rFonts w:eastAsia="Calibri"/>
          <w:sz w:val="24"/>
          <w:szCs w:val="20"/>
          <w:lang w:val="en-GB" w:eastAsia="zh-CN"/>
        </w:rPr>
      </w:pPr>
      <w:r w:rsidRPr="00FF33FF">
        <w:rPr>
          <w:sz w:val="24"/>
          <w:szCs w:val="20"/>
          <w:lang w:val="en-GB" w:eastAsia="zh-CN"/>
        </w:rPr>
        <w:t xml:space="preserve">Working Party </w:t>
      </w:r>
      <w:r w:rsidRPr="00FF33FF">
        <w:rPr>
          <w:sz w:val="24"/>
          <w:szCs w:val="24"/>
          <w:lang w:val="en-GB"/>
        </w:rPr>
        <w:t xml:space="preserve">5B would also like to recall the information provided previously to WP 1A in Document </w:t>
      </w:r>
      <w:hyperlink r:id="rId17" w:history="1">
        <w:r w:rsidRPr="00FF33FF">
          <w:rPr>
            <w:color w:val="0000FF"/>
            <w:sz w:val="24"/>
            <w:szCs w:val="24"/>
            <w:u w:val="single"/>
            <w:lang w:val="en-GB"/>
          </w:rPr>
          <w:t>1A/377 (2015-2019)</w:t>
        </w:r>
      </w:hyperlink>
      <w:r w:rsidRPr="00FF33FF">
        <w:rPr>
          <w:sz w:val="24"/>
          <w:szCs w:val="24"/>
          <w:lang w:val="en-GB"/>
        </w:rPr>
        <w:t>.</w:t>
      </w:r>
    </w:p>
    <w:p w14:paraId="3C430DFC" w14:textId="77777777" w:rsidR="00FF33FF" w:rsidRPr="00FF33FF" w:rsidRDefault="00FF33FF" w:rsidP="00FF33FF">
      <w:pPr>
        <w:keepNext/>
        <w:keepLines/>
        <w:tabs>
          <w:tab w:val="left" w:pos="1134"/>
          <w:tab w:val="left" w:pos="1871"/>
          <w:tab w:val="left" w:pos="2268"/>
        </w:tabs>
        <w:overflowPunct w:val="0"/>
        <w:autoSpaceDE w:val="0"/>
        <w:autoSpaceDN w:val="0"/>
        <w:adjustRightInd w:val="0"/>
        <w:spacing w:before="160"/>
        <w:jc w:val="left"/>
        <w:textAlignment w:val="baseline"/>
        <w:rPr>
          <w:rFonts w:ascii="Times New Roman Bold" w:hAnsi="Times New Roman Bold" w:cs="Times New Roman Bold"/>
          <w:b/>
          <w:sz w:val="24"/>
          <w:szCs w:val="20"/>
          <w:lang w:val="en-GB" w:eastAsia="zh-CN"/>
        </w:rPr>
      </w:pPr>
      <w:r w:rsidRPr="00FF33FF">
        <w:rPr>
          <w:rFonts w:ascii="Times New Roman Bold" w:hAnsi="Times New Roman Bold" w:cs="Times New Roman Bold"/>
          <w:b/>
          <w:sz w:val="24"/>
          <w:szCs w:val="20"/>
          <w:lang w:val="en-GB" w:eastAsia="zh-CN"/>
        </w:rPr>
        <w:t>Maritime Services</w:t>
      </w:r>
    </w:p>
    <w:p w14:paraId="737C441A"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rFonts w:cs="Arial"/>
          <w:sz w:val="24"/>
          <w:lang w:val="en-GB" w:eastAsia="zh-CN"/>
        </w:rPr>
      </w:pPr>
      <w:r w:rsidRPr="00FF33FF">
        <w:rPr>
          <w:rFonts w:cs="Arial"/>
          <w:sz w:val="24"/>
          <w:lang w:val="en-GB" w:eastAsia="zh-CN"/>
        </w:rPr>
        <w:t>In particular the following two scenarios regarding Maritime Services are raised:</w:t>
      </w:r>
    </w:p>
    <w:p w14:paraId="014D8532" w14:textId="77777777" w:rsidR="00FF33FF" w:rsidRPr="00FF33FF" w:rsidRDefault="00FF33FF" w:rsidP="00FF33FF">
      <w:pPr>
        <w:tabs>
          <w:tab w:val="left" w:pos="1134"/>
          <w:tab w:val="left" w:pos="1871"/>
          <w:tab w:val="left" w:pos="2608"/>
          <w:tab w:val="left" w:pos="3345"/>
        </w:tabs>
        <w:overflowPunct w:val="0"/>
        <w:autoSpaceDE w:val="0"/>
        <w:autoSpaceDN w:val="0"/>
        <w:adjustRightInd w:val="0"/>
        <w:spacing w:before="80"/>
        <w:ind w:left="1134" w:hanging="1134"/>
        <w:textAlignment w:val="baseline"/>
        <w:rPr>
          <w:sz w:val="24"/>
          <w:szCs w:val="20"/>
          <w:lang w:val="en-GB"/>
        </w:rPr>
      </w:pPr>
      <w:r w:rsidRPr="00FF33FF">
        <w:rPr>
          <w:sz w:val="24"/>
          <w:szCs w:val="20"/>
          <w:lang w:val="en-GB"/>
        </w:rPr>
        <w:t>1</w:t>
      </w:r>
      <w:r w:rsidRPr="00FF33FF">
        <w:rPr>
          <w:sz w:val="24"/>
          <w:szCs w:val="20"/>
          <w:lang w:val="en-GB"/>
        </w:rPr>
        <w:tab/>
        <w:t>high power WPT systems installed in the vicinity of ports and waterways especially inland waterways might cause interference to Maritime Services; and</w:t>
      </w:r>
    </w:p>
    <w:p w14:paraId="15FB8A6F" w14:textId="77777777" w:rsidR="00FF33FF" w:rsidRPr="00FF33FF" w:rsidRDefault="00FF33FF" w:rsidP="00FF33FF">
      <w:pPr>
        <w:tabs>
          <w:tab w:val="left" w:pos="1134"/>
          <w:tab w:val="left" w:pos="1871"/>
          <w:tab w:val="left" w:pos="2608"/>
          <w:tab w:val="left" w:pos="3345"/>
        </w:tabs>
        <w:overflowPunct w:val="0"/>
        <w:autoSpaceDE w:val="0"/>
        <w:autoSpaceDN w:val="0"/>
        <w:adjustRightInd w:val="0"/>
        <w:spacing w:before="80"/>
        <w:ind w:left="1134" w:hanging="1134"/>
        <w:textAlignment w:val="baseline"/>
        <w:rPr>
          <w:bCs/>
          <w:sz w:val="24"/>
          <w:szCs w:val="20"/>
          <w:lang w:val="en-GB"/>
        </w:rPr>
      </w:pPr>
      <w:r w:rsidRPr="00FF33FF">
        <w:rPr>
          <w:sz w:val="24"/>
          <w:szCs w:val="20"/>
          <w:lang w:val="en-GB"/>
        </w:rPr>
        <w:t>2</w:t>
      </w:r>
      <w:r w:rsidRPr="00FF33FF">
        <w:rPr>
          <w:sz w:val="24"/>
          <w:szCs w:val="20"/>
          <w:lang w:val="en-GB"/>
        </w:rPr>
        <w:tab/>
        <w:t>installation of such systems on roll-on roll-off (ro-ro) ships including ro-ro passenger ships (“ferries”) should be carefully considered taking into account the interference factor.</w:t>
      </w:r>
    </w:p>
    <w:p w14:paraId="6DFA91CC"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rFonts w:cs="Arial"/>
          <w:sz w:val="24"/>
          <w:lang w:val="en-GB" w:eastAsia="zh-CN"/>
        </w:rPr>
      </w:pPr>
      <w:r w:rsidRPr="00FF33FF">
        <w:rPr>
          <w:rFonts w:cs="Arial"/>
          <w:sz w:val="24"/>
          <w:lang w:val="en-GB" w:eastAsia="zh-CN"/>
        </w:rPr>
        <w:t>It should be noted that the operational use of maritime radio equipment includes usage in ports and harbours and in close proximity to land including inland waterways.</w:t>
      </w:r>
    </w:p>
    <w:p w14:paraId="40B843C5"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sz w:val="24"/>
          <w:szCs w:val="20"/>
          <w:lang w:val="en-GB" w:eastAsia="zh-CN"/>
        </w:rPr>
      </w:pPr>
      <w:r w:rsidRPr="00FF33FF">
        <w:rPr>
          <w:sz w:val="24"/>
          <w:szCs w:val="20"/>
          <w:lang w:val="en-GB" w:eastAsia="zh-CN"/>
        </w:rPr>
        <w:t xml:space="preserve">International Maritime Organization (IMO) has provided further information in Document </w:t>
      </w:r>
      <w:hyperlink r:id="rId18" w:history="1">
        <w:r w:rsidRPr="00FF33FF">
          <w:rPr>
            <w:color w:val="0000FF"/>
            <w:sz w:val="24"/>
            <w:szCs w:val="20"/>
            <w:u w:val="single"/>
            <w:lang w:val="en-GB" w:eastAsia="zh-CN"/>
          </w:rPr>
          <w:t>5B/756</w:t>
        </w:r>
      </w:hyperlink>
      <w:r w:rsidRPr="00FF33FF">
        <w:rPr>
          <w:sz w:val="24"/>
          <w:szCs w:val="20"/>
          <w:lang w:val="en-GB" w:eastAsia="zh-CN"/>
        </w:rPr>
        <w:t xml:space="preserve"> which is integrated into this LS. </w:t>
      </w:r>
    </w:p>
    <w:p w14:paraId="780CBA26" w14:textId="77777777" w:rsidR="00FF33FF" w:rsidRPr="00FF33FF" w:rsidRDefault="00FF33FF" w:rsidP="00FF33FF">
      <w:pPr>
        <w:keepNext/>
        <w:keepLines/>
        <w:tabs>
          <w:tab w:val="left" w:pos="1134"/>
          <w:tab w:val="left" w:pos="1871"/>
          <w:tab w:val="left" w:pos="2268"/>
        </w:tabs>
        <w:overflowPunct w:val="0"/>
        <w:autoSpaceDE w:val="0"/>
        <w:autoSpaceDN w:val="0"/>
        <w:adjustRightInd w:val="0"/>
        <w:spacing w:before="160"/>
        <w:jc w:val="left"/>
        <w:textAlignment w:val="baseline"/>
        <w:rPr>
          <w:i/>
          <w:sz w:val="24"/>
          <w:szCs w:val="20"/>
          <w:lang w:val="en-GB" w:eastAsia="zh-CN"/>
        </w:rPr>
      </w:pPr>
      <w:r w:rsidRPr="00FF33FF">
        <w:rPr>
          <w:i/>
          <w:sz w:val="24"/>
          <w:szCs w:val="20"/>
          <w:lang w:val="en-GB" w:eastAsia="zh-CN"/>
        </w:rPr>
        <w:t>A)</w:t>
      </w:r>
      <w:r w:rsidRPr="00FF33FF">
        <w:rPr>
          <w:i/>
          <w:sz w:val="24"/>
          <w:szCs w:val="20"/>
          <w:lang w:val="en-GB" w:eastAsia="zh-CN"/>
        </w:rPr>
        <w:tab/>
        <w:t>Maritime Radionavigation Service</w:t>
      </w:r>
    </w:p>
    <w:p w14:paraId="1B4E3EFD"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sz w:val="24"/>
          <w:szCs w:val="20"/>
          <w:lang w:val="en-GB" w:eastAsia="zh-CN"/>
        </w:rPr>
      </w:pPr>
      <w:r w:rsidRPr="00FF33FF">
        <w:rPr>
          <w:sz w:val="24"/>
          <w:szCs w:val="20"/>
          <w:lang w:val="en-GB" w:eastAsia="zh-CN"/>
        </w:rPr>
        <w:t>Working Party 5B would like to provide guidance on the Maritime Radionavigation Service in the frequency range below 325 kHz. This frequency range is used for transmissions of differential data for global navigation satellite systems (DGNSS).</w:t>
      </w:r>
    </w:p>
    <w:p w14:paraId="23D33B11"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sz w:val="24"/>
          <w:szCs w:val="20"/>
          <w:lang w:val="en-GB" w:eastAsia="zh-CN"/>
        </w:rPr>
      </w:pPr>
      <w:r w:rsidRPr="00FF33FF">
        <w:rPr>
          <w:sz w:val="24"/>
          <w:szCs w:val="20"/>
          <w:lang w:val="en-GB" w:eastAsia="zh-CN"/>
        </w:rPr>
        <w:t>Recommendation ITU-R M.823-3 provides technical characteristics for these systems. WP 5B suggests using the following information for use in the studies:</w:t>
      </w:r>
    </w:p>
    <w:p w14:paraId="798DB5C4" w14:textId="77777777" w:rsidR="00FF33FF" w:rsidRPr="00FF33FF" w:rsidRDefault="00FF33FF" w:rsidP="00FF33FF">
      <w:pPr>
        <w:overflowPunct w:val="0"/>
        <w:autoSpaceDE w:val="0"/>
        <w:autoSpaceDN w:val="0"/>
        <w:adjustRightInd w:val="0"/>
        <w:jc w:val="left"/>
        <w:textAlignment w:val="baseline"/>
        <w:rPr>
          <w:sz w:val="20"/>
          <w:szCs w:val="20"/>
          <w:lang w:val="en-GB" w:eastAsia="zh-CN"/>
        </w:rPr>
      </w:pPr>
    </w:p>
    <w:p w14:paraId="4C83220E" w14:textId="77777777" w:rsidR="00FF33FF" w:rsidRPr="00FF33FF" w:rsidRDefault="00FF33FF" w:rsidP="00FF33FF">
      <w:pPr>
        <w:keepNext/>
        <w:keepLines/>
        <w:tabs>
          <w:tab w:val="left" w:pos="1134"/>
          <w:tab w:val="left" w:pos="1871"/>
          <w:tab w:val="left" w:pos="2268"/>
        </w:tabs>
        <w:overflowPunct w:val="0"/>
        <w:autoSpaceDE w:val="0"/>
        <w:autoSpaceDN w:val="0"/>
        <w:adjustRightInd w:val="0"/>
        <w:spacing w:after="120"/>
        <w:jc w:val="center"/>
        <w:textAlignment w:val="baseline"/>
        <w:rPr>
          <w:rFonts w:ascii="Times New Roman Bold" w:hAnsi="Times New Roman Bold"/>
          <w:b/>
          <w:sz w:val="20"/>
          <w:szCs w:val="20"/>
          <w:lang w:val="en-GB"/>
        </w:rPr>
      </w:pPr>
      <w:r w:rsidRPr="00FF33FF">
        <w:rPr>
          <w:rFonts w:ascii="Times New Roman Bold" w:hAnsi="Times New Roman Bold"/>
          <w:b/>
          <w:sz w:val="20"/>
          <w:szCs w:val="20"/>
          <w:lang w:val="en-GB"/>
        </w:rPr>
        <w:t xml:space="preserve">DGNSS parameters </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410"/>
        <w:gridCol w:w="2835"/>
      </w:tblGrid>
      <w:tr w:rsidR="00FF33FF" w:rsidRPr="00FF33FF" w14:paraId="6F8A6DEC" w14:textId="77777777" w:rsidTr="006A1BE2">
        <w:trPr>
          <w:cantSplit/>
          <w:trHeight w:val="265"/>
          <w:jc w:val="center"/>
        </w:trPr>
        <w:tc>
          <w:tcPr>
            <w:tcW w:w="2972" w:type="dxa"/>
            <w:vAlign w:val="center"/>
          </w:tcPr>
          <w:p w14:paraId="5DBE44AE" w14:textId="77777777" w:rsidR="00FF33FF" w:rsidRPr="00FF33FF" w:rsidRDefault="00FF33FF" w:rsidP="00FF33FF">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sz w:val="20"/>
                <w:szCs w:val="20"/>
                <w:lang w:val="en-GB"/>
              </w:rPr>
            </w:pPr>
            <w:r w:rsidRPr="00FF33FF">
              <w:rPr>
                <w:rFonts w:ascii="Times New Roman Bold" w:hAnsi="Times New Roman Bold" w:cs="Times New Roman Bold"/>
                <w:b/>
                <w:sz w:val="20"/>
                <w:szCs w:val="20"/>
                <w:lang w:val="en-GB"/>
              </w:rPr>
              <w:t>Parameters</w:t>
            </w:r>
          </w:p>
        </w:tc>
        <w:tc>
          <w:tcPr>
            <w:tcW w:w="2410" w:type="dxa"/>
            <w:vAlign w:val="center"/>
          </w:tcPr>
          <w:p w14:paraId="675DBFFE" w14:textId="77777777" w:rsidR="00FF33FF" w:rsidRPr="00FF33FF" w:rsidRDefault="00FF33FF" w:rsidP="00FF33FF">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sz w:val="20"/>
                <w:szCs w:val="20"/>
                <w:lang w:val="en-GB"/>
              </w:rPr>
            </w:pPr>
            <w:r w:rsidRPr="00FF33FF">
              <w:rPr>
                <w:rFonts w:ascii="Times New Roman Bold" w:hAnsi="Times New Roman Bold" w:cs="Times New Roman Bold"/>
                <w:b/>
                <w:sz w:val="20"/>
                <w:szCs w:val="20"/>
                <w:lang w:val="en-GB"/>
              </w:rPr>
              <w:t>Value</w:t>
            </w:r>
          </w:p>
        </w:tc>
        <w:tc>
          <w:tcPr>
            <w:tcW w:w="2835" w:type="dxa"/>
            <w:vAlign w:val="center"/>
          </w:tcPr>
          <w:p w14:paraId="129B6BFC" w14:textId="77777777" w:rsidR="00FF33FF" w:rsidRPr="00FF33FF" w:rsidRDefault="00FF33FF" w:rsidP="00FF33FF">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sz w:val="20"/>
                <w:szCs w:val="20"/>
                <w:lang w:val="en-GB"/>
              </w:rPr>
            </w:pPr>
            <w:r w:rsidRPr="00FF33FF">
              <w:rPr>
                <w:rFonts w:ascii="Times New Roman Bold" w:hAnsi="Times New Roman Bold" w:cs="Times New Roman Bold"/>
                <w:b/>
                <w:sz w:val="20"/>
                <w:szCs w:val="20"/>
                <w:lang w:val="en-GB"/>
              </w:rPr>
              <w:t>Reference</w:t>
            </w:r>
          </w:p>
        </w:tc>
      </w:tr>
      <w:tr w:rsidR="00FF33FF" w:rsidRPr="00FF33FF" w14:paraId="5D53BC32" w14:textId="77777777" w:rsidTr="006A1BE2">
        <w:trPr>
          <w:cantSplit/>
          <w:trHeight w:val="201"/>
          <w:jc w:val="center"/>
        </w:trPr>
        <w:tc>
          <w:tcPr>
            <w:tcW w:w="2972" w:type="dxa"/>
          </w:tcPr>
          <w:p w14:paraId="2CA7EC99"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Min. wanted signal strength at the edge</w:t>
            </w:r>
          </w:p>
        </w:tc>
        <w:tc>
          <w:tcPr>
            <w:tcW w:w="2410" w:type="dxa"/>
          </w:tcPr>
          <w:p w14:paraId="412C78C8"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Between 40 and 100 µV/m</w:t>
            </w:r>
          </w:p>
        </w:tc>
        <w:tc>
          <w:tcPr>
            <w:tcW w:w="2835" w:type="dxa"/>
          </w:tcPr>
          <w:p w14:paraId="62226A45"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IALA information, Table of DGNSS stations, Edition 1.8 2021</w:t>
            </w:r>
          </w:p>
        </w:tc>
      </w:tr>
      <w:tr w:rsidR="00FF33FF" w:rsidRPr="00FF33FF" w14:paraId="458FE7BB" w14:textId="77777777" w:rsidTr="006A1BE2">
        <w:trPr>
          <w:cantSplit/>
          <w:trHeight w:val="204"/>
          <w:jc w:val="center"/>
        </w:trPr>
        <w:tc>
          <w:tcPr>
            <w:tcW w:w="2972" w:type="dxa"/>
          </w:tcPr>
          <w:p w14:paraId="7067AFEA"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 xml:space="preserve">Protection ratio, </w:t>
            </w:r>
            <w:r w:rsidRPr="00FF33FF">
              <w:rPr>
                <w:i/>
                <w:iCs/>
                <w:sz w:val="20"/>
                <w:szCs w:val="20"/>
                <w:lang w:val="en-GB"/>
              </w:rPr>
              <w:t>C/I</w:t>
            </w:r>
            <w:r w:rsidRPr="00FF33FF">
              <w:rPr>
                <w:sz w:val="20"/>
                <w:szCs w:val="20"/>
                <w:lang w:val="en-GB"/>
              </w:rPr>
              <w:t xml:space="preserve"> (dB)</w:t>
            </w:r>
          </w:p>
        </w:tc>
        <w:tc>
          <w:tcPr>
            <w:tcW w:w="2410" w:type="dxa"/>
          </w:tcPr>
          <w:p w14:paraId="54D49779"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15 (dB) Co-channel</w:t>
            </w:r>
          </w:p>
        </w:tc>
        <w:tc>
          <w:tcPr>
            <w:tcW w:w="2835" w:type="dxa"/>
          </w:tcPr>
          <w:p w14:paraId="7AC3D359"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ITU-R M.823-3 Table 5</w:t>
            </w:r>
          </w:p>
        </w:tc>
      </w:tr>
      <w:tr w:rsidR="00FF33FF" w:rsidRPr="00FF33FF" w14:paraId="1EAF9A2C" w14:textId="77777777" w:rsidTr="006A1BE2">
        <w:trPr>
          <w:cantSplit/>
          <w:trHeight w:val="259"/>
          <w:jc w:val="center"/>
        </w:trPr>
        <w:tc>
          <w:tcPr>
            <w:tcW w:w="2972" w:type="dxa"/>
          </w:tcPr>
          <w:p w14:paraId="3CB9C813"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 xml:space="preserve">Coverage </w:t>
            </w:r>
          </w:p>
        </w:tc>
        <w:tc>
          <w:tcPr>
            <w:tcW w:w="2410" w:type="dxa"/>
          </w:tcPr>
          <w:p w14:paraId="3E3D6442"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Between 50 and 500 km</w:t>
            </w:r>
          </w:p>
        </w:tc>
        <w:tc>
          <w:tcPr>
            <w:tcW w:w="2835" w:type="dxa"/>
          </w:tcPr>
          <w:p w14:paraId="543C0C45"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IALA information, Table of DGNSS stations, Edition 1.8 2021</w:t>
            </w:r>
          </w:p>
        </w:tc>
      </w:tr>
      <w:tr w:rsidR="00FF33FF" w:rsidRPr="00FF33FF" w14:paraId="358C987E" w14:textId="77777777" w:rsidTr="006A1BE2">
        <w:trPr>
          <w:cantSplit/>
          <w:trHeight w:val="324"/>
          <w:jc w:val="center"/>
        </w:trPr>
        <w:tc>
          <w:tcPr>
            <w:tcW w:w="2972" w:type="dxa"/>
          </w:tcPr>
          <w:p w14:paraId="51BA3B10"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Signal Availability (Navigation in ocean waters)</w:t>
            </w:r>
          </w:p>
        </w:tc>
        <w:tc>
          <w:tcPr>
            <w:tcW w:w="2410" w:type="dxa"/>
          </w:tcPr>
          <w:p w14:paraId="7078ADAD"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99.8%</w:t>
            </w:r>
          </w:p>
        </w:tc>
        <w:tc>
          <w:tcPr>
            <w:tcW w:w="2835" w:type="dxa"/>
          </w:tcPr>
          <w:p w14:paraId="60ABB005" w14:textId="77777777" w:rsidR="00FF33FF" w:rsidRPr="00FF33FF" w:rsidRDefault="00FF33FF" w:rsidP="00FF33F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sz w:val="20"/>
                <w:szCs w:val="20"/>
                <w:lang w:val="en-GB"/>
              </w:rPr>
            </w:pPr>
            <w:r w:rsidRPr="00FF33FF">
              <w:rPr>
                <w:sz w:val="20"/>
                <w:szCs w:val="20"/>
                <w:lang w:val="en-GB"/>
              </w:rPr>
              <w:t>IMO Resolution A.1046(27) Appendix 2.52</w:t>
            </w:r>
          </w:p>
        </w:tc>
      </w:tr>
    </w:tbl>
    <w:p w14:paraId="6DC2EA18" w14:textId="77777777" w:rsidR="00FF33FF" w:rsidRPr="00FF33FF" w:rsidRDefault="00FF33FF" w:rsidP="00FF33FF">
      <w:pPr>
        <w:tabs>
          <w:tab w:val="left" w:pos="1134"/>
          <w:tab w:val="left" w:pos="1871"/>
          <w:tab w:val="left" w:pos="2268"/>
        </w:tabs>
        <w:overflowPunct w:val="0"/>
        <w:autoSpaceDE w:val="0"/>
        <w:autoSpaceDN w:val="0"/>
        <w:adjustRightInd w:val="0"/>
        <w:spacing w:before="120"/>
        <w:jc w:val="left"/>
        <w:textAlignment w:val="baseline"/>
        <w:rPr>
          <w:rFonts w:ascii="TimesNewRoman" w:eastAsia="SimSun" w:hAnsi="TimesNewRoman" w:hint="eastAsia"/>
          <w:lang w:val="en-GB"/>
        </w:rPr>
      </w:pPr>
    </w:p>
    <w:p w14:paraId="699B9021"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sz w:val="24"/>
          <w:szCs w:val="20"/>
          <w:lang w:val="en-GB" w:eastAsia="zh-CN"/>
        </w:rPr>
      </w:pPr>
      <w:r w:rsidRPr="00FF33FF">
        <w:rPr>
          <w:sz w:val="24"/>
          <w:szCs w:val="20"/>
          <w:lang w:val="en-GB" w:eastAsia="zh-CN"/>
        </w:rPr>
        <w:t>Working Party 5B would like to inform WP 1A that DGNSS is also used on inland waterways to provide accurate position information.</w:t>
      </w:r>
    </w:p>
    <w:p w14:paraId="0FF5341B"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sz w:val="24"/>
          <w:szCs w:val="20"/>
          <w:lang w:val="en-GB" w:eastAsia="zh-CN"/>
        </w:rPr>
      </w:pPr>
      <w:r w:rsidRPr="00FF33FF">
        <w:rPr>
          <w:sz w:val="24"/>
          <w:szCs w:val="20"/>
          <w:lang w:val="en-GB" w:eastAsia="zh-CN"/>
        </w:rPr>
        <w:t>IMO performance standard providing information regarding maritime safety systems required to be carried on board vessels under IMO carriage requirements, as laid down in SOLAS chapters IV and V and under related environmental conditions, are:</w:t>
      </w:r>
    </w:p>
    <w:p w14:paraId="4CDCBBC9" w14:textId="77777777" w:rsidR="00FF33FF" w:rsidRPr="00FF33FF" w:rsidRDefault="00FF33FF" w:rsidP="00FF33FF">
      <w:pPr>
        <w:tabs>
          <w:tab w:val="left" w:pos="1134"/>
          <w:tab w:val="left" w:pos="1701"/>
          <w:tab w:val="left" w:pos="1871"/>
          <w:tab w:val="left" w:pos="2268"/>
        </w:tabs>
        <w:overflowPunct w:val="0"/>
        <w:autoSpaceDE w:val="0"/>
        <w:autoSpaceDN w:val="0"/>
        <w:adjustRightInd w:val="0"/>
        <w:spacing w:before="120"/>
        <w:ind w:left="4536" w:hanging="4536"/>
        <w:textAlignment w:val="baseline"/>
        <w:rPr>
          <w:rFonts w:cs="Arial"/>
          <w:sz w:val="24"/>
          <w:lang w:val="en-GB"/>
        </w:rPr>
      </w:pPr>
      <w:r w:rsidRPr="00FF33FF">
        <w:rPr>
          <w:rFonts w:cs="Arial"/>
          <w:sz w:val="24"/>
          <w:lang w:val="en-GB" w:eastAsia="zh-CN"/>
        </w:rPr>
        <w:t>1</w:t>
      </w:r>
      <w:r w:rsidRPr="00FF33FF">
        <w:rPr>
          <w:rFonts w:cs="Arial"/>
          <w:sz w:val="24"/>
          <w:lang w:val="en-GB" w:eastAsia="zh-CN"/>
        </w:rPr>
        <w:tab/>
      </w:r>
      <w:hyperlink r:id="rId19" w:history="1">
        <w:r w:rsidRPr="00FF33FF">
          <w:rPr>
            <w:rFonts w:cs="Arial"/>
            <w:color w:val="0000FF"/>
            <w:sz w:val="24"/>
            <w:u w:val="single"/>
            <w:lang w:val="en-GB" w:eastAsia="zh-CN"/>
          </w:rPr>
          <w:t>Resolution. MSC.114(73)</w:t>
        </w:r>
      </w:hyperlink>
      <w:r w:rsidRPr="00FF33FF">
        <w:rPr>
          <w:rFonts w:cs="Arial"/>
          <w:sz w:val="24"/>
          <w:lang w:val="en-GB" w:eastAsia="zh-CN"/>
        </w:rPr>
        <w:t xml:space="preserve"> </w:t>
      </w:r>
      <w:r w:rsidRPr="00FF33FF">
        <w:rPr>
          <w:rFonts w:cs="Arial"/>
          <w:sz w:val="24"/>
          <w:lang w:val="en-GB" w:eastAsia="zh-CN"/>
        </w:rPr>
        <w:tab/>
      </w:r>
      <w:r w:rsidRPr="00FF33FF">
        <w:rPr>
          <w:rFonts w:cs="Arial"/>
          <w:bCs/>
          <w:sz w:val="24"/>
          <w:lang w:val="en-GB" w:eastAsia="zh-CN"/>
        </w:rPr>
        <w:t xml:space="preserve">Revised performance standards for shipborne DGPS and DGLONASS maritime radio beacon receiver equipment (operating in the band </w:t>
      </w:r>
      <w:r w:rsidRPr="00FF33FF">
        <w:rPr>
          <w:rFonts w:cs="Arial"/>
          <w:b/>
          <w:bCs/>
          <w:sz w:val="24"/>
          <w:lang w:val="en-GB"/>
        </w:rPr>
        <w:t>283.5-325 kHz</w:t>
      </w:r>
      <w:r w:rsidRPr="00FF33FF">
        <w:rPr>
          <w:rFonts w:cs="Arial"/>
          <w:sz w:val="24"/>
          <w:lang w:val="en-GB"/>
        </w:rPr>
        <w:t>);</w:t>
      </w:r>
    </w:p>
    <w:p w14:paraId="4B1CEEE7" w14:textId="77777777" w:rsidR="00FF33FF" w:rsidRPr="00FF33FF" w:rsidRDefault="00FF33FF" w:rsidP="00FF33FF">
      <w:pPr>
        <w:keepNext/>
        <w:keepLines/>
        <w:tabs>
          <w:tab w:val="left" w:pos="1134"/>
          <w:tab w:val="left" w:pos="1871"/>
          <w:tab w:val="left" w:pos="2268"/>
        </w:tabs>
        <w:overflowPunct w:val="0"/>
        <w:autoSpaceDE w:val="0"/>
        <w:autoSpaceDN w:val="0"/>
        <w:adjustRightInd w:val="0"/>
        <w:spacing w:before="160"/>
        <w:jc w:val="left"/>
        <w:textAlignment w:val="baseline"/>
        <w:rPr>
          <w:i/>
          <w:sz w:val="24"/>
          <w:szCs w:val="20"/>
          <w:lang w:val="en-GB" w:eastAsia="zh-CN"/>
        </w:rPr>
      </w:pPr>
      <w:r w:rsidRPr="00FF33FF">
        <w:rPr>
          <w:i/>
          <w:sz w:val="24"/>
          <w:szCs w:val="20"/>
          <w:lang w:val="en-GB" w:eastAsia="zh-CN"/>
        </w:rPr>
        <w:t>B)</w:t>
      </w:r>
      <w:r w:rsidRPr="00FF33FF">
        <w:rPr>
          <w:i/>
          <w:sz w:val="24"/>
          <w:szCs w:val="20"/>
          <w:lang w:val="en-GB" w:eastAsia="zh-CN"/>
        </w:rPr>
        <w:tab/>
        <w:t>Maritime Mobile Services</w:t>
      </w:r>
    </w:p>
    <w:p w14:paraId="3005E870"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sz w:val="24"/>
          <w:szCs w:val="20"/>
          <w:lang w:val="en-GB" w:eastAsia="zh-CN"/>
        </w:rPr>
      </w:pPr>
      <w:r w:rsidRPr="00FF33FF">
        <w:rPr>
          <w:rFonts w:eastAsia="Calibri"/>
          <w:sz w:val="24"/>
          <w:szCs w:val="20"/>
          <w:lang w:val="en-GB" w:eastAsia="zh-CN"/>
        </w:rPr>
        <w:t xml:space="preserve">Radio Regulations (RR) Appendix </w:t>
      </w:r>
      <w:r w:rsidRPr="00FF33FF">
        <w:rPr>
          <w:rFonts w:eastAsia="Calibri"/>
          <w:b/>
          <w:bCs/>
          <w:sz w:val="24"/>
          <w:szCs w:val="20"/>
          <w:lang w:val="en-GB" w:eastAsia="zh-CN"/>
        </w:rPr>
        <w:t xml:space="preserve">15 </w:t>
      </w:r>
      <w:r w:rsidRPr="00FF33FF">
        <w:rPr>
          <w:rFonts w:eastAsia="Calibri"/>
          <w:sz w:val="24"/>
          <w:szCs w:val="20"/>
          <w:lang w:val="en-GB" w:eastAsia="zh-CN"/>
        </w:rPr>
        <w:t xml:space="preserve">provides the list of frequencies that particularly need protection from any emissions of WPT. </w:t>
      </w:r>
    </w:p>
    <w:p w14:paraId="6DB2E654" w14:textId="77777777" w:rsidR="00FF33FF" w:rsidRPr="00FF33FF" w:rsidRDefault="00FF33FF" w:rsidP="00FF33FF">
      <w:pPr>
        <w:tabs>
          <w:tab w:val="left" w:pos="1134"/>
          <w:tab w:val="left" w:pos="1871"/>
          <w:tab w:val="left" w:pos="2268"/>
        </w:tabs>
        <w:overflowPunct w:val="0"/>
        <w:autoSpaceDE w:val="0"/>
        <w:autoSpaceDN w:val="0"/>
        <w:adjustRightInd w:val="0"/>
        <w:spacing w:before="120" w:after="120"/>
        <w:textAlignment w:val="baseline"/>
        <w:rPr>
          <w:sz w:val="24"/>
          <w:szCs w:val="20"/>
          <w:lang w:val="en-GB" w:eastAsia="zh-CN"/>
        </w:rPr>
      </w:pPr>
      <w:r w:rsidRPr="00FF33FF">
        <w:rPr>
          <w:sz w:val="24"/>
          <w:szCs w:val="20"/>
          <w:lang w:val="en-GB" w:eastAsia="zh-CN"/>
        </w:rPr>
        <w:t>IMO performance standards providing information regarding maritime safety systems required to be carried on board vessels under IMO carriage requirements, as laid down in SOLAS chapters IV and V and under related environmental conditions, are:</w:t>
      </w:r>
    </w:p>
    <w:tbl>
      <w:tblPr>
        <w:tblStyle w:val="TableGrid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402"/>
        <w:gridCol w:w="5245"/>
      </w:tblGrid>
      <w:tr w:rsidR="00FF33FF" w:rsidRPr="00FF33FF" w14:paraId="517FE606" w14:textId="77777777" w:rsidTr="006A1BE2">
        <w:trPr>
          <w:cantSplit/>
        </w:trPr>
        <w:tc>
          <w:tcPr>
            <w:tcW w:w="709" w:type="dxa"/>
          </w:tcPr>
          <w:p w14:paraId="033B15F6"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bCs/>
                <w:sz w:val="24"/>
                <w:lang w:val="en-GB"/>
              </w:rPr>
              <w:t>1</w:t>
            </w:r>
          </w:p>
        </w:tc>
        <w:tc>
          <w:tcPr>
            <w:tcW w:w="3402" w:type="dxa"/>
          </w:tcPr>
          <w:p w14:paraId="0CC63225" w14:textId="77777777" w:rsidR="00FF33FF" w:rsidRPr="00FF33FF" w:rsidRDefault="00000000" w:rsidP="00FF33FF">
            <w:pPr>
              <w:tabs>
                <w:tab w:val="left" w:pos="1134"/>
                <w:tab w:val="left" w:pos="1871"/>
                <w:tab w:val="left" w:pos="2268"/>
              </w:tabs>
              <w:overflowPunct w:val="0"/>
              <w:autoSpaceDE w:val="0"/>
              <w:autoSpaceDN w:val="0"/>
              <w:adjustRightInd w:val="0"/>
              <w:spacing w:before="120"/>
              <w:ind w:right="-114"/>
              <w:textAlignment w:val="baseline"/>
              <w:rPr>
                <w:rFonts w:cs="Arial"/>
                <w:sz w:val="24"/>
                <w:lang w:val="en-GB"/>
              </w:rPr>
            </w:pPr>
            <w:hyperlink r:id="rId20" w:history="1">
              <w:r w:rsidR="00FF33FF" w:rsidRPr="00FF33FF">
                <w:rPr>
                  <w:rFonts w:cs="Arial"/>
                  <w:color w:val="0000FF"/>
                  <w:sz w:val="24"/>
                  <w:u w:val="single"/>
                  <w:lang w:val="en-GB"/>
                </w:rPr>
                <w:t>Resolution MSC.508(105)</w:t>
              </w:r>
            </w:hyperlink>
          </w:p>
        </w:tc>
        <w:tc>
          <w:tcPr>
            <w:tcW w:w="5245" w:type="dxa"/>
          </w:tcPr>
          <w:p w14:paraId="2A7E7CA1" w14:textId="77777777" w:rsidR="00FF33FF" w:rsidRPr="00FF33FF" w:rsidRDefault="00FF33FF" w:rsidP="00FF33FF">
            <w:pPr>
              <w:tabs>
                <w:tab w:val="left" w:pos="34"/>
                <w:tab w:val="left" w:pos="1701"/>
                <w:tab w:val="left" w:pos="1871"/>
                <w:tab w:val="left" w:pos="2268"/>
                <w:tab w:val="left" w:pos="2835"/>
              </w:tabs>
              <w:overflowPunct w:val="0"/>
              <w:autoSpaceDE w:val="0"/>
              <w:autoSpaceDN w:val="0"/>
              <w:adjustRightInd w:val="0"/>
              <w:spacing w:before="120"/>
              <w:ind w:left="34"/>
              <w:textAlignment w:val="baseline"/>
              <w:rPr>
                <w:rFonts w:cs="Arial"/>
                <w:bCs/>
                <w:sz w:val="24"/>
                <w:lang w:val="en-GB"/>
              </w:rPr>
            </w:pPr>
            <w:r w:rsidRPr="00FF33FF">
              <w:rPr>
                <w:rFonts w:cs="Arial"/>
                <w:bCs/>
                <w:sz w:val="24"/>
                <w:lang w:val="en-GB"/>
              </w:rPr>
              <w:t xml:space="preserve">Performance standards for the reception of maritime safety information and search and rescue related information by MF (NAVTEX) and HF MSI (operating in the band </w:t>
            </w:r>
            <w:r w:rsidRPr="00FF33FF">
              <w:rPr>
                <w:rFonts w:cs="Arial"/>
                <w:b/>
                <w:sz w:val="24"/>
                <w:lang w:val="en-GB"/>
              </w:rPr>
              <w:t>490-518 kHz</w:t>
            </w:r>
            <w:r w:rsidRPr="00FF33FF">
              <w:rPr>
                <w:rFonts w:cs="Arial"/>
                <w:bCs/>
                <w:sz w:val="24"/>
                <w:lang w:val="en-GB"/>
              </w:rPr>
              <w:t>);</w:t>
            </w:r>
          </w:p>
        </w:tc>
      </w:tr>
      <w:tr w:rsidR="00FF33FF" w:rsidRPr="00FF33FF" w14:paraId="108CE77A" w14:textId="77777777" w:rsidTr="006A1BE2">
        <w:trPr>
          <w:cantSplit/>
        </w:trPr>
        <w:tc>
          <w:tcPr>
            <w:tcW w:w="709" w:type="dxa"/>
          </w:tcPr>
          <w:p w14:paraId="32A851F4"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bCs/>
                <w:sz w:val="24"/>
                <w:lang w:val="en-GB"/>
              </w:rPr>
              <w:t>2</w:t>
            </w:r>
          </w:p>
        </w:tc>
        <w:tc>
          <w:tcPr>
            <w:tcW w:w="3402" w:type="dxa"/>
          </w:tcPr>
          <w:p w14:paraId="7E5CD0A8" w14:textId="77777777" w:rsidR="00FF33FF" w:rsidRPr="00FF33FF" w:rsidRDefault="00000000" w:rsidP="00FF33FF">
            <w:pPr>
              <w:tabs>
                <w:tab w:val="left" w:pos="1134"/>
                <w:tab w:val="left" w:pos="1871"/>
                <w:tab w:val="left" w:pos="2268"/>
              </w:tabs>
              <w:overflowPunct w:val="0"/>
              <w:autoSpaceDE w:val="0"/>
              <w:autoSpaceDN w:val="0"/>
              <w:adjustRightInd w:val="0"/>
              <w:spacing w:before="120"/>
              <w:ind w:right="-114"/>
              <w:textAlignment w:val="baseline"/>
              <w:rPr>
                <w:rFonts w:cs="Arial"/>
                <w:sz w:val="24"/>
                <w:lang w:val="en-GB"/>
              </w:rPr>
            </w:pPr>
            <w:hyperlink r:id="rId21" w:history="1">
              <w:r w:rsidR="00FF33FF" w:rsidRPr="00FF33FF">
                <w:rPr>
                  <w:rFonts w:cs="Arial"/>
                  <w:color w:val="0000FF"/>
                  <w:sz w:val="24"/>
                  <w:u w:val="single"/>
                  <w:lang w:val="en-GB"/>
                </w:rPr>
                <w:t>Resolution</w:t>
              </w:r>
              <w:r w:rsidR="00FF33FF" w:rsidRPr="00FF33FF">
                <w:rPr>
                  <w:rFonts w:cs="Arial"/>
                  <w:bCs/>
                  <w:color w:val="0000FF"/>
                  <w:sz w:val="24"/>
                  <w:u w:val="single"/>
                  <w:lang w:val="en-GB"/>
                </w:rPr>
                <w:t xml:space="preserve"> MSC.512(105)</w:t>
              </w:r>
            </w:hyperlink>
          </w:p>
        </w:tc>
        <w:tc>
          <w:tcPr>
            <w:tcW w:w="5245" w:type="dxa"/>
          </w:tcPr>
          <w:p w14:paraId="49BDC720"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left="35"/>
              <w:textAlignment w:val="baseline"/>
              <w:rPr>
                <w:rFonts w:cs="Arial"/>
                <w:bCs/>
                <w:sz w:val="24"/>
                <w:lang w:val="en-GB"/>
              </w:rPr>
            </w:pPr>
            <w:r w:rsidRPr="00FF33FF">
              <w:rPr>
                <w:rFonts w:cs="Arial"/>
                <w:bCs/>
                <w:sz w:val="24"/>
                <w:lang w:val="en-GB"/>
              </w:rPr>
              <w:t>Performance standards for shipborne MF and MF/HF radio installations capable of voice communication, digital selective calling and reception of maritime safety information and search and rescue related information</w:t>
            </w:r>
            <w:r w:rsidRPr="00FF33FF">
              <w:rPr>
                <w:rFonts w:cs="Arial"/>
                <w:bCs/>
                <w:sz w:val="24"/>
                <w:lang w:val="en-GB"/>
              </w:rPr>
              <w:br/>
              <w:t xml:space="preserve">(operating in the band </w:t>
            </w:r>
            <w:r w:rsidRPr="00FF33FF">
              <w:rPr>
                <w:rFonts w:cs="Arial"/>
                <w:b/>
                <w:sz w:val="24"/>
                <w:lang w:val="en-GB"/>
              </w:rPr>
              <w:t>1 600 kHz-4 000 kHz</w:t>
            </w:r>
            <w:r w:rsidRPr="00FF33FF">
              <w:rPr>
                <w:rFonts w:cs="Arial"/>
                <w:bCs/>
                <w:sz w:val="24"/>
                <w:lang w:val="en-GB"/>
              </w:rPr>
              <w:t>);</w:t>
            </w:r>
          </w:p>
        </w:tc>
      </w:tr>
      <w:tr w:rsidR="00FF33FF" w:rsidRPr="00FF33FF" w14:paraId="2F1F8C92" w14:textId="77777777" w:rsidTr="006A1BE2">
        <w:trPr>
          <w:cantSplit/>
        </w:trPr>
        <w:tc>
          <w:tcPr>
            <w:tcW w:w="709" w:type="dxa"/>
          </w:tcPr>
          <w:p w14:paraId="0898E66D"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bCs/>
                <w:sz w:val="24"/>
                <w:lang w:val="en-GB"/>
              </w:rPr>
              <w:t>3</w:t>
            </w:r>
          </w:p>
        </w:tc>
        <w:tc>
          <w:tcPr>
            <w:tcW w:w="3402" w:type="dxa"/>
          </w:tcPr>
          <w:p w14:paraId="6CCC926D"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sz w:val="24"/>
                <w:lang w:val="en-GB"/>
              </w:rPr>
              <w:t>Document NSCR 10/8</w:t>
            </w:r>
            <w:r w:rsidRPr="00FF33FF">
              <w:rPr>
                <w:rFonts w:cs="Arial"/>
                <w:bCs/>
                <w:sz w:val="24"/>
                <w:lang w:val="en-GB"/>
              </w:rPr>
              <w:t xml:space="preserve">, </w:t>
            </w:r>
            <w:r w:rsidRPr="00FF33FF">
              <w:rPr>
                <w:rFonts w:cs="Arial"/>
                <w:bCs/>
                <w:sz w:val="24"/>
                <w:lang w:val="en-GB"/>
              </w:rPr>
              <w:br/>
              <w:t>see attachment below</w:t>
            </w:r>
          </w:p>
        </w:tc>
        <w:tc>
          <w:tcPr>
            <w:tcW w:w="5245" w:type="dxa"/>
          </w:tcPr>
          <w:p w14:paraId="7F1A4D97"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left="35"/>
              <w:textAlignment w:val="baseline"/>
              <w:rPr>
                <w:rFonts w:cs="Arial"/>
                <w:bCs/>
                <w:sz w:val="24"/>
                <w:lang w:val="en-GB"/>
              </w:rPr>
            </w:pPr>
            <w:r w:rsidRPr="00FF33FF">
              <w:rPr>
                <w:rFonts w:cs="Arial"/>
                <w:bCs/>
                <w:sz w:val="24"/>
                <w:lang w:val="en-GB"/>
              </w:rPr>
              <w:t>Draft performance standards for the reception of maritime safety information and search and rescue related information by MF and HF digital navigational data system (NAVDAT)</w:t>
            </w:r>
            <w:r w:rsidRPr="00FF33FF">
              <w:rPr>
                <w:rFonts w:cs="Arial"/>
                <w:bCs/>
                <w:sz w:val="24"/>
                <w:lang w:val="en-GB"/>
              </w:rPr>
              <w:br/>
              <w:t xml:space="preserve">(operating in the band </w:t>
            </w:r>
            <w:r w:rsidRPr="00FF33FF">
              <w:rPr>
                <w:rFonts w:cs="Arial"/>
                <w:b/>
                <w:sz w:val="24"/>
                <w:lang w:val="en-GB"/>
              </w:rPr>
              <w:t>495 kHz-505 kHz</w:t>
            </w:r>
            <w:r w:rsidRPr="00FF33FF">
              <w:rPr>
                <w:rFonts w:cs="Arial"/>
                <w:bCs/>
                <w:sz w:val="24"/>
                <w:lang w:val="en-GB"/>
              </w:rPr>
              <w:t>).</w:t>
            </w:r>
          </w:p>
        </w:tc>
      </w:tr>
    </w:tbl>
    <w:p w14:paraId="68609A79" w14:textId="77777777" w:rsidR="00FF33FF" w:rsidRPr="00FF33FF" w:rsidRDefault="00FF33FF" w:rsidP="00FF33FF">
      <w:pPr>
        <w:tabs>
          <w:tab w:val="left" w:pos="1134"/>
          <w:tab w:val="left" w:pos="1871"/>
          <w:tab w:val="left" w:pos="2268"/>
        </w:tabs>
        <w:overflowPunct w:val="0"/>
        <w:autoSpaceDE w:val="0"/>
        <w:autoSpaceDN w:val="0"/>
        <w:adjustRightInd w:val="0"/>
        <w:spacing w:before="360"/>
        <w:textAlignment w:val="baseline"/>
        <w:rPr>
          <w:sz w:val="24"/>
          <w:szCs w:val="20"/>
          <w:lang w:val="en-GB" w:eastAsia="zh-CN"/>
        </w:rPr>
      </w:pPr>
      <w:r w:rsidRPr="00FF33FF">
        <w:rPr>
          <w:sz w:val="24"/>
          <w:szCs w:val="20"/>
          <w:lang w:val="en-GB" w:eastAsia="zh-CN"/>
        </w:rPr>
        <w:t>Operational assumptions and requirements for the establishment of the aforementioned services are provided in the following documents:</w:t>
      </w:r>
    </w:p>
    <w:tbl>
      <w:tblPr>
        <w:tblStyle w:val="TableGrid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402"/>
        <w:gridCol w:w="5245"/>
      </w:tblGrid>
      <w:tr w:rsidR="00FF33FF" w:rsidRPr="00FF33FF" w14:paraId="56AC651A" w14:textId="77777777" w:rsidTr="006A1BE2">
        <w:trPr>
          <w:cantSplit/>
        </w:trPr>
        <w:tc>
          <w:tcPr>
            <w:tcW w:w="709" w:type="dxa"/>
          </w:tcPr>
          <w:p w14:paraId="5D130133"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bCs/>
                <w:sz w:val="24"/>
                <w:lang w:val="en-GB"/>
              </w:rPr>
              <w:t>1</w:t>
            </w:r>
          </w:p>
        </w:tc>
        <w:tc>
          <w:tcPr>
            <w:tcW w:w="3402" w:type="dxa"/>
          </w:tcPr>
          <w:p w14:paraId="3D21FB49" w14:textId="77777777" w:rsidR="00FF33FF" w:rsidRPr="00FF33FF" w:rsidRDefault="00000000" w:rsidP="00FF33FF">
            <w:pPr>
              <w:tabs>
                <w:tab w:val="left" w:pos="1134"/>
                <w:tab w:val="left" w:pos="1871"/>
                <w:tab w:val="left" w:pos="2268"/>
              </w:tabs>
              <w:overflowPunct w:val="0"/>
              <w:autoSpaceDE w:val="0"/>
              <w:autoSpaceDN w:val="0"/>
              <w:adjustRightInd w:val="0"/>
              <w:spacing w:before="120"/>
              <w:ind w:right="-114"/>
              <w:textAlignment w:val="baseline"/>
              <w:rPr>
                <w:rFonts w:cs="Arial"/>
                <w:sz w:val="24"/>
                <w:lang w:val="en-GB"/>
              </w:rPr>
            </w:pPr>
            <w:hyperlink r:id="rId22" w:history="1">
              <w:r w:rsidR="00FF33FF" w:rsidRPr="00FF33FF">
                <w:rPr>
                  <w:rFonts w:cs="Arial"/>
                  <w:bCs/>
                  <w:color w:val="0000FF"/>
                  <w:sz w:val="24"/>
                  <w:u w:val="single"/>
                  <w:lang w:val="en-GB"/>
                </w:rPr>
                <w:t>Resolution MSC.509(105)</w:t>
              </w:r>
            </w:hyperlink>
            <w:r w:rsidR="00FF33FF" w:rsidRPr="00FF33FF">
              <w:rPr>
                <w:rFonts w:cs="Arial"/>
                <w:bCs/>
                <w:sz w:val="24"/>
                <w:lang w:val="en-GB"/>
              </w:rPr>
              <w:br/>
              <w:t>(annex 2)</w:t>
            </w:r>
          </w:p>
        </w:tc>
        <w:tc>
          <w:tcPr>
            <w:tcW w:w="5245" w:type="dxa"/>
          </w:tcPr>
          <w:p w14:paraId="5BB1FFBA"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left="35"/>
              <w:textAlignment w:val="baseline"/>
              <w:rPr>
                <w:rFonts w:cs="Arial"/>
                <w:bCs/>
                <w:sz w:val="24"/>
                <w:lang w:val="en-GB"/>
              </w:rPr>
            </w:pPr>
            <w:r w:rsidRPr="00FF33FF">
              <w:rPr>
                <w:rFonts w:cs="Arial"/>
                <w:sz w:val="24"/>
                <w:lang w:val="en-GB"/>
              </w:rPr>
              <w:t>Criteria for use when providing shore-based digital selective calling (DSC) facilities for use in the GMDSS;</w:t>
            </w:r>
          </w:p>
        </w:tc>
      </w:tr>
      <w:tr w:rsidR="00FF33FF" w:rsidRPr="00FF33FF" w14:paraId="56BB9639" w14:textId="77777777" w:rsidTr="006A1BE2">
        <w:trPr>
          <w:cantSplit/>
        </w:trPr>
        <w:tc>
          <w:tcPr>
            <w:tcW w:w="709" w:type="dxa"/>
          </w:tcPr>
          <w:p w14:paraId="2EAF6AD1"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bCs/>
                <w:sz w:val="24"/>
                <w:lang w:val="en-GB"/>
              </w:rPr>
              <w:t>2</w:t>
            </w:r>
          </w:p>
        </w:tc>
        <w:tc>
          <w:tcPr>
            <w:tcW w:w="3402" w:type="dxa"/>
          </w:tcPr>
          <w:p w14:paraId="1AA19BA2" w14:textId="77777777" w:rsidR="00FF33FF" w:rsidRPr="00FF33FF" w:rsidRDefault="00000000" w:rsidP="00FF33FF">
            <w:pPr>
              <w:tabs>
                <w:tab w:val="left" w:pos="1134"/>
                <w:tab w:val="left" w:pos="1871"/>
                <w:tab w:val="left" w:pos="2268"/>
              </w:tabs>
              <w:overflowPunct w:val="0"/>
              <w:autoSpaceDE w:val="0"/>
              <w:autoSpaceDN w:val="0"/>
              <w:adjustRightInd w:val="0"/>
              <w:spacing w:before="120"/>
              <w:ind w:right="-114"/>
              <w:textAlignment w:val="baseline"/>
              <w:rPr>
                <w:rFonts w:cs="Arial"/>
                <w:sz w:val="24"/>
                <w:lang w:val="en-GB"/>
              </w:rPr>
            </w:pPr>
            <w:hyperlink r:id="rId23" w:history="1">
              <w:r w:rsidR="00FF33FF" w:rsidRPr="00FF33FF">
                <w:rPr>
                  <w:rFonts w:cs="Arial"/>
                  <w:bCs/>
                  <w:color w:val="0000FF"/>
                  <w:sz w:val="24"/>
                  <w:u w:val="single"/>
                  <w:lang w:val="en-GB"/>
                </w:rPr>
                <w:t>Resolution MSC.509(105)</w:t>
              </w:r>
            </w:hyperlink>
            <w:r w:rsidR="00FF33FF" w:rsidRPr="00FF33FF">
              <w:rPr>
                <w:rFonts w:cs="Arial"/>
                <w:bCs/>
                <w:sz w:val="24"/>
                <w:lang w:val="en-GB"/>
              </w:rPr>
              <w:br/>
              <w:t>(annex 3)</w:t>
            </w:r>
          </w:p>
        </w:tc>
        <w:tc>
          <w:tcPr>
            <w:tcW w:w="5245" w:type="dxa"/>
          </w:tcPr>
          <w:p w14:paraId="44DC692C"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left="35"/>
              <w:textAlignment w:val="baseline"/>
              <w:rPr>
                <w:rFonts w:cs="Arial"/>
                <w:bCs/>
                <w:sz w:val="24"/>
                <w:lang w:val="en-GB"/>
              </w:rPr>
            </w:pPr>
            <w:r w:rsidRPr="00FF33FF">
              <w:rPr>
                <w:rFonts w:cs="Arial"/>
                <w:sz w:val="24"/>
                <w:lang w:val="en-GB"/>
              </w:rPr>
              <w:t>Criteria for establishing GMDSS sea areas;</w:t>
            </w:r>
          </w:p>
        </w:tc>
      </w:tr>
      <w:tr w:rsidR="00FF33FF" w:rsidRPr="00FF33FF" w14:paraId="40057AE1" w14:textId="77777777" w:rsidTr="006A1BE2">
        <w:trPr>
          <w:cantSplit/>
        </w:trPr>
        <w:tc>
          <w:tcPr>
            <w:tcW w:w="709" w:type="dxa"/>
          </w:tcPr>
          <w:p w14:paraId="757EEF5B"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bCs/>
                <w:sz w:val="24"/>
                <w:lang w:val="en-GB"/>
              </w:rPr>
              <w:t>3</w:t>
            </w:r>
          </w:p>
        </w:tc>
        <w:tc>
          <w:tcPr>
            <w:tcW w:w="3402" w:type="dxa"/>
          </w:tcPr>
          <w:p w14:paraId="21B1706B" w14:textId="77777777" w:rsidR="00FF33FF" w:rsidRPr="00FF33FF" w:rsidRDefault="00000000"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hyperlink r:id="rId24" w:history="1">
              <w:r w:rsidR="00FF33FF" w:rsidRPr="00FF33FF">
                <w:rPr>
                  <w:rFonts w:cs="Arial"/>
                  <w:bCs/>
                  <w:color w:val="0000FF"/>
                  <w:sz w:val="24"/>
                  <w:u w:val="single"/>
                  <w:lang w:val="en-GB"/>
                </w:rPr>
                <w:t>Resolution MSC.509(105)</w:t>
              </w:r>
            </w:hyperlink>
            <w:r w:rsidR="00FF33FF" w:rsidRPr="00FF33FF">
              <w:rPr>
                <w:rFonts w:cs="Arial"/>
                <w:bCs/>
                <w:sz w:val="24"/>
                <w:lang w:val="en-GB"/>
              </w:rPr>
              <w:br/>
              <w:t>(annex 4)</w:t>
            </w:r>
          </w:p>
        </w:tc>
        <w:tc>
          <w:tcPr>
            <w:tcW w:w="5245" w:type="dxa"/>
          </w:tcPr>
          <w:p w14:paraId="2F32842D"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left="35"/>
              <w:textAlignment w:val="baseline"/>
              <w:rPr>
                <w:rFonts w:cs="Arial"/>
                <w:bCs/>
                <w:sz w:val="24"/>
                <w:lang w:val="en-GB"/>
              </w:rPr>
            </w:pPr>
            <w:r w:rsidRPr="00FF33FF">
              <w:rPr>
                <w:rFonts w:cs="Arial"/>
                <w:sz w:val="24"/>
                <w:lang w:val="en-GB"/>
              </w:rPr>
              <w:t>Criteria for use when providing a NAVTEX service;</w:t>
            </w:r>
          </w:p>
        </w:tc>
      </w:tr>
      <w:tr w:rsidR="00FF33FF" w:rsidRPr="00FF33FF" w14:paraId="4320BBA6" w14:textId="77777777" w:rsidTr="006A1BE2">
        <w:trPr>
          <w:cantSplit/>
        </w:trPr>
        <w:tc>
          <w:tcPr>
            <w:tcW w:w="709" w:type="dxa"/>
          </w:tcPr>
          <w:p w14:paraId="2D47DCFC"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bCs/>
                <w:sz w:val="24"/>
                <w:lang w:val="en-GB"/>
              </w:rPr>
              <w:t>4</w:t>
            </w:r>
          </w:p>
        </w:tc>
        <w:tc>
          <w:tcPr>
            <w:tcW w:w="3402" w:type="dxa"/>
          </w:tcPr>
          <w:p w14:paraId="38F581D2"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bCs/>
                <w:sz w:val="24"/>
                <w:lang w:val="en-GB"/>
              </w:rPr>
              <w:t>Document NSCR 10/8 (annex 2), see attachment below</w:t>
            </w:r>
          </w:p>
        </w:tc>
        <w:tc>
          <w:tcPr>
            <w:tcW w:w="5245" w:type="dxa"/>
          </w:tcPr>
          <w:p w14:paraId="3D8219B3"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left="35"/>
              <w:textAlignment w:val="baseline"/>
              <w:rPr>
                <w:rFonts w:cs="Arial"/>
                <w:bCs/>
                <w:sz w:val="24"/>
                <w:lang w:val="en-GB"/>
              </w:rPr>
            </w:pPr>
            <w:r w:rsidRPr="00FF33FF">
              <w:rPr>
                <w:rFonts w:cs="Arial"/>
                <w:sz w:val="24"/>
                <w:lang w:val="en-GB"/>
              </w:rPr>
              <w:t xml:space="preserve">Draft amendments to provision of radio services for the global maritime distress and safety system (GMDSS) (resolution MSC.509(105)) annex 5); </w:t>
            </w:r>
          </w:p>
        </w:tc>
      </w:tr>
      <w:tr w:rsidR="00FF33FF" w:rsidRPr="00FF33FF" w14:paraId="70AD1363" w14:textId="77777777" w:rsidTr="006A1BE2">
        <w:trPr>
          <w:cantSplit/>
        </w:trPr>
        <w:tc>
          <w:tcPr>
            <w:tcW w:w="709" w:type="dxa"/>
          </w:tcPr>
          <w:p w14:paraId="59CB9E0E"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r w:rsidRPr="00FF33FF">
              <w:rPr>
                <w:rFonts w:cs="Arial"/>
                <w:bCs/>
                <w:sz w:val="24"/>
                <w:lang w:val="en-GB"/>
              </w:rPr>
              <w:t>5</w:t>
            </w:r>
          </w:p>
        </w:tc>
        <w:tc>
          <w:tcPr>
            <w:tcW w:w="3402" w:type="dxa"/>
          </w:tcPr>
          <w:p w14:paraId="737B5540" w14:textId="77777777" w:rsidR="00FF33FF" w:rsidRPr="00FF33FF" w:rsidRDefault="00000000" w:rsidP="00FF33FF">
            <w:pPr>
              <w:tabs>
                <w:tab w:val="left" w:pos="1134"/>
                <w:tab w:val="left" w:pos="1871"/>
                <w:tab w:val="left" w:pos="2268"/>
              </w:tabs>
              <w:overflowPunct w:val="0"/>
              <w:autoSpaceDE w:val="0"/>
              <w:autoSpaceDN w:val="0"/>
              <w:adjustRightInd w:val="0"/>
              <w:spacing w:before="120"/>
              <w:ind w:right="-114"/>
              <w:textAlignment w:val="baseline"/>
              <w:rPr>
                <w:rFonts w:cs="Arial"/>
                <w:bCs/>
                <w:sz w:val="24"/>
                <w:lang w:val="en-GB"/>
              </w:rPr>
            </w:pPr>
            <w:hyperlink r:id="rId25" w:history="1">
              <w:r w:rsidR="00FF33FF" w:rsidRPr="00FF33FF">
                <w:rPr>
                  <w:rFonts w:cs="Arial"/>
                  <w:bCs/>
                  <w:color w:val="0000FF"/>
                  <w:sz w:val="24"/>
                  <w:u w:val="single"/>
                  <w:lang w:val="en-GB"/>
                </w:rPr>
                <w:t>IMO Res, A.1046(27)</w:t>
              </w:r>
            </w:hyperlink>
          </w:p>
        </w:tc>
        <w:tc>
          <w:tcPr>
            <w:tcW w:w="5245" w:type="dxa"/>
          </w:tcPr>
          <w:p w14:paraId="5D82741B" w14:textId="77777777" w:rsidR="00FF33FF" w:rsidRPr="00FF33FF" w:rsidRDefault="00FF33FF" w:rsidP="00FF33FF">
            <w:pPr>
              <w:tabs>
                <w:tab w:val="left" w:pos="1134"/>
                <w:tab w:val="left" w:pos="1871"/>
                <w:tab w:val="left" w:pos="2268"/>
              </w:tabs>
              <w:overflowPunct w:val="0"/>
              <w:autoSpaceDE w:val="0"/>
              <w:autoSpaceDN w:val="0"/>
              <w:adjustRightInd w:val="0"/>
              <w:spacing w:before="120"/>
              <w:ind w:left="35"/>
              <w:textAlignment w:val="baseline"/>
              <w:rPr>
                <w:rFonts w:cs="Arial"/>
                <w:bCs/>
                <w:sz w:val="24"/>
                <w:lang w:val="en-GB"/>
              </w:rPr>
            </w:pPr>
            <w:r w:rsidRPr="00FF33FF">
              <w:rPr>
                <w:rFonts w:cs="Arial"/>
                <w:sz w:val="24"/>
                <w:lang w:val="en-GB"/>
              </w:rPr>
              <w:t>World-wide radionavigation system.</w:t>
            </w:r>
          </w:p>
        </w:tc>
      </w:tr>
    </w:tbl>
    <w:p w14:paraId="3ACDA62A" w14:textId="77777777" w:rsidR="00FF33FF" w:rsidRPr="00FF33FF" w:rsidRDefault="00FF33FF" w:rsidP="00FF33FF">
      <w:pPr>
        <w:overflowPunct w:val="0"/>
        <w:autoSpaceDE w:val="0"/>
        <w:autoSpaceDN w:val="0"/>
        <w:adjustRightInd w:val="0"/>
        <w:jc w:val="left"/>
        <w:textAlignment w:val="baseline"/>
        <w:rPr>
          <w:rFonts w:eastAsia="Calibri"/>
          <w:sz w:val="20"/>
          <w:szCs w:val="20"/>
          <w:lang w:val="en-GB" w:eastAsia="zh-CN"/>
        </w:rPr>
      </w:pPr>
    </w:p>
    <w:p w14:paraId="7E6C73FE" w14:textId="77777777" w:rsidR="00FF33FF" w:rsidRPr="00FF33FF" w:rsidRDefault="00FF33FF" w:rsidP="00FF33FF">
      <w:pPr>
        <w:keepNext/>
        <w:keepLines/>
        <w:tabs>
          <w:tab w:val="left" w:pos="1134"/>
          <w:tab w:val="left" w:pos="1871"/>
          <w:tab w:val="left" w:pos="2268"/>
        </w:tabs>
        <w:overflowPunct w:val="0"/>
        <w:autoSpaceDE w:val="0"/>
        <w:autoSpaceDN w:val="0"/>
        <w:adjustRightInd w:val="0"/>
        <w:spacing w:before="280"/>
        <w:ind w:left="1134" w:hanging="1134"/>
        <w:jc w:val="left"/>
        <w:textAlignment w:val="baseline"/>
        <w:outlineLvl w:val="0"/>
        <w:rPr>
          <w:b/>
          <w:sz w:val="28"/>
          <w:szCs w:val="20"/>
          <w:lang w:val="en-GB"/>
        </w:rPr>
      </w:pPr>
      <w:r w:rsidRPr="00FF33FF">
        <w:rPr>
          <w:b/>
          <w:sz w:val="28"/>
          <w:szCs w:val="20"/>
          <w:lang w:val="en-GB"/>
        </w:rPr>
        <w:t>2</w:t>
      </w:r>
      <w:r w:rsidRPr="00FF33FF">
        <w:rPr>
          <w:b/>
          <w:sz w:val="28"/>
          <w:szCs w:val="20"/>
          <w:lang w:val="en-GB"/>
        </w:rPr>
        <w:tab/>
        <w:t>Part 2: WPT Studies regarding portable and mobile low power WPT in Report ITU-R SM.2449 and Recommendation ITU-R SM.2129</w:t>
      </w:r>
    </w:p>
    <w:p w14:paraId="21AAD634"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rFonts w:eastAsia="Calibri"/>
          <w:sz w:val="24"/>
          <w:szCs w:val="20"/>
          <w:lang w:val="en-GB" w:eastAsia="zh-CN"/>
        </w:rPr>
      </w:pPr>
      <w:r w:rsidRPr="00FF33FF">
        <w:rPr>
          <w:sz w:val="24"/>
          <w:szCs w:val="20"/>
          <w:lang w:val="en-GB" w:eastAsia="zh-CN"/>
        </w:rPr>
        <w:t xml:space="preserve">Working Party </w:t>
      </w:r>
      <w:r w:rsidRPr="00FF33FF">
        <w:rPr>
          <w:rFonts w:eastAsia="Calibri"/>
          <w:sz w:val="24"/>
          <w:szCs w:val="20"/>
          <w:lang w:val="en-GB" w:eastAsia="zh-CN"/>
        </w:rPr>
        <w:t xml:space="preserve">5B recognises the additional studies added to the Report ITU-R SM.2449 that cover the elements requested by WP 5B before and no additional studies are required. DGNSS in the frequency band 315-325 kHz is widely used to improve the accuracy of positioning and enhance the safety of navigation. This frequency band 315-405 kHz is being studied for use by mobile and portable WPT devices, which may cause in-band and adjacent band interferences to maritime radionavigation services, especially to the usage of shipborne equipment. WP 1A is invited to complete the studies on the impact of WPT on DGNSS. </w:t>
      </w:r>
    </w:p>
    <w:p w14:paraId="31E85757" w14:textId="77777777" w:rsidR="00FF33FF" w:rsidRPr="00FF33FF" w:rsidRDefault="00FF33FF" w:rsidP="00FF33FF">
      <w:pPr>
        <w:tabs>
          <w:tab w:val="left" w:pos="1134"/>
          <w:tab w:val="left" w:pos="1871"/>
          <w:tab w:val="left" w:pos="2268"/>
        </w:tabs>
        <w:overflowPunct w:val="0"/>
        <w:autoSpaceDE w:val="0"/>
        <w:autoSpaceDN w:val="0"/>
        <w:adjustRightInd w:val="0"/>
        <w:spacing w:before="120"/>
        <w:textAlignment w:val="baseline"/>
        <w:rPr>
          <w:rFonts w:eastAsia="Calibri"/>
          <w:sz w:val="24"/>
          <w:szCs w:val="20"/>
          <w:lang w:val="en-GB" w:eastAsia="zh-CN"/>
        </w:rPr>
      </w:pPr>
      <w:r w:rsidRPr="00FF33FF">
        <w:rPr>
          <w:sz w:val="24"/>
          <w:szCs w:val="20"/>
          <w:lang w:val="en-GB" w:eastAsia="zh-CN"/>
        </w:rPr>
        <w:t xml:space="preserve">Working Party </w:t>
      </w:r>
      <w:r w:rsidRPr="00FF33FF">
        <w:rPr>
          <w:rFonts w:eastAsia="Calibri"/>
          <w:sz w:val="24"/>
          <w:szCs w:val="20"/>
          <w:lang w:val="en-GB" w:eastAsia="zh-CN"/>
        </w:rPr>
        <w:t>5B notes that the studies for the frequency ranges 315-405 kHz, 1 700-1 800 kHz and 2 000-2 150 kHz were carried out at a level of –15 dBµA/m at 10 m distance which is significantly lower than the unwanted emissions limits of Recommendation ITU-R SM.329. In many countries this corresponds to the permitted level of other inductive devices.</w:t>
      </w:r>
    </w:p>
    <w:p w14:paraId="396B8544" w14:textId="77777777" w:rsidR="00FF33FF" w:rsidRPr="00FF33FF" w:rsidRDefault="00FF33FF" w:rsidP="00FF33FF">
      <w:pPr>
        <w:keepNext/>
        <w:keepLines/>
        <w:tabs>
          <w:tab w:val="left" w:pos="1134"/>
          <w:tab w:val="left" w:pos="1871"/>
          <w:tab w:val="left" w:pos="2268"/>
        </w:tabs>
        <w:overflowPunct w:val="0"/>
        <w:autoSpaceDE w:val="0"/>
        <w:autoSpaceDN w:val="0"/>
        <w:adjustRightInd w:val="0"/>
        <w:spacing w:before="280"/>
        <w:ind w:left="1134" w:hanging="1134"/>
        <w:jc w:val="left"/>
        <w:textAlignment w:val="baseline"/>
        <w:outlineLvl w:val="0"/>
        <w:rPr>
          <w:b/>
          <w:sz w:val="28"/>
          <w:szCs w:val="20"/>
          <w:lang w:val="en-GB"/>
        </w:rPr>
      </w:pPr>
      <w:r w:rsidRPr="00FF33FF">
        <w:rPr>
          <w:b/>
          <w:sz w:val="28"/>
          <w:szCs w:val="20"/>
          <w:lang w:val="en-GB"/>
        </w:rPr>
        <w:t>3</w:t>
      </w:r>
      <w:r w:rsidRPr="00FF33FF">
        <w:rPr>
          <w:b/>
          <w:sz w:val="28"/>
          <w:szCs w:val="20"/>
          <w:lang w:val="en-GB"/>
        </w:rPr>
        <w:tab/>
        <w:t>Conclusion</w:t>
      </w:r>
    </w:p>
    <w:p w14:paraId="6CE44151" w14:textId="77777777" w:rsidR="00FF33FF" w:rsidRPr="00FF33FF" w:rsidRDefault="00FF33FF" w:rsidP="00FF33FF">
      <w:pPr>
        <w:tabs>
          <w:tab w:val="left" w:pos="1134"/>
          <w:tab w:val="left" w:pos="1871"/>
          <w:tab w:val="left" w:pos="2268"/>
        </w:tabs>
        <w:overflowPunct w:val="0"/>
        <w:autoSpaceDE w:val="0"/>
        <w:autoSpaceDN w:val="0"/>
        <w:adjustRightInd w:val="0"/>
        <w:spacing w:before="120" w:after="600"/>
        <w:textAlignment w:val="baseline"/>
        <w:rPr>
          <w:rFonts w:eastAsia="Calibri"/>
          <w:sz w:val="24"/>
          <w:szCs w:val="20"/>
          <w:lang w:val="en-GB" w:eastAsia="zh-CN"/>
        </w:rPr>
      </w:pPr>
      <w:r w:rsidRPr="00FF33FF">
        <w:rPr>
          <w:sz w:val="24"/>
          <w:szCs w:val="20"/>
          <w:lang w:val="en-GB" w:eastAsia="zh-CN"/>
        </w:rPr>
        <w:t xml:space="preserve">Working Party </w:t>
      </w:r>
      <w:r w:rsidRPr="00FF33FF">
        <w:rPr>
          <w:rFonts w:eastAsia="Calibri"/>
          <w:sz w:val="24"/>
          <w:szCs w:val="20"/>
          <w:lang w:val="en-GB" w:eastAsia="zh-CN"/>
        </w:rPr>
        <w:t xml:space="preserve">5B kindly asks WP 1A to take this information into account as it progresses its work on WPT, including a possible update of Recommendation ITU-R SM.2129 and looks forward to continuing to work with WP 1A on this subject. WP 5B would appreciate being kept informed of any further developments related to WPT after the next meeting of WP 1A. </w:t>
      </w:r>
    </w:p>
    <w:tbl>
      <w:tblPr>
        <w:tblW w:w="5000" w:type="pct"/>
        <w:jc w:val="center"/>
        <w:tblLook w:val="0000" w:firstRow="0" w:lastRow="0" w:firstColumn="0" w:lastColumn="0" w:noHBand="0" w:noVBand="0"/>
      </w:tblPr>
      <w:tblGrid>
        <w:gridCol w:w="4874"/>
        <w:gridCol w:w="4874"/>
      </w:tblGrid>
      <w:tr w:rsidR="00FF33FF" w:rsidRPr="00FF33FF" w14:paraId="2C264648" w14:textId="77777777" w:rsidTr="006A1BE2">
        <w:trPr>
          <w:cantSplit/>
          <w:jc w:val="center"/>
        </w:trPr>
        <w:tc>
          <w:tcPr>
            <w:tcW w:w="5000" w:type="pct"/>
            <w:gridSpan w:val="2"/>
          </w:tcPr>
          <w:p w14:paraId="0BAAA26F" w14:textId="77777777" w:rsidR="00FF33FF" w:rsidRPr="00FF33FF" w:rsidRDefault="00FF33FF" w:rsidP="00FF33FF">
            <w:pPr>
              <w:tabs>
                <w:tab w:val="left" w:pos="1134"/>
                <w:tab w:val="left" w:pos="1871"/>
                <w:tab w:val="left" w:pos="2268"/>
              </w:tabs>
              <w:overflowPunct w:val="0"/>
              <w:autoSpaceDE w:val="0"/>
              <w:autoSpaceDN w:val="0"/>
              <w:adjustRightInd w:val="0"/>
              <w:spacing w:before="120"/>
              <w:jc w:val="left"/>
              <w:textAlignment w:val="baseline"/>
              <w:rPr>
                <w:sz w:val="24"/>
                <w:szCs w:val="20"/>
                <w:lang w:val="en-GB" w:eastAsia="zh-CN"/>
              </w:rPr>
            </w:pPr>
            <w:r w:rsidRPr="00FF33FF">
              <w:rPr>
                <w:b/>
                <w:bCs/>
                <w:sz w:val="24"/>
                <w:szCs w:val="20"/>
                <w:lang w:val="en-GB"/>
              </w:rPr>
              <w:t>Status:</w:t>
            </w:r>
            <w:r w:rsidRPr="00FF33FF">
              <w:rPr>
                <w:b/>
                <w:sz w:val="24"/>
                <w:szCs w:val="20"/>
                <w:lang w:val="en-GB"/>
              </w:rPr>
              <w:tab/>
            </w:r>
            <w:r w:rsidRPr="00FF33FF">
              <w:rPr>
                <w:sz w:val="24"/>
                <w:szCs w:val="20"/>
                <w:lang w:val="en-GB" w:eastAsia="zh-CN"/>
              </w:rPr>
              <w:t>For action or information, as appropriate</w:t>
            </w:r>
          </w:p>
        </w:tc>
      </w:tr>
      <w:tr w:rsidR="00FF33FF" w:rsidRPr="00FF33FF" w14:paraId="67A94F6F" w14:textId="77777777" w:rsidTr="006A1BE2">
        <w:trPr>
          <w:cantSplit/>
          <w:jc w:val="center"/>
        </w:trPr>
        <w:tc>
          <w:tcPr>
            <w:tcW w:w="2500" w:type="pct"/>
          </w:tcPr>
          <w:p w14:paraId="5362F659" w14:textId="77777777" w:rsidR="00FF33FF" w:rsidRPr="00FF33FF" w:rsidRDefault="00FF33FF" w:rsidP="00FF33FF">
            <w:pPr>
              <w:tabs>
                <w:tab w:val="left" w:pos="1134"/>
                <w:tab w:val="left" w:pos="1871"/>
                <w:tab w:val="left" w:pos="2268"/>
              </w:tabs>
              <w:overflowPunct w:val="0"/>
              <w:autoSpaceDE w:val="0"/>
              <w:autoSpaceDN w:val="0"/>
              <w:adjustRightInd w:val="0"/>
              <w:spacing w:before="120" w:after="120"/>
              <w:jc w:val="left"/>
              <w:textAlignment w:val="baseline"/>
              <w:rPr>
                <w:b/>
                <w:bCs/>
                <w:sz w:val="24"/>
                <w:szCs w:val="20"/>
                <w:lang w:val="en-GB"/>
              </w:rPr>
            </w:pPr>
            <w:r w:rsidRPr="00FF33FF">
              <w:rPr>
                <w:b/>
                <w:bCs/>
                <w:sz w:val="24"/>
                <w:szCs w:val="20"/>
                <w:lang w:val="en-GB"/>
              </w:rPr>
              <w:t>Deadline:</w:t>
            </w:r>
            <w:r w:rsidRPr="00FF33FF">
              <w:rPr>
                <w:b/>
                <w:bCs/>
                <w:sz w:val="24"/>
                <w:szCs w:val="20"/>
                <w:lang w:val="en-GB"/>
              </w:rPr>
              <w:tab/>
            </w:r>
            <w:r w:rsidRPr="00FF33FF">
              <w:rPr>
                <w:sz w:val="24"/>
                <w:szCs w:val="20"/>
                <w:lang w:val="en-GB"/>
              </w:rPr>
              <w:t>31 October 2024</w:t>
            </w:r>
          </w:p>
        </w:tc>
        <w:tc>
          <w:tcPr>
            <w:tcW w:w="2500" w:type="pct"/>
          </w:tcPr>
          <w:p w14:paraId="16918508" w14:textId="77777777" w:rsidR="00FF33FF" w:rsidRPr="00FF33FF" w:rsidRDefault="00FF33FF" w:rsidP="00FF33FF">
            <w:pPr>
              <w:tabs>
                <w:tab w:val="left" w:pos="1134"/>
                <w:tab w:val="left" w:pos="1871"/>
                <w:tab w:val="left" w:pos="2268"/>
              </w:tabs>
              <w:overflowPunct w:val="0"/>
              <w:autoSpaceDE w:val="0"/>
              <w:autoSpaceDN w:val="0"/>
              <w:adjustRightInd w:val="0"/>
              <w:spacing w:before="120" w:after="120"/>
              <w:jc w:val="left"/>
              <w:textAlignment w:val="baseline"/>
              <w:rPr>
                <w:b/>
                <w:bCs/>
                <w:sz w:val="24"/>
                <w:szCs w:val="20"/>
                <w:lang w:val="en-GB"/>
              </w:rPr>
            </w:pPr>
          </w:p>
        </w:tc>
      </w:tr>
      <w:tr w:rsidR="00FF33FF" w:rsidRPr="00FF33FF" w14:paraId="70367199" w14:textId="77777777" w:rsidTr="006A1BE2">
        <w:trPr>
          <w:cantSplit/>
          <w:jc w:val="center"/>
        </w:trPr>
        <w:tc>
          <w:tcPr>
            <w:tcW w:w="2500" w:type="pct"/>
          </w:tcPr>
          <w:p w14:paraId="655932C2" w14:textId="77777777" w:rsidR="00FF33FF" w:rsidRPr="00FF33FF" w:rsidRDefault="00FF33FF" w:rsidP="00FF33FF">
            <w:pPr>
              <w:tabs>
                <w:tab w:val="left" w:pos="1134"/>
                <w:tab w:val="left" w:pos="1871"/>
                <w:tab w:val="left" w:pos="2268"/>
              </w:tabs>
              <w:overflowPunct w:val="0"/>
              <w:autoSpaceDE w:val="0"/>
              <w:autoSpaceDN w:val="0"/>
              <w:adjustRightInd w:val="0"/>
              <w:spacing w:before="120"/>
              <w:jc w:val="left"/>
              <w:textAlignment w:val="baseline"/>
              <w:rPr>
                <w:b/>
                <w:bCs/>
                <w:sz w:val="24"/>
                <w:szCs w:val="20"/>
                <w:lang w:val="en-GB"/>
              </w:rPr>
            </w:pPr>
            <w:r w:rsidRPr="00FF33FF">
              <w:rPr>
                <w:b/>
                <w:bCs/>
                <w:sz w:val="24"/>
                <w:szCs w:val="20"/>
                <w:lang w:val="en-GB"/>
              </w:rPr>
              <w:t>Contact:</w:t>
            </w:r>
            <w:r w:rsidRPr="00FF33FF">
              <w:rPr>
                <w:b/>
                <w:sz w:val="24"/>
                <w:szCs w:val="20"/>
                <w:lang w:val="en-GB"/>
              </w:rPr>
              <w:tab/>
            </w:r>
            <w:r w:rsidRPr="00FF33FF">
              <w:rPr>
                <w:bCs/>
                <w:sz w:val="24"/>
                <w:szCs w:val="20"/>
                <w:lang w:val="en-GB" w:eastAsia="zh-CN"/>
              </w:rPr>
              <w:t>Mr</w:t>
            </w:r>
            <w:r w:rsidRPr="00FF33FF">
              <w:rPr>
                <w:bCs/>
                <w:sz w:val="24"/>
                <w:szCs w:val="20"/>
                <w:lang w:val="en-GB"/>
              </w:rPr>
              <w:t xml:space="preserve"> Tobias Vieracker</w:t>
            </w:r>
          </w:p>
        </w:tc>
        <w:tc>
          <w:tcPr>
            <w:tcW w:w="2500" w:type="pct"/>
          </w:tcPr>
          <w:p w14:paraId="29FD29B9" w14:textId="77777777" w:rsidR="00FF33FF" w:rsidRPr="00FF33FF" w:rsidRDefault="00FF33FF" w:rsidP="00FF33FF">
            <w:pPr>
              <w:tabs>
                <w:tab w:val="left" w:pos="1134"/>
                <w:tab w:val="left" w:pos="1871"/>
                <w:tab w:val="left" w:pos="2268"/>
              </w:tabs>
              <w:overflowPunct w:val="0"/>
              <w:autoSpaceDE w:val="0"/>
              <w:autoSpaceDN w:val="0"/>
              <w:adjustRightInd w:val="0"/>
              <w:spacing w:before="120"/>
              <w:jc w:val="left"/>
              <w:textAlignment w:val="baseline"/>
              <w:rPr>
                <w:b/>
                <w:bCs/>
                <w:sz w:val="24"/>
                <w:szCs w:val="20"/>
                <w:lang w:val="en-GB"/>
              </w:rPr>
            </w:pPr>
            <w:r w:rsidRPr="00FF33FF">
              <w:rPr>
                <w:b/>
                <w:bCs/>
                <w:sz w:val="24"/>
                <w:szCs w:val="20"/>
                <w:lang w:val="en-GB"/>
              </w:rPr>
              <w:t>E-mail:</w:t>
            </w:r>
            <w:r w:rsidRPr="00FF33FF">
              <w:rPr>
                <w:b/>
                <w:bCs/>
                <w:sz w:val="24"/>
                <w:szCs w:val="20"/>
                <w:lang w:val="en-GB"/>
              </w:rPr>
              <w:tab/>
            </w:r>
            <w:hyperlink r:id="rId26" w:history="1">
              <w:r w:rsidRPr="00FF33FF">
                <w:rPr>
                  <w:color w:val="0000FF"/>
                  <w:sz w:val="24"/>
                  <w:szCs w:val="20"/>
                  <w:u w:val="single"/>
                  <w:lang w:val="en-GB"/>
                </w:rPr>
                <w:t>tvieracker@apple.com</w:t>
              </w:r>
            </w:hyperlink>
          </w:p>
        </w:tc>
      </w:tr>
    </w:tbl>
    <w:p w14:paraId="73B10127" w14:textId="77777777" w:rsidR="00FF33FF" w:rsidRPr="00FF33FF" w:rsidRDefault="00FF33FF" w:rsidP="00FF33FF">
      <w:pPr>
        <w:tabs>
          <w:tab w:val="left" w:pos="1134"/>
          <w:tab w:val="left" w:pos="1871"/>
          <w:tab w:val="left" w:pos="2268"/>
        </w:tabs>
        <w:overflowPunct w:val="0"/>
        <w:autoSpaceDE w:val="0"/>
        <w:autoSpaceDN w:val="0"/>
        <w:adjustRightInd w:val="0"/>
        <w:spacing w:before="720"/>
        <w:ind w:left="1871" w:hanging="1871"/>
        <w:jc w:val="left"/>
        <w:textAlignment w:val="baseline"/>
        <w:rPr>
          <w:sz w:val="24"/>
          <w:szCs w:val="20"/>
          <w:lang w:val="en-GB" w:eastAsia="zh-CN"/>
        </w:rPr>
      </w:pPr>
      <w:r w:rsidRPr="00FF33FF">
        <w:rPr>
          <w:b/>
          <w:bCs/>
          <w:sz w:val="24"/>
          <w:szCs w:val="20"/>
          <w:lang w:val="en-GB" w:eastAsia="zh-CN"/>
        </w:rPr>
        <w:t>Attachment:</w:t>
      </w:r>
      <w:r w:rsidRPr="00FF33FF">
        <w:rPr>
          <w:b/>
          <w:bCs/>
          <w:sz w:val="24"/>
          <w:szCs w:val="20"/>
          <w:lang w:val="en-GB" w:eastAsia="zh-CN"/>
        </w:rPr>
        <w:tab/>
      </w:r>
      <w:r w:rsidRPr="00FF33FF">
        <w:rPr>
          <w:sz w:val="24"/>
          <w:szCs w:val="20"/>
          <w:lang w:val="en-GB" w:eastAsia="zh-CN"/>
        </w:rPr>
        <w:t>NCSR 10-8</w:t>
      </w:r>
      <w:r w:rsidRPr="00FF33FF">
        <w:rPr>
          <w:sz w:val="24"/>
          <w:szCs w:val="20"/>
          <w:lang w:val="en-GB"/>
        </w:rPr>
        <w:t xml:space="preserve"> – </w:t>
      </w:r>
      <w:r w:rsidRPr="00FF33FF">
        <w:rPr>
          <w:sz w:val="24"/>
          <w:szCs w:val="20"/>
          <w:lang w:val="en-GB" w:eastAsia="zh-CN"/>
        </w:rPr>
        <w:t>Draft performance standards for the reception of maritime safety information and search and rescue related information by MF and HF digital navigational data system (NAVDAT) (operating in the band 495 kHz-505 kHz)</w:t>
      </w:r>
    </w:p>
    <w:p w14:paraId="688617B2" w14:textId="77777777" w:rsidR="00FF33FF" w:rsidRPr="00FF33FF" w:rsidRDefault="00FF33FF" w:rsidP="00FF33FF">
      <w:pPr>
        <w:widowControl w:val="0"/>
        <w:tabs>
          <w:tab w:val="left" w:pos="1134"/>
          <w:tab w:val="left" w:pos="1871"/>
          <w:tab w:val="left" w:pos="2268"/>
        </w:tabs>
        <w:overflowPunct w:val="0"/>
        <w:autoSpaceDE w:val="0"/>
        <w:autoSpaceDN w:val="0"/>
        <w:adjustRightInd w:val="0"/>
        <w:snapToGrid w:val="0"/>
        <w:spacing w:before="120" w:after="100" w:afterAutospacing="1"/>
        <w:jc w:val="center"/>
        <w:textAlignment w:val="baseline"/>
        <w:rPr>
          <w:b/>
          <w:bCs/>
          <w:sz w:val="24"/>
          <w:szCs w:val="20"/>
          <w:lang w:val="en-GB" w:eastAsia="zh-CN"/>
        </w:rPr>
      </w:pPr>
      <w:r w:rsidRPr="00FF33FF">
        <w:rPr>
          <w:sz w:val="24"/>
          <w:szCs w:val="20"/>
          <w:lang w:val="en-GB"/>
        </w:rPr>
        <w:object w:dxaOrig="935" w:dyaOrig="605" w14:anchorId="70072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29.95pt" o:ole="">
            <v:imagedata r:id="rId27" o:title=""/>
          </v:shape>
          <o:OLEObject Type="Embed" ProgID="Acrobat.Document.DC" ShapeID="_x0000_i1025" DrawAspect="Icon" ObjectID="_1754061877" r:id="rId28"/>
        </w:object>
      </w:r>
    </w:p>
    <w:p w14:paraId="7B480278" w14:textId="77777777" w:rsidR="00FF33FF" w:rsidRPr="00FF33FF" w:rsidRDefault="00FF33FF" w:rsidP="00FF33FF">
      <w:pPr>
        <w:tabs>
          <w:tab w:val="left" w:pos="1134"/>
          <w:tab w:val="left" w:pos="1871"/>
          <w:tab w:val="left" w:pos="2268"/>
        </w:tabs>
        <w:overflowPunct w:val="0"/>
        <w:autoSpaceDE w:val="0"/>
        <w:autoSpaceDN w:val="0"/>
        <w:adjustRightInd w:val="0"/>
        <w:spacing w:before="120"/>
        <w:jc w:val="left"/>
        <w:textAlignment w:val="baseline"/>
        <w:rPr>
          <w:sz w:val="24"/>
          <w:szCs w:val="20"/>
          <w:lang w:val="en-GB"/>
        </w:rPr>
      </w:pPr>
    </w:p>
    <w:p w14:paraId="1493AAA2" w14:textId="77777777" w:rsidR="00FF33FF" w:rsidRPr="00FF33FF" w:rsidRDefault="00FF33FF" w:rsidP="00FF33FF">
      <w:pPr>
        <w:tabs>
          <w:tab w:val="left" w:pos="1134"/>
          <w:tab w:val="left" w:pos="1588"/>
          <w:tab w:val="left" w:pos="1985"/>
        </w:tabs>
        <w:overflowPunct w:val="0"/>
        <w:autoSpaceDE w:val="0"/>
        <w:autoSpaceDN w:val="0"/>
        <w:adjustRightInd w:val="0"/>
        <w:spacing w:before="120"/>
        <w:jc w:val="left"/>
        <w:textAlignment w:val="baseline"/>
        <w:rPr>
          <w:sz w:val="24"/>
          <w:szCs w:val="20"/>
          <w:lang w:val="en-GB"/>
        </w:rPr>
      </w:pPr>
    </w:p>
    <w:p w14:paraId="0005D834" w14:textId="77777777" w:rsidR="00FF33FF" w:rsidRPr="00FF33FF" w:rsidRDefault="00FF33FF" w:rsidP="00FF33FF">
      <w:pPr>
        <w:tabs>
          <w:tab w:val="left" w:pos="1134"/>
          <w:tab w:val="left" w:pos="1871"/>
          <w:tab w:val="left" w:pos="2268"/>
        </w:tabs>
        <w:overflowPunct w:val="0"/>
        <w:autoSpaceDE w:val="0"/>
        <w:autoSpaceDN w:val="0"/>
        <w:adjustRightInd w:val="0"/>
        <w:spacing w:before="120"/>
        <w:jc w:val="center"/>
        <w:textAlignment w:val="baseline"/>
        <w:rPr>
          <w:sz w:val="24"/>
          <w:szCs w:val="20"/>
          <w:lang w:val="en-GB"/>
        </w:rPr>
      </w:pPr>
      <w:r w:rsidRPr="00FF33FF">
        <w:rPr>
          <w:sz w:val="24"/>
          <w:szCs w:val="20"/>
          <w:lang w:val="en-GB"/>
        </w:rPr>
        <w:t>______________</w:t>
      </w:r>
    </w:p>
    <w:p w14:paraId="784D5BE0" w14:textId="2BB677F9" w:rsidR="00612E76" w:rsidRDefault="00612E76"/>
    <w:sectPr w:rsidR="00612E76" w:rsidSect="00D9052C">
      <w:headerReference w:type="even" r:id="rId29"/>
      <w:headerReference w:type="default" r:id="rId30"/>
      <w:footerReference w:type="even" r:id="rId31"/>
      <w:footerReference w:type="default" r:id="rId32"/>
      <w:headerReference w:type="first" r:id="rId33"/>
      <w:footerReference w:type="first" r:id="rId34"/>
      <w:pgSz w:w="12242" w:h="15842"/>
      <w:pgMar w:top="1627" w:right="1247" w:bottom="1036"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662C" w14:textId="77777777" w:rsidR="00CC0461" w:rsidRDefault="00CC0461">
      <w:r>
        <w:separator/>
      </w:r>
    </w:p>
  </w:endnote>
  <w:endnote w:type="continuationSeparator" w:id="0">
    <w:p w14:paraId="1860C71D" w14:textId="77777777" w:rsidR="00CC0461" w:rsidRDefault="00CC0461">
      <w:r>
        <w:continuationSeparator/>
      </w:r>
    </w:p>
  </w:endnote>
  <w:endnote w:type="continuationNotice" w:id="1">
    <w:p w14:paraId="0A5DA3B4" w14:textId="77777777" w:rsidR="00CC0461" w:rsidRDefault="00CC0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2B49" w14:textId="77777777" w:rsidR="00F0119B" w:rsidRDefault="00F01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5022" w14:textId="77777777" w:rsidR="00F0119B" w:rsidRDefault="00F01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5141" w14:textId="77777777" w:rsidR="00F0119B" w:rsidRDefault="00F0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D48C" w14:textId="77777777" w:rsidR="00CC0461" w:rsidRDefault="00CC0461">
      <w:r>
        <w:separator/>
      </w:r>
    </w:p>
  </w:footnote>
  <w:footnote w:type="continuationSeparator" w:id="0">
    <w:p w14:paraId="2822DB5A" w14:textId="77777777" w:rsidR="00CC0461" w:rsidRDefault="00CC0461">
      <w:r>
        <w:continuationSeparator/>
      </w:r>
    </w:p>
  </w:footnote>
  <w:footnote w:type="continuationNotice" w:id="1">
    <w:p w14:paraId="7D58EEE8" w14:textId="77777777" w:rsidR="00CC0461" w:rsidRDefault="00CC0461"/>
  </w:footnote>
  <w:footnote w:id="2">
    <w:p w14:paraId="458C2288" w14:textId="77777777" w:rsidR="00FF33FF" w:rsidRPr="00A82BE3" w:rsidRDefault="00FF33FF" w:rsidP="00FF33FF">
      <w:pPr>
        <w:pStyle w:val="FootnoteText"/>
      </w:pPr>
      <w:r>
        <w:rPr>
          <w:rStyle w:val="FootnoteReference"/>
        </w:rPr>
        <w:footnoteRef/>
      </w:r>
      <w:r>
        <w:tab/>
      </w:r>
      <w:r w:rsidRPr="00A82BE3">
        <w:t>This information may also be relevant for other cases of high power WPT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12" w:name="logo"/>
          <w:r>
            <w:rPr>
              <w:noProof/>
              <w:lang w:val="en-CA" w:eastAsia="zh-CN"/>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2"/>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lang w:val="en-CA" w:eastAsia="zh-CN"/>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EF6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2D85211E" w:rsidR="009851A4" w:rsidRPr="00066AB7" w:rsidRDefault="008537C5" w:rsidP="009851A4">
          <w:pPr>
            <w:rPr>
              <w:rFonts w:ascii="Arial" w:hAnsi="Arial" w:cs="Arial"/>
              <w:b/>
              <w:sz w:val="24"/>
            </w:rPr>
          </w:pPr>
          <w:r>
            <w:rPr>
              <w:rFonts w:ascii="Arial" w:hAnsi="Arial" w:cs="Arial"/>
              <w:b/>
              <w:sz w:val="24"/>
            </w:rPr>
            <w:t>INFORMATION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9851A4" w14:paraId="7E0411FE" w14:textId="77777777" w:rsidTr="008D7BB5">
            <w:trPr>
              <w:jc w:val="right"/>
            </w:trPr>
            <w:tc>
              <w:tcPr>
                <w:tcW w:w="0" w:type="auto"/>
              </w:tcPr>
              <w:p w14:paraId="03383D05" w14:textId="71067ECB" w:rsidR="009851A4" w:rsidRPr="00066AB7" w:rsidRDefault="009851A4" w:rsidP="008537C5">
                <w:pPr>
                  <w:framePr w:hSpace="180" w:wrap="around" w:vAnchor="text" w:hAnchor="text" w:y="1"/>
                  <w:suppressOverlap/>
                  <w:jc w:val="left"/>
                </w:pPr>
                <w:bookmarkStart w:id="13" w:name="document_no"/>
                <w:r>
                  <w:t>FSMP-WG</w:t>
                </w:r>
                <w:r w:rsidRPr="00066AB7">
                  <w:t>/</w:t>
                </w:r>
                <w:r w:rsidR="00C41DFA">
                  <w:t>1</w:t>
                </w:r>
                <w:r w:rsidR="00F0119B">
                  <w:t>7</w:t>
                </w:r>
                <w:r w:rsidR="00FF33FF">
                  <w:t>-I</w:t>
                </w:r>
                <w:r w:rsidRPr="00066AB7">
                  <w:t>P/</w:t>
                </w:r>
                <w:bookmarkEnd w:id="13"/>
                <w:r w:rsidR="00223393">
                  <w:t>0</w:t>
                </w:r>
                <w:r w:rsidR="007E69E4">
                  <w:t>1</w:t>
                </w:r>
              </w:p>
              <w:p w14:paraId="1F89A177" w14:textId="07C43372" w:rsidR="009851A4" w:rsidRPr="00066AB7" w:rsidRDefault="00C41DFA" w:rsidP="008537C5">
                <w:pPr>
                  <w:framePr w:hSpace="180" w:wrap="around" w:vAnchor="text" w:hAnchor="text" w:y="1"/>
                  <w:suppressOverlap/>
                  <w:jc w:val="left"/>
                  <w:rPr>
                    <w:b/>
                  </w:rPr>
                </w:pPr>
                <w:bookmarkStart w:id="14" w:name="restricted"/>
                <w:bookmarkStart w:id="15" w:name="addendum_corrigendum_appendix"/>
                <w:bookmarkStart w:id="16" w:name="revision_no"/>
                <w:bookmarkStart w:id="17" w:name="revision_date"/>
                <w:bookmarkStart w:id="18" w:name="related_to"/>
                <w:bookmarkEnd w:id="14"/>
                <w:bookmarkEnd w:id="15"/>
                <w:bookmarkEnd w:id="16"/>
                <w:bookmarkEnd w:id="17"/>
                <w:bookmarkEnd w:id="18"/>
                <w:r>
                  <w:rPr>
                    <w:sz w:val="18"/>
                    <w:szCs w:val="18"/>
                  </w:rPr>
                  <w:t>202</w:t>
                </w:r>
                <w:r w:rsidR="00FF33FF">
                  <w:rPr>
                    <w:sz w:val="18"/>
                    <w:szCs w:val="18"/>
                  </w:rPr>
                  <w:t>3</w:t>
                </w:r>
                <w:r w:rsidR="009851A4">
                  <w:rPr>
                    <w:sz w:val="18"/>
                    <w:szCs w:val="18"/>
                  </w:rPr>
                  <w:t>-</w:t>
                </w:r>
                <w:r w:rsidR="00FF33FF">
                  <w:rPr>
                    <w:sz w:val="18"/>
                    <w:szCs w:val="18"/>
                  </w:rPr>
                  <w:t>08</w:t>
                </w:r>
                <w:r w:rsidR="00EE72E2">
                  <w:rPr>
                    <w:sz w:val="18"/>
                    <w:szCs w:val="18"/>
                  </w:rPr>
                  <w:t>-</w:t>
                </w:r>
                <w:bookmarkStart w:id="19" w:name="info_paper"/>
                <w:bookmarkEnd w:id="19"/>
                <w:r w:rsidR="00FF33FF">
                  <w:rPr>
                    <w:sz w:val="18"/>
                    <w:szCs w:val="18"/>
                  </w:rPr>
                  <w:t>30</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8537C5">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6"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8"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16cid:durableId="1585607827">
    <w:abstractNumId w:val="24"/>
  </w:num>
  <w:num w:numId="2" w16cid:durableId="1108041758">
    <w:abstractNumId w:val="15"/>
  </w:num>
  <w:num w:numId="3" w16cid:durableId="1619725453">
    <w:abstractNumId w:val="0"/>
  </w:num>
  <w:num w:numId="4" w16cid:durableId="1901553321">
    <w:abstractNumId w:val="19"/>
  </w:num>
  <w:num w:numId="5" w16cid:durableId="2093502501">
    <w:abstractNumId w:val="6"/>
  </w:num>
  <w:num w:numId="6" w16cid:durableId="885722239">
    <w:abstractNumId w:val="23"/>
  </w:num>
  <w:num w:numId="7" w16cid:durableId="803885993">
    <w:abstractNumId w:val="4"/>
  </w:num>
  <w:num w:numId="8" w16cid:durableId="1554803708">
    <w:abstractNumId w:val="18"/>
  </w:num>
  <w:num w:numId="9" w16cid:durableId="1165323167">
    <w:abstractNumId w:val="22"/>
  </w:num>
  <w:num w:numId="10" w16cid:durableId="574978784">
    <w:abstractNumId w:val="1"/>
  </w:num>
  <w:num w:numId="11" w16cid:durableId="885214601">
    <w:abstractNumId w:val="7"/>
  </w:num>
  <w:num w:numId="12" w16cid:durableId="1408379160">
    <w:abstractNumId w:val="8"/>
  </w:num>
  <w:num w:numId="13" w16cid:durableId="794758526">
    <w:abstractNumId w:val="11"/>
  </w:num>
  <w:num w:numId="14" w16cid:durableId="495145919">
    <w:abstractNumId w:val="16"/>
  </w:num>
  <w:num w:numId="15" w16cid:durableId="591209698">
    <w:abstractNumId w:val="20"/>
  </w:num>
  <w:num w:numId="16" w16cid:durableId="171726138">
    <w:abstractNumId w:val="10"/>
  </w:num>
  <w:num w:numId="17" w16cid:durableId="1428115360">
    <w:abstractNumId w:val="14"/>
  </w:num>
  <w:num w:numId="18" w16cid:durableId="170337284">
    <w:abstractNumId w:val="17"/>
  </w:num>
  <w:num w:numId="19" w16cid:durableId="1284312061">
    <w:abstractNumId w:val="21"/>
  </w:num>
  <w:num w:numId="20" w16cid:durableId="891233176">
    <w:abstractNumId w:val="2"/>
  </w:num>
  <w:num w:numId="21" w16cid:durableId="530462469">
    <w:abstractNumId w:val="12"/>
  </w:num>
  <w:num w:numId="22" w16cid:durableId="1654791214">
    <w:abstractNumId w:val="5"/>
  </w:num>
  <w:num w:numId="23" w16cid:durableId="1987733783">
    <w:abstractNumId w:val="13"/>
  </w:num>
  <w:num w:numId="24" w16cid:durableId="366874938">
    <w:abstractNumId w:val="9"/>
  </w:num>
  <w:num w:numId="25" w16cid:durableId="1920213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defaultTabStop w:val="720"/>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E1A"/>
    <w:rsid w:val="00007A82"/>
    <w:rsid w:val="00023B48"/>
    <w:rsid w:val="0003325B"/>
    <w:rsid w:val="00034424"/>
    <w:rsid w:val="0004720A"/>
    <w:rsid w:val="000472BB"/>
    <w:rsid w:val="0005010F"/>
    <w:rsid w:val="0006085D"/>
    <w:rsid w:val="000660CD"/>
    <w:rsid w:val="000679C2"/>
    <w:rsid w:val="00080EAD"/>
    <w:rsid w:val="000834E7"/>
    <w:rsid w:val="000A1045"/>
    <w:rsid w:val="000A2BCF"/>
    <w:rsid w:val="000A31B8"/>
    <w:rsid w:val="000A5779"/>
    <w:rsid w:val="000A6523"/>
    <w:rsid w:val="000A71DE"/>
    <w:rsid w:val="000C2BB0"/>
    <w:rsid w:val="000C53D9"/>
    <w:rsid w:val="000C7BB6"/>
    <w:rsid w:val="000D5160"/>
    <w:rsid w:val="000D713E"/>
    <w:rsid w:val="000E6469"/>
    <w:rsid w:val="000E6761"/>
    <w:rsid w:val="000E757B"/>
    <w:rsid w:val="000F6312"/>
    <w:rsid w:val="0010073F"/>
    <w:rsid w:val="0010432A"/>
    <w:rsid w:val="0010759A"/>
    <w:rsid w:val="0011513D"/>
    <w:rsid w:val="00122ABD"/>
    <w:rsid w:val="00123D96"/>
    <w:rsid w:val="00124484"/>
    <w:rsid w:val="001405AA"/>
    <w:rsid w:val="001429CD"/>
    <w:rsid w:val="00147B9B"/>
    <w:rsid w:val="001545A4"/>
    <w:rsid w:val="00157771"/>
    <w:rsid w:val="00157B77"/>
    <w:rsid w:val="001611A6"/>
    <w:rsid w:val="00161D89"/>
    <w:rsid w:val="0016539F"/>
    <w:rsid w:val="00172ED1"/>
    <w:rsid w:val="00187BA4"/>
    <w:rsid w:val="00193602"/>
    <w:rsid w:val="001A2D26"/>
    <w:rsid w:val="001C41EF"/>
    <w:rsid w:val="001C721E"/>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5569"/>
    <w:rsid w:val="002658FD"/>
    <w:rsid w:val="002726FD"/>
    <w:rsid w:val="00275885"/>
    <w:rsid w:val="00275A29"/>
    <w:rsid w:val="002774B3"/>
    <w:rsid w:val="002779EA"/>
    <w:rsid w:val="0028634A"/>
    <w:rsid w:val="0029192F"/>
    <w:rsid w:val="00296A17"/>
    <w:rsid w:val="002A1EEB"/>
    <w:rsid w:val="002A7AE4"/>
    <w:rsid w:val="002B10A6"/>
    <w:rsid w:val="002B6613"/>
    <w:rsid w:val="002B723E"/>
    <w:rsid w:val="002E099E"/>
    <w:rsid w:val="00306A0C"/>
    <w:rsid w:val="003130EB"/>
    <w:rsid w:val="00314639"/>
    <w:rsid w:val="003173B9"/>
    <w:rsid w:val="00321526"/>
    <w:rsid w:val="00323348"/>
    <w:rsid w:val="00324EE5"/>
    <w:rsid w:val="00328718"/>
    <w:rsid w:val="0033130E"/>
    <w:rsid w:val="0033360B"/>
    <w:rsid w:val="00333A96"/>
    <w:rsid w:val="00343CAC"/>
    <w:rsid w:val="0035250B"/>
    <w:rsid w:val="00353F36"/>
    <w:rsid w:val="00354AFE"/>
    <w:rsid w:val="00371C5F"/>
    <w:rsid w:val="00373594"/>
    <w:rsid w:val="00377D67"/>
    <w:rsid w:val="003805D9"/>
    <w:rsid w:val="003839E3"/>
    <w:rsid w:val="00397FBA"/>
    <w:rsid w:val="003A24CF"/>
    <w:rsid w:val="003B0895"/>
    <w:rsid w:val="003B14B6"/>
    <w:rsid w:val="003B2015"/>
    <w:rsid w:val="003B3CF5"/>
    <w:rsid w:val="003B5F7B"/>
    <w:rsid w:val="003B63CA"/>
    <w:rsid w:val="003C5887"/>
    <w:rsid w:val="003C6044"/>
    <w:rsid w:val="003C681C"/>
    <w:rsid w:val="003C7834"/>
    <w:rsid w:val="003D01F7"/>
    <w:rsid w:val="003E12C4"/>
    <w:rsid w:val="003E28F7"/>
    <w:rsid w:val="003E6632"/>
    <w:rsid w:val="003F1E1C"/>
    <w:rsid w:val="003F7BC8"/>
    <w:rsid w:val="00402840"/>
    <w:rsid w:val="004041BA"/>
    <w:rsid w:val="00405063"/>
    <w:rsid w:val="0041092A"/>
    <w:rsid w:val="00432D39"/>
    <w:rsid w:val="004357C4"/>
    <w:rsid w:val="00435945"/>
    <w:rsid w:val="00444066"/>
    <w:rsid w:val="00444530"/>
    <w:rsid w:val="00444C52"/>
    <w:rsid w:val="004465D3"/>
    <w:rsid w:val="0044698C"/>
    <w:rsid w:val="00453196"/>
    <w:rsid w:val="00453A12"/>
    <w:rsid w:val="00475E16"/>
    <w:rsid w:val="00483A78"/>
    <w:rsid w:val="00496CA6"/>
    <w:rsid w:val="004B2ADA"/>
    <w:rsid w:val="004C1045"/>
    <w:rsid w:val="004C7F3F"/>
    <w:rsid w:val="004D2515"/>
    <w:rsid w:val="004D2E3A"/>
    <w:rsid w:val="004D3619"/>
    <w:rsid w:val="004D39B1"/>
    <w:rsid w:val="004D6848"/>
    <w:rsid w:val="004E59DD"/>
    <w:rsid w:val="004E7DA1"/>
    <w:rsid w:val="004F052D"/>
    <w:rsid w:val="004F0C1D"/>
    <w:rsid w:val="004F0CA2"/>
    <w:rsid w:val="004F6055"/>
    <w:rsid w:val="005039D9"/>
    <w:rsid w:val="005178F9"/>
    <w:rsid w:val="00530F59"/>
    <w:rsid w:val="005318C0"/>
    <w:rsid w:val="00532404"/>
    <w:rsid w:val="00535141"/>
    <w:rsid w:val="005364D1"/>
    <w:rsid w:val="00536EB4"/>
    <w:rsid w:val="00537F50"/>
    <w:rsid w:val="0054433A"/>
    <w:rsid w:val="00553FBB"/>
    <w:rsid w:val="00555838"/>
    <w:rsid w:val="0055770F"/>
    <w:rsid w:val="005654A9"/>
    <w:rsid w:val="00567283"/>
    <w:rsid w:val="00570985"/>
    <w:rsid w:val="005711A5"/>
    <w:rsid w:val="00585DFF"/>
    <w:rsid w:val="0059049B"/>
    <w:rsid w:val="005A0D6E"/>
    <w:rsid w:val="005A0DCF"/>
    <w:rsid w:val="005A45E1"/>
    <w:rsid w:val="005B1D10"/>
    <w:rsid w:val="005C0F00"/>
    <w:rsid w:val="005C391D"/>
    <w:rsid w:val="005C55E4"/>
    <w:rsid w:val="005D3860"/>
    <w:rsid w:val="005D6DC2"/>
    <w:rsid w:val="005E7881"/>
    <w:rsid w:val="005F685D"/>
    <w:rsid w:val="00612E76"/>
    <w:rsid w:val="00615659"/>
    <w:rsid w:val="00625D96"/>
    <w:rsid w:val="006342E4"/>
    <w:rsid w:val="0064519E"/>
    <w:rsid w:val="00653145"/>
    <w:rsid w:val="00656333"/>
    <w:rsid w:val="00660B51"/>
    <w:rsid w:val="00660DCC"/>
    <w:rsid w:val="006634B1"/>
    <w:rsid w:val="006828EF"/>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70D3"/>
    <w:rsid w:val="00722303"/>
    <w:rsid w:val="00722418"/>
    <w:rsid w:val="007267CA"/>
    <w:rsid w:val="00740778"/>
    <w:rsid w:val="00740F7F"/>
    <w:rsid w:val="0074384E"/>
    <w:rsid w:val="00743E8B"/>
    <w:rsid w:val="00745973"/>
    <w:rsid w:val="00747E70"/>
    <w:rsid w:val="00754760"/>
    <w:rsid w:val="00755B6D"/>
    <w:rsid w:val="00756FAC"/>
    <w:rsid w:val="00757682"/>
    <w:rsid w:val="00770A1C"/>
    <w:rsid w:val="00777B3D"/>
    <w:rsid w:val="00787EF2"/>
    <w:rsid w:val="00794997"/>
    <w:rsid w:val="007A03E5"/>
    <w:rsid w:val="007A62DB"/>
    <w:rsid w:val="007B0B81"/>
    <w:rsid w:val="007B2955"/>
    <w:rsid w:val="007B5A77"/>
    <w:rsid w:val="007B7610"/>
    <w:rsid w:val="007C091B"/>
    <w:rsid w:val="007D3959"/>
    <w:rsid w:val="007E69E4"/>
    <w:rsid w:val="007E7079"/>
    <w:rsid w:val="007F43E7"/>
    <w:rsid w:val="007F6562"/>
    <w:rsid w:val="008036D7"/>
    <w:rsid w:val="00803C59"/>
    <w:rsid w:val="0080619C"/>
    <w:rsid w:val="00831FFA"/>
    <w:rsid w:val="00835B8A"/>
    <w:rsid w:val="008465B8"/>
    <w:rsid w:val="0085086E"/>
    <w:rsid w:val="008537C5"/>
    <w:rsid w:val="00857BB6"/>
    <w:rsid w:val="00873E6A"/>
    <w:rsid w:val="0088122B"/>
    <w:rsid w:val="00886191"/>
    <w:rsid w:val="008A5DDE"/>
    <w:rsid w:val="008B17E8"/>
    <w:rsid w:val="008B534B"/>
    <w:rsid w:val="008C0731"/>
    <w:rsid w:val="008C189D"/>
    <w:rsid w:val="008C5CA3"/>
    <w:rsid w:val="008C7AEA"/>
    <w:rsid w:val="008D1AEE"/>
    <w:rsid w:val="008F454A"/>
    <w:rsid w:val="008F56D1"/>
    <w:rsid w:val="008F57DE"/>
    <w:rsid w:val="0090063F"/>
    <w:rsid w:val="009015CC"/>
    <w:rsid w:val="00903FA2"/>
    <w:rsid w:val="00914BB3"/>
    <w:rsid w:val="009162C1"/>
    <w:rsid w:val="00924DCE"/>
    <w:rsid w:val="0092758A"/>
    <w:rsid w:val="009418C5"/>
    <w:rsid w:val="009456EC"/>
    <w:rsid w:val="00954DB2"/>
    <w:rsid w:val="009557C4"/>
    <w:rsid w:val="00974973"/>
    <w:rsid w:val="009769FF"/>
    <w:rsid w:val="0098221E"/>
    <w:rsid w:val="00984CA7"/>
    <w:rsid w:val="009851A4"/>
    <w:rsid w:val="00991E69"/>
    <w:rsid w:val="0099394E"/>
    <w:rsid w:val="009B4B75"/>
    <w:rsid w:val="009D1D2A"/>
    <w:rsid w:val="009D710A"/>
    <w:rsid w:val="009E4A05"/>
    <w:rsid w:val="009E6FA0"/>
    <w:rsid w:val="009F0404"/>
    <w:rsid w:val="009F18ED"/>
    <w:rsid w:val="00A0403F"/>
    <w:rsid w:val="00A2546C"/>
    <w:rsid w:val="00A27939"/>
    <w:rsid w:val="00A30E2D"/>
    <w:rsid w:val="00A326BC"/>
    <w:rsid w:val="00A35292"/>
    <w:rsid w:val="00A35ABA"/>
    <w:rsid w:val="00A454E6"/>
    <w:rsid w:val="00A52525"/>
    <w:rsid w:val="00A55504"/>
    <w:rsid w:val="00A608C6"/>
    <w:rsid w:val="00A6324B"/>
    <w:rsid w:val="00A84E3A"/>
    <w:rsid w:val="00A85EB8"/>
    <w:rsid w:val="00A870C3"/>
    <w:rsid w:val="00A90FB2"/>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52679"/>
    <w:rsid w:val="00B540F9"/>
    <w:rsid w:val="00B57A74"/>
    <w:rsid w:val="00B636B2"/>
    <w:rsid w:val="00B63F2F"/>
    <w:rsid w:val="00B64268"/>
    <w:rsid w:val="00B64FCE"/>
    <w:rsid w:val="00B67D2E"/>
    <w:rsid w:val="00B72E66"/>
    <w:rsid w:val="00B73BC3"/>
    <w:rsid w:val="00B74CC5"/>
    <w:rsid w:val="00B77CA0"/>
    <w:rsid w:val="00B859BA"/>
    <w:rsid w:val="00B90B07"/>
    <w:rsid w:val="00B917D5"/>
    <w:rsid w:val="00B93485"/>
    <w:rsid w:val="00B94CB2"/>
    <w:rsid w:val="00BA07A5"/>
    <w:rsid w:val="00BA0DC6"/>
    <w:rsid w:val="00BA665A"/>
    <w:rsid w:val="00BA68B4"/>
    <w:rsid w:val="00BB05A3"/>
    <w:rsid w:val="00BD1947"/>
    <w:rsid w:val="00BD6305"/>
    <w:rsid w:val="00BE339A"/>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33FB8"/>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461"/>
    <w:rsid w:val="00CC083E"/>
    <w:rsid w:val="00CC0966"/>
    <w:rsid w:val="00CC24B9"/>
    <w:rsid w:val="00CC4530"/>
    <w:rsid w:val="00CD1D46"/>
    <w:rsid w:val="00CD7485"/>
    <w:rsid w:val="00CF224B"/>
    <w:rsid w:val="00CF552E"/>
    <w:rsid w:val="00D042A4"/>
    <w:rsid w:val="00D07401"/>
    <w:rsid w:val="00D11899"/>
    <w:rsid w:val="00D1446B"/>
    <w:rsid w:val="00D160E0"/>
    <w:rsid w:val="00D17C95"/>
    <w:rsid w:val="00D218D9"/>
    <w:rsid w:val="00D24010"/>
    <w:rsid w:val="00D3310D"/>
    <w:rsid w:val="00D33461"/>
    <w:rsid w:val="00D410FE"/>
    <w:rsid w:val="00D42C17"/>
    <w:rsid w:val="00D43C0D"/>
    <w:rsid w:val="00D550D7"/>
    <w:rsid w:val="00D56E55"/>
    <w:rsid w:val="00D63871"/>
    <w:rsid w:val="00D721E4"/>
    <w:rsid w:val="00D7673B"/>
    <w:rsid w:val="00D87B4D"/>
    <w:rsid w:val="00D9052C"/>
    <w:rsid w:val="00D9084C"/>
    <w:rsid w:val="00DA150E"/>
    <w:rsid w:val="00DA2FF0"/>
    <w:rsid w:val="00DA4895"/>
    <w:rsid w:val="00DB518B"/>
    <w:rsid w:val="00DC77A7"/>
    <w:rsid w:val="00DC7E9B"/>
    <w:rsid w:val="00DD0CBE"/>
    <w:rsid w:val="00DD4090"/>
    <w:rsid w:val="00DD48ED"/>
    <w:rsid w:val="00DE3A85"/>
    <w:rsid w:val="00DE6416"/>
    <w:rsid w:val="00DF1C04"/>
    <w:rsid w:val="00DF6197"/>
    <w:rsid w:val="00E159E3"/>
    <w:rsid w:val="00E2252E"/>
    <w:rsid w:val="00E253B1"/>
    <w:rsid w:val="00E33F01"/>
    <w:rsid w:val="00E432EC"/>
    <w:rsid w:val="00E44B04"/>
    <w:rsid w:val="00E500CB"/>
    <w:rsid w:val="00E510E0"/>
    <w:rsid w:val="00E511EF"/>
    <w:rsid w:val="00E571BE"/>
    <w:rsid w:val="00E73F01"/>
    <w:rsid w:val="00E74B9B"/>
    <w:rsid w:val="00E833FE"/>
    <w:rsid w:val="00E84892"/>
    <w:rsid w:val="00E91AC3"/>
    <w:rsid w:val="00EA31F4"/>
    <w:rsid w:val="00EA7D21"/>
    <w:rsid w:val="00EB0C92"/>
    <w:rsid w:val="00EB4CFE"/>
    <w:rsid w:val="00EB5E1D"/>
    <w:rsid w:val="00EC0D9E"/>
    <w:rsid w:val="00EC24BC"/>
    <w:rsid w:val="00EC4471"/>
    <w:rsid w:val="00ED3ACE"/>
    <w:rsid w:val="00EE2FC2"/>
    <w:rsid w:val="00EE5547"/>
    <w:rsid w:val="00EE5784"/>
    <w:rsid w:val="00EE72E2"/>
    <w:rsid w:val="00EF6583"/>
    <w:rsid w:val="00F0119B"/>
    <w:rsid w:val="00F0516C"/>
    <w:rsid w:val="00F05476"/>
    <w:rsid w:val="00F06851"/>
    <w:rsid w:val="00F1231E"/>
    <w:rsid w:val="00F34934"/>
    <w:rsid w:val="00F52060"/>
    <w:rsid w:val="00F7219F"/>
    <w:rsid w:val="00F845E9"/>
    <w:rsid w:val="00F86E3B"/>
    <w:rsid w:val="00F964F7"/>
    <w:rsid w:val="00FA0267"/>
    <w:rsid w:val="00FA21C0"/>
    <w:rsid w:val="00FB1643"/>
    <w:rsid w:val="00FC2DA6"/>
    <w:rsid w:val="00FC5AC9"/>
    <w:rsid w:val="00FD6EE3"/>
    <w:rsid w:val="00FF26CE"/>
    <w:rsid w:val="00FF33FF"/>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uiPriority w:val="59"/>
    <w:qFormat/>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link w:val="enumlev1Char"/>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table" w:customStyle="1" w:styleId="TableGrid1">
    <w:name w:val="Table Grid1"/>
    <w:basedOn w:val="TableNormal"/>
    <w:next w:val="TableGrid"/>
    <w:rsid w:val="004D39B1"/>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39B1"/>
    <w:rPr>
      <w:b/>
      <w:bCs/>
    </w:rPr>
  </w:style>
  <w:style w:type="paragraph" w:customStyle="1" w:styleId="Reasons">
    <w:name w:val="Reasons"/>
    <w:basedOn w:val="Normal"/>
    <w:qFormat/>
    <w:rsid w:val="00857BB6"/>
    <w:pPr>
      <w:tabs>
        <w:tab w:val="left" w:pos="1134"/>
        <w:tab w:val="left" w:pos="1588"/>
        <w:tab w:val="left" w:pos="1985"/>
      </w:tabs>
      <w:overflowPunct w:val="0"/>
      <w:autoSpaceDE w:val="0"/>
      <w:autoSpaceDN w:val="0"/>
      <w:adjustRightInd w:val="0"/>
      <w:spacing w:before="120"/>
      <w:jc w:val="left"/>
      <w:textAlignment w:val="baseline"/>
    </w:pPr>
    <w:rPr>
      <w:sz w:val="24"/>
      <w:szCs w:val="20"/>
      <w:lang w:val="en-GB"/>
    </w:rPr>
  </w:style>
  <w:style w:type="character" w:customStyle="1" w:styleId="enumlev1Char">
    <w:name w:val="enumlev1 Char"/>
    <w:basedOn w:val="DefaultParagraphFont"/>
    <w:link w:val="enumlev1"/>
    <w:rsid w:val="00857BB6"/>
    <w:rPr>
      <w:sz w:val="24"/>
      <w:szCs w:val="20"/>
    </w:rPr>
  </w:style>
  <w:style w:type="table" w:customStyle="1" w:styleId="TableGrid2">
    <w:name w:val="Table Grid2"/>
    <w:basedOn w:val="TableNormal"/>
    <w:next w:val="TableGrid"/>
    <w:rsid w:val="00FF33FF"/>
    <w:pPr>
      <w:jc w:val="left"/>
    </w:pPr>
    <w:rPr>
      <w:rFonts w:ascii="CG Times" w:eastAsia="SimSun"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9-WP1A-C-0238/en" TargetMode="External"/><Relationship Id="rId18" Type="http://schemas.openxmlformats.org/officeDocument/2006/relationships/hyperlink" Target="https://www.itu.int/md/meetingdoc.asp?lang=en&amp;parent=R19-WP5B-C-0756" TargetMode="External"/><Relationship Id="rId26" Type="http://schemas.openxmlformats.org/officeDocument/2006/relationships/hyperlink" Target="mailto:tvieracker@apple.com" TargetMode="External"/><Relationship Id="rId3" Type="http://schemas.openxmlformats.org/officeDocument/2006/relationships/customXml" Target="../customXml/item3.xml"/><Relationship Id="rId21" Type="http://schemas.openxmlformats.org/officeDocument/2006/relationships/hyperlink" Target="https://wwwcdn.imo.org/localresources/en/KnowledgeCentre/IndexofIMOResolutions/MSCResolutions/MSC.512(105).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tu.int/md/meetingdoc.asp?lang=en&amp;parent=R19-WP5B-C-0752" TargetMode="External"/><Relationship Id="rId17" Type="http://schemas.openxmlformats.org/officeDocument/2006/relationships/hyperlink" Target="https://www.itu.int/md/R15-WP1A-C-0377/en" TargetMode="External"/><Relationship Id="rId25" Type="http://schemas.openxmlformats.org/officeDocument/2006/relationships/hyperlink" Target="https://wwwcdn.imo.org/localresources/en/KnowledgeCentre/IndexofIMOResolutions/AssemblyDocuments/A.1046(27).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tu.int/md/R19-WP5B-C-0651/en" TargetMode="External"/><Relationship Id="rId20" Type="http://schemas.openxmlformats.org/officeDocument/2006/relationships/hyperlink" Target="https://wwwcdn.imo.org/localresources/en/KnowledgeCentre/IndexofIMOResolutions/MSCResolutions/MSC.508(10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n.imo.org/localresources/en/KnowledgeCentre/IndexofIMOResolutions/MSCResolutions/MSC.509(105).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dms_ties/itu-r/md/19/wp5b/c/R19-WP5B-C-0649!N29!MSW-E.docx" TargetMode="External"/><Relationship Id="rId23" Type="http://schemas.openxmlformats.org/officeDocument/2006/relationships/hyperlink" Target="https://wwwcdn.imo.org/localresources/en/KnowledgeCentre/IndexofIMOResolutions/MSCResolutions/MSC.509(105).pdf" TargetMode="External"/><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n.imo.org/localresources/en/KnowledgeCentre/IndexofIMOResolutions/MSCResolutions/MSC.114(73).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5-WP1A-C-0377/en" TargetMode="External"/><Relationship Id="rId22" Type="http://schemas.openxmlformats.org/officeDocument/2006/relationships/hyperlink" Target="https://wwwcdn.imo.org/localresources/en/KnowledgeCentre/IndexofIMOResolutions/MSCResolutions/MSC.509(105).pdf" TargetMode="External"/><Relationship Id="rId27" Type="http://schemas.openxmlformats.org/officeDocument/2006/relationships/image" Target="media/image2.emf"/><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8BED6-3821-45EA-85F9-C3F09EC8C3DD}">
  <ds:schemaRefs>
    <ds:schemaRef ds:uri="http://schemas.openxmlformats.org/officeDocument/2006/bibliography"/>
  </ds:schemaRefs>
</ds:datastoreItem>
</file>

<file path=customXml/itemProps3.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4.xml><?xml version="1.0" encoding="utf-8"?>
<ds:datastoreItem xmlns:ds="http://schemas.openxmlformats.org/officeDocument/2006/customXml" ds:itemID="{4E24E186-D3A9-4C6E-BB98-047654F8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2023-08-04T14:13:00Z</dcterms:created>
  <dcterms:modified xsi:type="dcterms:W3CDTF">2023-08-20T22:38:00Z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