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347A40D2" w:rsidR="00DA52CB" w:rsidRPr="00D17232" w:rsidRDefault="00B50D33" w:rsidP="00B05E33">
                  <w:pPr>
                    <w:framePr w:hSpace="180" w:wrap="around" w:vAnchor="text" w:hAnchor="text" w:y="1"/>
                    <w:suppressOverlap/>
                    <w:jc w:val="left"/>
                    <w:rPr>
                      <w:szCs w:val="22"/>
                    </w:rPr>
                  </w:pPr>
                  <w:r>
                    <w:rPr>
                      <w:szCs w:val="22"/>
                    </w:rPr>
                    <w:t>FSMP-WG/12</w:t>
                  </w:r>
                  <w:r w:rsidR="004231D7">
                    <w:rPr>
                      <w:szCs w:val="22"/>
                    </w:rPr>
                    <w:t>-WP/</w:t>
                  </w:r>
                  <w:r w:rsidR="00B05E33">
                    <w:rPr>
                      <w:szCs w:val="22"/>
                    </w:rPr>
                    <w:t>13</w:t>
                  </w:r>
                </w:p>
                <w:p w14:paraId="5CE241B1" w14:textId="53F0152D" w:rsidR="00A2022F" w:rsidRPr="00A2022F" w:rsidRDefault="00B05E33" w:rsidP="00B05E33">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2021-10-04</w:t>
                  </w:r>
                  <w:bookmarkStart w:id="6" w:name="_GoBack"/>
                  <w:bookmarkEnd w:id="6"/>
                  <w:r w:rsidR="002172F3">
                    <w:rPr>
                      <w:b/>
                      <w:sz w:val="18"/>
                      <w:szCs w:val="18"/>
                    </w:rPr>
                    <w:t xml:space="preserve"> </w:t>
                  </w:r>
                  <w:bookmarkStart w:id="7" w:name="info_paper"/>
                  <w:bookmarkEnd w:id="7"/>
                </w:p>
              </w:tc>
            </w:tr>
            <w:tr w:rsidR="00DA52CB" w14:paraId="12EE8AD8" w14:textId="77777777" w:rsidTr="00F26CCC">
              <w:trPr>
                <w:jc w:val="right"/>
              </w:trPr>
              <w:tc>
                <w:tcPr>
                  <w:tcW w:w="0" w:type="auto"/>
                </w:tcPr>
                <w:p w14:paraId="4BEB0A14" w14:textId="77777777" w:rsidR="0079494F" w:rsidRPr="0079494F" w:rsidRDefault="0079494F" w:rsidP="00B05E33">
                  <w:pPr>
                    <w:framePr w:hSpace="180" w:wrap="around" w:vAnchor="text" w:hAnchor="text" w:y="1"/>
                    <w:suppressOverlap/>
                    <w:jc w:val="left"/>
                    <w:rPr>
                      <w:szCs w:val="22"/>
                    </w:rPr>
                  </w:pPr>
                  <w:bookmarkStart w:id="8" w:name="language"/>
                  <w:bookmarkEnd w:id="8"/>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9" w:name="text_above"/>
      <w:bookmarkEnd w:id="9"/>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10" w:name="text_below"/>
      <w:bookmarkStart w:id="11"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10"/>
    <w:p w14:paraId="58772851" w14:textId="77777777" w:rsidR="004006B4" w:rsidRPr="00DC4738" w:rsidRDefault="004006B4" w:rsidP="004006B4">
      <w:pPr>
        <w:rPr>
          <w:rFonts w:asciiTheme="majorBidi" w:hAnsiTheme="majorBidi" w:cstheme="majorBidi"/>
          <w:szCs w:val="22"/>
        </w:rPr>
      </w:pPr>
    </w:p>
    <w:p w14:paraId="6E528F74" w14:textId="3D9AC651" w:rsidR="004006B4" w:rsidRPr="00DC4738" w:rsidRDefault="004006B4" w:rsidP="004006B4">
      <w:pPr>
        <w:jc w:val="center"/>
        <w:rPr>
          <w:rFonts w:asciiTheme="majorBidi" w:hAnsiTheme="majorBidi" w:cstheme="majorBidi"/>
          <w:b/>
          <w:szCs w:val="22"/>
        </w:rPr>
      </w:pPr>
      <w:r>
        <w:rPr>
          <w:b/>
          <w:szCs w:val="22"/>
        </w:rPr>
        <w:t>Virtual</w:t>
      </w:r>
      <w:proofErr w:type="gramStart"/>
      <w:r w:rsidR="00B50D33">
        <w:rPr>
          <w:rFonts w:asciiTheme="majorBidi" w:hAnsiTheme="majorBidi" w:cstheme="majorBidi"/>
          <w:b/>
          <w:szCs w:val="22"/>
        </w:rPr>
        <w:t>,4</w:t>
      </w:r>
      <w:proofErr w:type="gramEnd"/>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2" w:name="title_below_city_from_to"/>
      <w:bookmarkEnd w:id="12"/>
    </w:p>
    <w:p w14:paraId="5EC8D7AD" w14:textId="77777777" w:rsidR="00F7615F" w:rsidRPr="00BB5B17" w:rsidRDefault="00F7615F" w:rsidP="00F7615F">
      <w:pPr>
        <w:tabs>
          <w:tab w:val="left" w:pos="0"/>
          <w:tab w:val="left" w:pos="1570"/>
          <w:tab w:val="left" w:pos="1857"/>
        </w:tabs>
      </w:pPr>
    </w:p>
    <w:p w14:paraId="02B939AA" w14:textId="4620C945" w:rsidR="00294909" w:rsidRDefault="00B50D33" w:rsidP="002048C0">
      <w:pPr>
        <w:pStyle w:val="Maintitle"/>
        <w:spacing w:after="120"/>
        <w:ind w:left="0" w:right="1077"/>
        <w:jc w:val="both"/>
        <w:rPr>
          <w:snapToGrid/>
        </w:rPr>
      </w:pPr>
      <w:r w:rsidRPr="00B50D33">
        <w:rPr>
          <w:snapToGrid/>
        </w:rPr>
        <w:t xml:space="preserve">Agenda Item </w:t>
      </w:r>
      <w:r w:rsidR="009C7F69">
        <w:rPr>
          <w:snapToGrid/>
        </w:rPr>
        <w:t>5</w:t>
      </w:r>
      <w:r w:rsidRPr="00B50D33">
        <w:rPr>
          <w:snapToGrid/>
        </w:rPr>
        <w:tab/>
      </w:r>
      <w:r w:rsidRPr="00B50D33">
        <w:rPr>
          <w:snapToGrid/>
        </w:rPr>
        <w:tab/>
      </w:r>
      <w:r w:rsidR="002048C0">
        <w:rPr>
          <w:snapToGrid/>
        </w:rPr>
        <w:t>Development of (</w:t>
      </w:r>
      <w:proofErr w:type="gramStart"/>
      <w:r w:rsidR="002048C0">
        <w:rPr>
          <w:snapToGrid/>
        </w:rPr>
        <w:t>planned</w:t>
      </w:r>
      <w:r w:rsidR="009B6C83" w:rsidRPr="009B6C83">
        <w:rPr>
          <w:rFonts w:eastAsia="Calibri"/>
          <w:bCs/>
        </w:rPr>
        <w:t xml:space="preserve"> </w:t>
      </w:r>
      <w:r w:rsidR="009B6C83">
        <w:rPr>
          <w:rFonts w:eastAsia="Calibri"/>
          <w:bCs/>
        </w:rPr>
        <w:t>)</w:t>
      </w:r>
      <w:proofErr w:type="gramEnd"/>
      <w:r w:rsidR="009B6C83">
        <w:rPr>
          <w:rFonts w:eastAsia="Calibri"/>
          <w:bCs/>
        </w:rPr>
        <w:t xml:space="preserve"> Material for ITU-R Studies on</w:t>
      </w:r>
    </w:p>
    <w:p w14:paraId="148CC42A" w14:textId="69196EC1" w:rsidR="002048C0" w:rsidRPr="002048C0" w:rsidRDefault="002048C0" w:rsidP="002048C0">
      <w:pPr>
        <w:pStyle w:val="Maintitle"/>
        <w:tabs>
          <w:tab w:val="left" w:pos="2127"/>
        </w:tabs>
        <w:ind w:left="0"/>
        <w:jc w:val="both"/>
        <w:rPr>
          <w:b w:val="0"/>
          <w:bCs/>
          <w:snapToGrid/>
        </w:rPr>
      </w:pPr>
      <w:r>
        <w:rPr>
          <w:snapToGrid/>
        </w:rPr>
        <w:tab/>
      </w:r>
      <w:r w:rsidRPr="002048C0">
        <w:rPr>
          <w:b w:val="0"/>
          <w:bCs/>
          <w:snapToGrid/>
        </w:rPr>
        <w:t>c)</w:t>
      </w:r>
      <w:r>
        <w:rPr>
          <w:b w:val="0"/>
          <w:bCs/>
          <w:snapToGrid/>
        </w:rPr>
        <w:t xml:space="preserve"> </w:t>
      </w:r>
      <w:r>
        <w:rPr>
          <w:b w:val="0"/>
          <w:bCs/>
          <w:snapToGrid/>
        </w:rPr>
        <w:tab/>
        <w:t>WRC-23 AI 1.8 FSS for UAS</w:t>
      </w:r>
    </w:p>
    <w:p w14:paraId="7046AF28" w14:textId="79C94264" w:rsidR="00B50D33" w:rsidRDefault="00B50D33" w:rsidP="00560413">
      <w:pPr>
        <w:ind w:left="2182"/>
        <w:contextualSpacing/>
        <w:rPr>
          <w:rFonts w:asciiTheme="majorBidi" w:hAnsiTheme="majorBidi" w:cstheme="majorBidi"/>
          <w:color w:val="000000"/>
          <w:szCs w:val="22"/>
        </w:rPr>
      </w:pP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0020A815" w:rsidR="00F7615F" w:rsidRPr="00BB5B17" w:rsidRDefault="002048C0" w:rsidP="00F7615F">
      <w:pPr>
        <w:pStyle w:val="Maintitle"/>
      </w:pPr>
      <w:r>
        <w:t xml:space="preserve">What ICAO Expects the ITU to Deliver with Respect of FSS for </w:t>
      </w:r>
      <w:proofErr w:type="gramStart"/>
      <w:r>
        <w:t>UAS</w:t>
      </w:r>
      <w:proofErr w:type="gramEnd"/>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 xml:space="preserve">John </w:t>
      </w:r>
      <w:proofErr w:type="spellStart"/>
      <w:r w:rsidR="00F65B58">
        <w:t>Mettrop</w:t>
      </w:r>
      <w:proofErr w:type="spellEnd"/>
      <w:r w:rsidR="004B6F3E">
        <w:t>)</w:t>
      </w:r>
    </w:p>
    <w:bookmarkEnd w:id="11"/>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4E085EF4" w:rsidR="00F7615F" w:rsidRPr="00BB5B17" w:rsidRDefault="00AF0986" w:rsidP="00474376">
            <w:r>
              <w:t>This document presents a proposal made within the WRC-23 AI 1.8 correspondence group as to try and address the current discussions in the ITU as to what is the ITU’s responsibility and answer the question from an ICAO perspective.</w:t>
            </w:r>
            <w:r w:rsidR="00FB11A8">
              <w:t xml:space="preserve"> </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0C6AEFEE" w:rsidR="00CF0F0D" w:rsidRDefault="00CF0F0D" w:rsidP="00126E68">
            <w:pPr>
              <w:pStyle w:val="ListParagraph"/>
              <w:numPr>
                <w:ilvl w:val="0"/>
                <w:numId w:val="38"/>
              </w:numPr>
              <w:autoSpaceDE/>
              <w:autoSpaceDN/>
              <w:adjustRightInd/>
              <w:ind w:hanging="266"/>
            </w:pPr>
            <w:r>
              <w:t xml:space="preserve">To discuss </w:t>
            </w:r>
            <w:r w:rsidR="00320A9C">
              <w:t>whether the definition of what ICAO are seeking from ITU is useful in the progression of agenda item from an aeronautical perspective and if so comment and further develop the proposal</w:t>
            </w:r>
            <w:r>
              <w:t>.</w:t>
            </w:r>
          </w:p>
          <w:p w14:paraId="63DC46B3" w14:textId="3D6B97E4" w:rsidR="00B32D58" w:rsidRDefault="00CF0F0D" w:rsidP="00126E68">
            <w:pPr>
              <w:pStyle w:val="ListParagraph"/>
              <w:numPr>
                <w:ilvl w:val="0"/>
                <w:numId w:val="38"/>
              </w:numPr>
              <w:autoSpaceDE/>
              <w:autoSpaceDN/>
              <w:adjustRightInd/>
              <w:ind w:hanging="266"/>
            </w:pPr>
            <w:r>
              <w:t xml:space="preserve">If the </w:t>
            </w:r>
            <w:r w:rsidR="00320A9C">
              <w:t>proposal is deemed to be useful from a</w:t>
            </w:r>
            <w:r w:rsidR="00126E68">
              <w:t>n ICAO</w:t>
            </w:r>
            <w:r w:rsidR="00320A9C">
              <w:t xml:space="preserve"> </w:t>
            </w:r>
            <w:r w:rsidR="00126E68">
              <w:t>perspective,</w:t>
            </w:r>
            <w:r w:rsidR="00320A9C">
              <w:t xml:space="preserve"> then consider whether it is worth developing </w:t>
            </w:r>
            <w:r w:rsidR="00D77905">
              <w:t>the information into a paper or submission to the next meeting of ITU Working Party 5B</w:t>
            </w:r>
            <w:r>
              <w:t>.</w:t>
            </w:r>
          </w:p>
          <w:p w14:paraId="22791875" w14:textId="709401DB" w:rsidR="00B340D6" w:rsidRPr="00BB5B17" w:rsidRDefault="00B340D6" w:rsidP="00B32D58">
            <w:pPr>
              <w:autoSpaceDE/>
              <w:autoSpaceDN/>
              <w:adjustRightInd/>
            </w:pPr>
          </w:p>
        </w:tc>
      </w:tr>
    </w:tbl>
    <w:p w14:paraId="22ADF403" w14:textId="77777777" w:rsidR="0059413E" w:rsidRDefault="0059413E" w:rsidP="0059413E">
      <w:pPr>
        <w:jc w:val="center"/>
      </w:pPr>
      <w:r>
        <w:t>— — — — — — — —</w:t>
      </w:r>
    </w:p>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4793C995" w14:textId="03B49FAF" w:rsidR="00461203" w:rsidRDefault="00D77905" w:rsidP="007A7D53">
      <w:pPr>
        <w:pStyle w:val="2para0"/>
        <w:tabs>
          <w:tab w:val="clear" w:pos="720"/>
          <w:tab w:val="clear" w:pos="1440"/>
        </w:tabs>
        <w:ind w:left="0" w:firstLine="0"/>
      </w:pPr>
      <w:r>
        <w:t>WRC-23 agenda item 1.8 addresses the conditions under which the fixed satellite service can be used to support unmanned</w:t>
      </w:r>
      <w:r w:rsidR="00E41A78">
        <w:t>/remotely piloted</w:t>
      </w:r>
      <w:r>
        <w:t xml:space="preserve"> aircraft command and control links</w:t>
      </w:r>
      <w:r w:rsidR="0076627D">
        <w:t>.</w:t>
      </w:r>
      <w:r w:rsidR="00E41A78">
        <w:t xml:space="preserve"> Whether those conditions are then suitable to support such links from a safety perspective is an issue for ICAO and/or the States.</w:t>
      </w:r>
    </w:p>
    <w:p w14:paraId="435EB4C5" w14:textId="2563C3DE" w:rsidR="00E41A78" w:rsidRDefault="00E41A78" w:rsidP="007A7D53">
      <w:pPr>
        <w:pStyle w:val="2para0"/>
        <w:tabs>
          <w:tab w:val="clear" w:pos="720"/>
          <w:tab w:val="clear" w:pos="1440"/>
        </w:tabs>
        <w:ind w:left="0" w:firstLine="0"/>
      </w:pPr>
      <w:r>
        <w:t xml:space="preserve">The agenda item itself can trace </w:t>
      </w:r>
      <w:r w:rsidR="00522B83">
        <w:t>its</w:t>
      </w:r>
      <w:r>
        <w:t xml:space="preserve"> origins </w:t>
      </w:r>
      <w:r w:rsidR="000D4B0B">
        <w:t>back to WRC-07 when an agenda item was agreed for WRC-12 “</w:t>
      </w:r>
      <w:r w:rsidR="000D4B0B" w:rsidRPr="00522B83">
        <w:rPr>
          <w:i/>
          <w:iCs/>
        </w:rPr>
        <w:t>to consider spectrum requirements and possible regulatory actions, including allocations, in order to support the safe operation of unmanned aircraft systems (UAS)</w:t>
      </w:r>
      <w:r w:rsidR="00522B83" w:rsidRPr="00522B83">
        <w:rPr>
          <w:i/>
          <w:iCs/>
        </w:rPr>
        <w:t xml:space="preserve">, based on the results of ITU-R studies, in accordance with Resolution </w:t>
      </w:r>
      <w:r w:rsidR="00522B83" w:rsidRPr="00522B83">
        <w:rPr>
          <w:b/>
          <w:bCs/>
          <w:i/>
          <w:iCs/>
        </w:rPr>
        <w:t>421 (WRC-07)</w:t>
      </w:r>
      <w:r w:rsidR="00522B83">
        <w:t>”. Since then, the issue has been discussed at every conference since. Initially the only concerns coming from satellite operators that the imposition of conditions suitable for the provision of AMS(R</w:t>
      </w:r>
      <w:proofErr w:type="gramStart"/>
      <w:r w:rsidR="00522B83">
        <w:t>)S</w:t>
      </w:r>
      <w:proofErr w:type="gramEnd"/>
      <w:r w:rsidR="00522B83">
        <w:t xml:space="preserve"> would limit their commercial opportunities. However, since those early discussions the agenda item has developed and as it has done so the issues have expanded to the point where this is one of the most controversial topics on the agenda for WRC-23. </w:t>
      </w:r>
    </w:p>
    <w:p w14:paraId="05760EC6" w14:textId="6313D693" w:rsidR="0076627D" w:rsidRPr="00BB5B17" w:rsidRDefault="0076627D" w:rsidP="0076627D">
      <w:pPr>
        <w:pStyle w:val="1Heading"/>
        <w:keepNext w:val="0"/>
        <w:spacing w:before="240" w:after="240"/>
        <w:outlineLvl w:val="9"/>
      </w:pPr>
      <w:r>
        <w:t>discussion</w:t>
      </w:r>
    </w:p>
    <w:p w14:paraId="6CC7511E" w14:textId="22198BA2" w:rsidR="00E41A78" w:rsidRDefault="00522B83" w:rsidP="00DA506C">
      <w:pPr>
        <w:pStyle w:val="2para0"/>
        <w:tabs>
          <w:tab w:val="clear" w:pos="720"/>
          <w:tab w:val="clear" w:pos="1440"/>
        </w:tabs>
        <w:ind w:left="0" w:firstLine="0"/>
      </w:pPr>
      <w:r>
        <w:t>ITU Working Party 5B has been struggling</w:t>
      </w:r>
      <w:r w:rsidR="00A96311">
        <w:t>, not helped by the need to work remotely,</w:t>
      </w:r>
      <w:r>
        <w:t xml:space="preserve"> to </w:t>
      </w:r>
      <w:r w:rsidR="00A96311">
        <w:t>establish the “</w:t>
      </w:r>
      <w:r w:rsidR="00A96311" w:rsidRPr="00A96311">
        <w:rPr>
          <w:i/>
          <w:iCs/>
        </w:rPr>
        <w:t>key principles</w:t>
      </w:r>
      <w:r w:rsidR="00A96311">
        <w:t xml:space="preserve">” behind the work being done against WRC-23 agenda item 1.8. One area of contention has been who is responsible for what, especially what are the responsibilities of the ITU.  Based on this information the deficiencies </w:t>
      </w:r>
      <w:r w:rsidR="00B0400F">
        <w:t xml:space="preserve">in what the ITU currently does routinely and what is required to address the use of the fixed satellite service to provide unmanned aircraft command and control links can be identified and addressed in the revision of Resolution </w:t>
      </w:r>
      <w:r w:rsidR="00B0400F" w:rsidRPr="00B0400F">
        <w:rPr>
          <w:b/>
          <w:bCs/>
        </w:rPr>
        <w:t>155</w:t>
      </w:r>
      <w:r w:rsidR="00B0400F">
        <w:t>.</w:t>
      </w:r>
    </w:p>
    <w:p w14:paraId="4BA3B149" w14:textId="2BA09B30" w:rsidR="00B14D50" w:rsidRDefault="00B0400F" w:rsidP="00DA506C">
      <w:pPr>
        <w:pStyle w:val="2para0"/>
        <w:tabs>
          <w:tab w:val="clear" w:pos="720"/>
          <w:tab w:val="clear" w:pos="1440"/>
        </w:tabs>
        <w:ind w:left="0" w:firstLine="0"/>
      </w:pPr>
      <w:r>
        <w:t xml:space="preserve">To this end I made a proposal into the FSMP correspondence group, see below, to see if we could some understanding from within aviation what we were requiring from the ITU. Based on that information hopefully we could identify what the ITU does not already provide and hence identify what Resolution </w:t>
      </w:r>
      <w:r w:rsidRPr="00B0400F">
        <w:rPr>
          <w:b/>
          <w:bCs/>
        </w:rPr>
        <w:t>155</w:t>
      </w:r>
      <w:r>
        <w:t xml:space="preserve"> needs to cover</w:t>
      </w:r>
      <w:r w:rsidR="007A7D53">
        <w:t>.</w:t>
      </w:r>
    </w:p>
    <w:p w14:paraId="6E542EAC" w14:textId="77777777" w:rsidR="00A96311" w:rsidRDefault="00A96311" w:rsidP="00B0400F">
      <w:pPr>
        <w:pStyle w:val="2para0"/>
        <w:numPr>
          <w:ilvl w:val="1"/>
          <w:numId w:val="32"/>
        </w:numPr>
        <w:tabs>
          <w:tab w:val="clear" w:pos="720"/>
          <w:tab w:val="clear" w:pos="1440"/>
          <w:tab w:val="num" w:pos="1418"/>
        </w:tabs>
        <w:spacing w:after="120"/>
        <w:ind w:left="1134" w:hanging="425"/>
      </w:pPr>
      <w:r>
        <w:t>Clear identification that the various elements (Earth station on the UA &amp; Ground and the FSS Space Station as well as the various links) of the UAS CNPC link have primary regulatory status</w:t>
      </w:r>
    </w:p>
    <w:p w14:paraId="2E8F701A" w14:textId="77777777" w:rsidR="00A96311" w:rsidRDefault="00A96311" w:rsidP="00B0400F">
      <w:pPr>
        <w:pStyle w:val="2para0"/>
        <w:numPr>
          <w:ilvl w:val="1"/>
          <w:numId w:val="32"/>
        </w:numPr>
        <w:tabs>
          <w:tab w:val="clear" w:pos="720"/>
          <w:tab w:val="clear" w:pos="1440"/>
          <w:tab w:val="num" w:pos="1418"/>
        </w:tabs>
        <w:spacing w:after="120"/>
        <w:ind w:left="1134" w:hanging="425"/>
      </w:pPr>
      <w:r>
        <w:t>Which frequency bands can be used and for what purpose (uplink/downlink)</w:t>
      </w:r>
    </w:p>
    <w:p w14:paraId="4FCC5369" w14:textId="77777777" w:rsidR="00A96311" w:rsidRDefault="00A96311" w:rsidP="00B0400F">
      <w:pPr>
        <w:pStyle w:val="2para0"/>
        <w:numPr>
          <w:ilvl w:val="1"/>
          <w:numId w:val="32"/>
        </w:numPr>
        <w:tabs>
          <w:tab w:val="clear" w:pos="720"/>
          <w:tab w:val="clear" w:pos="1440"/>
          <w:tab w:val="num" w:pos="1418"/>
        </w:tabs>
        <w:spacing w:after="60"/>
        <w:ind w:left="1134" w:hanging="425"/>
      </w:pPr>
      <w:r>
        <w:t xml:space="preserve">The incumbent services that need protection </w:t>
      </w:r>
    </w:p>
    <w:p w14:paraId="6CA8C54C" w14:textId="77777777" w:rsidR="00A96311" w:rsidRDefault="00A96311" w:rsidP="00B0400F">
      <w:pPr>
        <w:pStyle w:val="2para0"/>
        <w:numPr>
          <w:ilvl w:val="2"/>
          <w:numId w:val="35"/>
        </w:numPr>
        <w:tabs>
          <w:tab w:val="clear" w:pos="1440"/>
        </w:tabs>
        <w:spacing w:after="60"/>
        <w:ind w:hanging="306"/>
      </w:pPr>
      <w:r>
        <w:t>Type of service</w:t>
      </w:r>
    </w:p>
    <w:p w14:paraId="21A5F2DE" w14:textId="77777777" w:rsidR="00A96311" w:rsidRDefault="00A96311" w:rsidP="00B0400F">
      <w:pPr>
        <w:pStyle w:val="2para0"/>
        <w:numPr>
          <w:ilvl w:val="2"/>
          <w:numId w:val="35"/>
        </w:numPr>
        <w:tabs>
          <w:tab w:val="clear" w:pos="1440"/>
        </w:tabs>
        <w:spacing w:after="60"/>
        <w:ind w:hanging="306"/>
      </w:pPr>
      <w:r>
        <w:t>which frequency band(s)</w:t>
      </w:r>
    </w:p>
    <w:p w14:paraId="7662E4AB" w14:textId="77777777" w:rsidR="00A96311" w:rsidRDefault="00A96311" w:rsidP="00B0400F">
      <w:pPr>
        <w:pStyle w:val="2para0"/>
        <w:numPr>
          <w:ilvl w:val="2"/>
          <w:numId w:val="35"/>
        </w:numPr>
        <w:tabs>
          <w:tab w:val="clear" w:pos="1440"/>
        </w:tabs>
        <w:spacing w:after="120"/>
        <w:ind w:hanging="306"/>
      </w:pPr>
      <w:r>
        <w:t xml:space="preserve">protection level (e.g. maximum </w:t>
      </w:r>
      <w:proofErr w:type="spellStart"/>
      <w:r>
        <w:t>pfd</w:t>
      </w:r>
      <w:proofErr w:type="spellEnd"/>
      <w:r>
        <w:t xml:space="preserve"> at the earth's surface)</w:t>
      </w:r>
    </w:p>
    <w:p w14:paraId="4AEB72E6" w14:textId="77777777" w:rsidR="00A96311" w:rsidRDefault="00A96311" w:rsidP="00B0400F">
      <w:pPr>
        <w:pStyle w:val="2para0"/>
        <w:numPr>
          <w:ilvl w:val="1"/>
          <w:numId w:val="32"/>
        </w:numPr>
        <w:tabs>
          <w:tab w:val="clear" w:pos="720"/>
          <w:tab w:val="clear" w:pos="1440"/>
          <w:tab w:val="num" w:pos="1418"/>
        </w:tabs>
        <w:spacing w:after="120"/>
        <w:ind w:left="1134" w:hanging="425"/>
      </w:pPr>
      <w:r>
        <w:t>The incumbent services from which protection cannot be claimed</w:t>
      </w:r>
    </w:p>
    <w:p w14:paraId="45A3C848" w14:textId="77777777" w:rsidR="00A96311" w:rsidRDefault="00A96311" w:rsidP="00B0400F">
      <w:pPr>
        <w:pStyle w:val="2para0"/>
        <w:numPr>
          <w:ilvl w:val="1"/>
          <w:numId w:val="36"/>
        </w:numPr>
        <w:tabs>
          <w:tab w:val="clear" w:pos="720"/>
        </w:tabs>
        <w:spacing w:after="120"/>
        <w:ind w:left="1418" w:hanging="284"/>
      </w:pPr>
      <w:r>
        <w:t>Type of service</w:t>
      </w:r>
    </w:p>
    <w:p w14:paraId="37474D1F" w14:textId="77777777" w:rsidR="00A96311" w:rsidRDefault="00A96311" w:rsidP="00B0400F">
      <w:pPr>
        <w:pStyle w:val="2para0"/>
        <w:numPr>
          <w:ilvl w:val="1"/>
          <w:numId w:val="36"/>
        </w:numPr>
        <w:tabs>
          <w:tab w:val="clear" w:pos="720"/>
        </w:tabs>
        <w:spacing w:after="120"/>
        <w:ind w:left="1418" w:hanging="284"/>
      </w:pPr>
      <w:r>
        <w:t>which frequency band(s)</w:t>
      </w:r>
    </w:p>
    <w:p w14:paraId="4566655E" w14:textId="77777777" w:rsidR="00A96311" w:rsidRDefault="00A96311" w:rsidP="00B0400F">
      <w:pPr>
        <w:pStyle w:val="2para0"/>
        <w:numPr>
          <w:ilvl w:val="1"/>
          <w:numId w:val="36"/>
        </w:numPr>
        <w:tabs>
          <w:tab w:val="clear" w:pos="720"/>
        </w:tabs>
        <w:spacing w:after="120"/>
        <w:ind w:left="1418" w:hanging="284"/>
      </w:pPr>
      <w:r>
        <w:t>Maximum level of interference that needs to be tolerated</w:t>
      </w:r>
    </w:p>
    <w:p w14:paraId="044BAF74" w14:textId="0D2502C6" w:rsidR="00A96311" w:rsidRDefault="00A96311" w:rsidP="00B0400F">
      <w:pPr>
        <w:pStyle w:val="2para0"/>
        <w:numPr>
          <w:ilvl w:val="1"/>
          <w:numId w:val="32"/>
        </w:numPr>
        <w:tabs>
          <w:tab w:val="clear" w:pos="720"/>
          <w:tab w:val="clear" w:pos="1440"/>
          <w:tab w:val="num" w:pos="1418"/>
        </w:tabs>
        <w:spacing w:after="120"/>
        <w:ind w:left="1134" w:hanging="425"/>
      </w:pPr>
      <w:r>
        <w:t>A method for identifying frequency assignments that have been recorded in the MIFR with a favourable finding</w:t>
      </w:r>
    </w:p>
    <w:p w14:paraId="6696A29F" w14:textId="09E55A04" w:rsidR="00A96311" w:rsidRDefault="00A96311" w:rsidP="00B0400F">
      <w:pPr>
        <w:pStyle w:val="2para0"/>
        <w:numPr>
          <w:ilvl w:val="1"/>
          <w:numId w:val="32"/>
        </w:numPr>
        <w:tabs>
          <w:tab w:val="clear" w:pos="720"/>
          <w:tab w:val="clear" w:pos="1440"/>
          <w:tab w:val="num" w:pos="1418"/>
        </w:tabs>
        <w:spacing w:after="120"/>
        <w:ind w:left="1134" w:hanging="425"/>
      </w:pPr>
      <w:r>
        <w:t>A method for co-ordinating and recording those frequency assignments that are compliant with the previous bullet that are providing UAS CNPC</w:t>
      </w:r>
    </w:p>
    <w:p w14:paraId="3BE9916B" w14:textId="77777777" w:rsidR="00A96311" w:rsidRDefault="00A96311" w:rsidP="00B0400F">
      <w:pPr>
        <w:pStyle w:val="2para0"/>
        <w:numPr>
          <w:ilvl w:val="1"/>
          <w:numId w:val="32"/>
        </w:numPr>
        <w:tabs>
          <w:tab w:val="clear" w:pos="720"/>
          <w:tab w:val="clear" w:pos="1440"/>
          <w:tab w:val="num" w:pos="1418"/>
        </w:tabs>
        <w:spacing w:after="120"/>
        <w:ind w:left="1134" w:hanging="425"/>
      </w:pPr>
      <w:r>
        <w:t>The area within which the assignment has been co-ordinated</w:t>
      </w:r>
    </w:p>
    <w:p w14:paraId="4116C30A" w14:textId="0A7C7FAE" w:rsidR="00522B83" w:rsidRDefault="00A96311" w:rsidP="00B0400F">
      <w:pPr>
        <w:pStyle w:val="2para0"/>
        <w:numPr>
          <w:ilvl w:val="1"/>
          <w:numId w:val="32"/>
        </w:numPr>
        <w:tabs>
          <w:tab w:val="clear" w:pos="720"/>
          <w:tab w:val="clear" w:pos="1440"/>
          <w:tab w:val="num" w:pos="1418"/>
        </w:tabs>
        <w:ind w:left="1134" w:hanging="425"/>
      </w:pPr>
      <w:r>
        <w:lastRenderedPageBreak/>
        <w:t>Clear identification as to why the Earth station on board the UA is not an ESIM</w:t>
      </w:r>
    </w:p>
    <w:p w14:paraId="28E8861D" w14:textId="2B215EDD" w:rsidR="00A96311" w:rsidRDefault="00126E68" w:rsidP="00DA506C">
      <w:pPr>
        <w:pStyle w:val="2para0"/>
        <w:tabs>
          <w:tab w:val="clear" w:pos="720"/>
          <w:tab w:val="clear" w:pos="1440"/>
        </w:tabs>
        <w:ind w:left="0" w:firstLine="0"/>
      </w:pPr>
      <w:r>
        <w:t>Various replies were received that generally seemed to support the approach including one that provided some answers to the various points (see the annex to this document). I would note that time for consideration of both the original proposal and the response have been limited and therefore I would not necessarily consider them agreed.</w:t>
      </w:r>
    </w:p>
    <w:p w14:paraId="3E02C12A" w14:textId="5EF7CAFE" w:rsidR="00126E68" w:rsidRDefault="00126E68" w:rsidP="00DA506C">
      <w:pPr>
        <w:pStyle w:val="2para0"/>
        <w:tabs>
          <w:tab w:val="clear" w:pos="720"/>
          <w:tab w:val="clear" w:pos="1440"/>
        </w:tabs>
        <w:ind w:left="0" w:firstLine="0"/>
      </w:pPr>
      <w:r>
        <w:t>The question remains as to whether the FSMP believe that this approach is worth pursuing as a guide within ICAO and if so whether it is worth developing into a contribution to the next Working Party 5B</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58D86922" w:rsidR="00DA506C" w:rsidRDefault="00126E68" w:rsidP="00DA506C">
      <w:pPr>
        <w:pStyle w:val="2para0"/>
        <w:numPr>
          <w:ilvl w:val="1"/>
          <w:numId w:val="31"/>
        </w:numPr>
        <w:tabs>
          <w:tab w:val="clear" w:pos="720"/>
          <w:tab w:val="clear" w:pos="1440"/>
        </w:tabs>
        <w:spacing w:after="120"/>
        <w:ind w:left="1276" w:hanging="567"/>
      </w:pPr>
      <w:r>
        <w:t>To discuss whether the definition of what ICAO are seeking from ITU is useful in the progression of agenda item from an aeronautical perspective and if so comment and further develop the proposal.</w:t>
      </w:r>
    </w:p>
    <w:p w14:paraId="4F40816C" w14:textId="049E5D61" w:rsidR="00DA506C" w:rsidRDefault="00126E68" w:rsidP="00DA506C">
      <w:pPr>
        <w:pStyle w:val="2para0"/>
        <w:numPr>
          <w:ilvl w:val="1"/>
          <w:numId w:val="31"/>
        </w:numPr>
        <w:tabs>
          <w:tab w:val="clear" w:pos="720"/>
          <w:tab w:val="clear" w:pos="1440"/>
        </w:tabs>
        <w:ind w:left="1276" w:hanging="567"/>
      </w:pPr>
      <w:r>
        <w:t>If the proposal is deemed to be useful from an ICAO perspective, then consider whether it is worth developing the information into a paper or submission to the next meeting of ITU Working Party 5B.</w:t>
      </w:r>
    </w:p>
    <w:p w14:paraId="4A71094F" w14:textId="6D7F08F1" w:rsidR="00126E68" w:rsidRDefault="00126E68">
      <w:pPr>
        <w:autoSpaceDE/>
        <w:autoSpaceDN/>
        <w:adjustRightInd/>
        <w:jc w:val="left"/>
        <w:rPr>
          <w:szCs w:val="20"/>
        </w:rPr>
      </w:pPr>
      <w:r>
        <w:br w:type="page"/>
      </w:r>
    </w:p>
    <w:p w14:paraId="3D86FF4F" w14:textId="1B621DB8" w:rsidR="00126E68" w:rsidRPr="00126E68" w:rsidRDefault="00126E68" w:rsidP="00126E68">
      <w:pPr>
        <w:pStyle w:val="2para0"/>
        <w:numPr>
          <w:ilvl w:val="0"/>
          <w:numId w:val="0"/>
        </w:numPr>
        <w:tabs>
          <w:tab w:val="clear" w:pos="1440"/>
        </w:tabs>
        <w:ind w:left="720" w:hanging="720"/>
        <w:jc w:val="center"/>
        <w:rPr>
          <w:b/>
          <w:bCs/>
        </w:rPr>
      </w:pPr>
      <w:r w:rsidRPr="00126E68">
        <w:rPr>
          <w:b/>
          <w:bCs/>
        </w:rPr>
        <w:lastRenderedPageBreak/>
        <w:t>ANNEX</w:t>
      </w:r>
    </w:p>
    <w:p w14:paraId="7AD6A629" w14:textId="77777777" w:rsidR="00126E68" w:rsidRDefault="00126E68" w:rsidP="00126E68">
      <w:pPr>
        <w:jc w:val="center"/>
        <w:rPr>
          <w:color w:val="000000"/>
          <w:sz w:val="24"/>
        </w:rPr>
      </w:pPr>
      <w:r>
        <w:rPr>
          <w:b/>
          <w:bCs/>
          <w:color w:val="000000"/>
          <w:sz w:val="24"/>
        </w:rPr>
        <w:t>PROPOSED ICAO REQUIREMENTS FROM ITU</w:t>
      </w:r>
    </w:p>
    <w:p w14:paraId="17B17D5D"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t>Clear identification that the various elements (Earth station on the UA &amp; Ground and the FSS Space Station as well as the various links) of the UAS CNPC link have primary regulatory status</w:t>
      </w:r>
    </w:p>
    <w:p w14:paraId="0F23260A" w14:textId="77777777" w:rsidR="00126E68" w:rsidRDefault="00126E68" w:rsidP="00126E68">
      <w:pPr>
        <w:shd w:val="clear" w:color="auto" w:fill="FFFFFF"/>
        <w:spacing w:before="100" w:beforeAutospacing="1" w:after="100" w:afterAutospacing="1"/>
        <w:rPr>
          <w:color w:val="00B050"/>
          <w:sz w:val="24"/>
        </w:rPr>
      </w:pPr>
      <w:r>
        <w:rPr>
          <w:color w:val="00B050"/>
          <w:sz w:val="24"/>
        </w:rPr>
        <w:t>Modifications to Resolution 155 are required to make it consistent with this ICAO position.</w:t>
      </w:r>
    </w:p>
    <w:p w14:paraId="52770B86"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t>Which frequency bands can be used and for what purpose (uplink/downlink)</w:t>
      </w:r>
    </w:p>
    <w:p w14:paraId="3C01EEDE"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 xml:space="preserve">Resolution 155, and the Appendix 4 parameters in the filing, already make this clear. It should be noted that these bands are already identified in Annex 10, Volume V SARPs. Needed for ICAO SARPs and supports safety case </w:t>
      </w:r>
      <w:bookmarkStart w:id="13" w:name="_Hlk83032946"/>
      <w:r>
        <w:rPr>
          <w:color w:val="00B050"/>
          <w:sz w:val="24"/>
        </w:rPr>
        <w:t>(bullet 4) from ICAO position.</w:t>
      </w:r>
    </w:p>
    <w:bookmarkEnd w:id="13"/>
    <w:p w14:paraId="313596A9"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t>The incumbent services that need protection </w:t>
      </w:r>
    </w:p>
    <w:p w14:paraId="6FE1AD54"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Type of service</w:t>
      </w:r>
    </w:p>
    <w:p w14:paraId="3FC36AD9"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which frequency band(s)</w:t>
      </w:r>
    </w:p>
    <w:p w14:paraId="46E6E012"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 xml:space="preserve">protection level (e.g. maximum </w:t>
      </w:r>
      <w:proofErr w:type="spellStart"/>
      <w:r>
        <w:rPr>
          <w:color w:val="000000"/>
          <w:sz w:val="24"/>
        </w:rPr>
        <w:t>pfd</w:t>
      </w:r>
      <w:proofErr w:type="spellEnd"/>
      <w:r>
        <w:rPr>
          <w:color w:val="000000"/>
          <w:sz w:val="24"/>
        </w:rPr>
        <w:t xml:space="preserve"> at the earth's surface)</w:t>
      </w:r>
    </w:p>
    <w:p w14:paraId="222EF931"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Modifications to Resolution 155 are required to clearly list the services (ITU-R cannot provide information on individual assignments) that require protection and the levels of protection they require. Needed for ICAO SARPs and supports safety case (bullet 4) from ICAO position.</w:t>
      </w:r>
    </w:p>
    <w:p w14:paraId="7F1AA0CB"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t>The incumbent services from which protection cannot be claimed</w:t>
      </w:r>
    </w:p>
    <w:p w14:paraId="3B977D57"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Type of service</w:t>
      </w:r>
    </w:p>
    <w:p w14:paraId="3DB0342B"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which frequency band(s)</w:t>
      </w:r>
    </w:p>
    <w:p w14:paraId="2BCE2CFD" w14:textId="77777777" w:rsidR="00126E68" w:rsidRDefault="00126E68" w:rsidP="00126E68">
      <w:pPr>
        <w:numPr>
          <w:ilvl w:val="1"/>
          <w:numId w:val="39"/>
        </w:numPr>
        <w:shd w:val="clear" w:color="auto" w:fill="FFFFFF"/>
        <w:autoSpaceDE/>
        <w:autoSpaceDN/>
        <w:adjustRightInd/>
        <w:spacing w:before="100" w:beforeAutospacing="1" w:after="100" w:afterAutospacing="1"/>
        <w:jc w:val="left"/>
        <w:rPr>
          <w:color w:val="000000"/>
          <w:sz w:val="24"/>
        </w:rPr>
      </w:pPr>
      <w:r>
        <w:rPr>
          <w:color w:val="000000"/>
          <w:sz w:val="24"/>
        </w:rPr>
        <w:t>Maximum level of interference that needs to be tolerated</w:t>
      </w:r>
    </w:p>
    <w:p w14:paraId="1FA0B7CF"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Modifications of Resolution 155 should clearly list the services (ITU-R cannot provide information on individual assignments) whose interference must be tolerated and the typical (maximum is not available in the ITU-R) levels of that interference. Since coordination does not occur on individual assignments ICAO (RPASP) is developing mitigations in the SARPs to ensure safety is maintained if interference occurs. ICAO SARPs will also have to address reduced regularity of flight if interference occurs multiple times in the same location. Needed for ICAO SARPs and supports safety case (bullet 4) from ICAO position.</w:t>
      </w:r>
    </w:p>
    <w:p w14:paraId="73B84821" w14:textId="77777777" w:rsidR="00126E68" w:rsidRDefault="00126E68" w:rsidP="00126E68">
      <w:pPr>
        <w:shd w:val="clear" w:color="auto" w:fill="FFFFFF"/>
        <w:spacing w:before="100" w:beforeAutospacing="1" w:after="100" w:afterAutospacing="1"/>
        <w:ind w:left="360"/>
        <w:rPr>
          <w:color w:val="000000"/>
          <w:sz w:val="24"/>
        </w:rPr>
      </w:pPr>
      <w:r>
        <w:rPr>
          <w:color w:val="000000"/>
          <w:sz w:val="24"/>
        </w:rPr>
        <w:t xml:space="preserve">A method for identifying satellite networks that have been recorded in the MIFR with a </w:t>
      </w:r>
      <w:proofErr w:type="spellStart"/>
      <w:r>
        <w:rPr>
          <w:color w:val="000000"/>
          <w:sz w:val="24"/>
        </w:rPr>
        <w:t>favorable</w:t>
      </w:r>
      <w:proofErr w:type="spellEnd"/>
      <w:r>
        <w:rPr>
          <w:color w:val="000000"/>
          <w:sz w:val="24"/>
        </w:rPr>
        <w:t xml:space="preserve"> finding </w:t>
      </w:r>
    </w:p>
    <w:p w14:paraId="7FB40236"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 xml:space="preserve">Using a similar approach to today’s practice of equipment manufacturers certifying that their equipment meets applicable standards for service in traditional aviation safety spectrum makes this method unnecessary. The requirement to ensure that UAS only use satellite networks that have been recorded in the MIFR with a </w:t>
      </w:r>
      <w:proofErr w:type="spellStart"/>
      <w:r>
        <w:rPr>
          <w:color w:val="00B050"/>
          <w:sz w:val="24"/>
        </w:rPr>
        <w:t>favorable</w:t>
      </w:r>
      <w:proofErr w:type="spellEnd"/>
      <w:r>
        <w:rPr>
          <w:color w:val="00B050"/>
          <w:sz w:val="24"/>
        </w:rPr>
        <w:t xml:space="preserve"> finding (see Resolution 155 Resolves 13.4) will be called out in the SARPs that will mandate the content of the Service Level Agreement that the satellite network operator has with the UAS operator. </w:t>
      </w:r>
    </w:p>
    <w:p w14:paraId="37C5C4EF"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lastRenderedPageBreak/>
        <w:t xml:space="preserve"> A method for coordinating and recording those satellite networks that are compliant with the previous bullet that are providing UAS CNPC </w:t>
      </w:r>
    </w:p>
    <w:p w14:paraId="3920CD48" w14:textId="77777777" w:rsidR="00126E68" w:rsidRDefault="00126E68" w:rsidP="00126E68">
      <w:pPr>
        <w:ind w:left="360"/>
        <w:rPr>
          <w:color w:val="00B050"/>
          <w:sz w:val="24"/>
        </w:rPr>
      </w:pPr>
      <w:r>
        <w:rPr>
          <w:color w:val="00B050"/>
          <w:sz w:val="24"/>
        </w:rPr>
        <w:t>This is unnecessary as Resolution 155 (which may need modification for clarity) identifies (Instructs BR 3) that a station class UG identifies satellite networks that comply with Resolution 155. And as above ICAO SARPs will mandate that only satellite networks that have station class UG can be used for UAS.</w:t>
      </w:r>
    </w:p>
    <w:p w14:paraId="3A700F6F" w14:textId="77777777" w:rsidR="00126E68" w:rsidRDefault="00126E68" w:rsidP="00126E68">
      <w:pPr>
        <w:numPr>
          <w:ilvl w:val="0"/>
          <w:numId w:val="40"/>
        </w:numPr>
        <w:shd w:val="clear" w:color="auto" w:fill="FFFFFF"/>
        <w:autoSpaceDE/>
        <w:autoSpaceDN/>
        <w:adjustRightInd/>
        <w:spacing w:before="100" w:beforeAutospacing="1" w:after="100" w:afterAutospacing="1"/>
        <w:jc w:val="left"/>
        <w:rPr>
          <w:color w:val="000000"/>
          <w:sz w:val="24"/>
        </w:rPr>
      </w:pPr>
      <w:r>
        <w:rPr>
          <w:color w:val="000000"/>
          <w:sz w:val="24"/>
        </w:rPr>
        <w:t>The area within which the assignment has been coordinated</w:t>
      </w:r>
    </w:p>
    <w:p w14:paraId="780CEBB7"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 xml:space="preserve">It is not necessary to ask ITU for this information as it is </w:t>
      </w:r>
      <w:proofErr w:type="spellStart"/>
      <w:r>
        <w:rPr>
          <w:color w:val="00B050"/>
          <w:sz w:val="24"/>
        </w:rPr>
        <w:t>know</w:t>
      </w:r>
      <w:proofErr w:type="spellEnd"/>
      <w:r>
        <w:rPr>
          <w:color w:val="00B050"/>
          <w:sz w:val="24"/>
        </w:rPr>
        <w:t xml:space="preserve"> by the satellite network operator and can therefore be included in the ICAO mandated Service Level Agreement between the satellite network operator and the UAS operator.</w:t>
      </w:r>
    </w:p>
    <w:p w14:paraId="22BBB5E1" w14:textId="77777777" w:rsidR="00126E68" w:rsidRDefault="00126E68" w:rsidP="00126E68">
      <w:pPr>
        <w:numPr>
          <w:ilvl w:val="0"/>
          <w:numId w:val="39"/>
        </w:numPr>
        <w:shd w:val="clear" w:color="auto" w:fill="FFFFFF"/>
        <w:autoSpaceDE/>
        <w:autoSpaceDN/>
        <w:adjustRightInd/>
        <w:spacing w:before="100" w:beforeAutospacing="1" w:after="100" w:afterAutospacing="1"/>
        <w:jc w:val="left"/>
        <w:rPr>
          <w:color w:val="000000"/>
          <w:sz w:val="24"/>
        </w:rPr>
      </w:pPr>
      <w:r>
        <w:rPr>
          <w:color w:val="000000"/>
          <w:sz w:val="24"/>
        </w:rPr>
        <w:t>Clear identification as to why the Earth station on board the UA is not an ESIM</w:t>
      </w:r>
    </w:p>
    <w:p w14:paraId="163D4FE2" w14:textId="77777777" w:rsidR="00126E68" w:rsidRDefault="00126E68" w:rsidP="00126E68">
      <w:pPr>
        <w:shd w:val="clear" w:color="auto" w:fill="FFFFFF"/>
        <w:spacing w:before="100" w:beforeAutospacing="1" w:after="100" w:afterAutospacing="1"/>
        <w:ind w:left="360"/>
        <w:rPr>
          <w:color w:val="00B050"/>
          <w:sz w:val="24"/>
        </w:rPr>
      </w:pPr>
      <w:r>
        <w:rPr>
          <w:color w:val="00B050"/>
          <w:sz w:val="24"/>
        </w:rPr>
        <w:t>Modifications of Resolution 155 should make this clear as ESIM must not be used for UAS CNPC.</w:t>
      </w:r>
    </w:p>
    <w:p w14:paraId="492E4E18" w14:textId="77777777" w:rsidR="00126E68" w:rsidRDefault="00126E68" w:rsidP="00126E68">
      <w:pPr>
        <w:shd w:val="clear" w:color="auto" w:fill="FFFFFF"/>
        <w:spacing w:before="100" w:beforeAutospacing="1" w:after="100" w:afterAutospacing="1"/>
        <w:jc w:val="center"/>
        <w:rPr>
          <w:b/>
          <w:bCs/>
          <w:color w:val="000000"/>
          <w:sz w:val="24"/>
        </w:rPr>
      </w:pPr>
      <w:r>
        <w:rPr>
          <w:b/>
          <w:bCs/>
          <w:color w:val="000000"/>
          <w:sz w:val="24"/>
        </w:rPr>
        <w:t>ICAO POSITION</w:t>
      </w:r>
    </w:p>
    <w:p w14:paraId="1076C304" w14:textId="797656B3" w:rsidR="00126E68" w:rsidRDefault="00126E68" w:rsidP="00126E68">
      <w:pPr>
        <w:shd w:val="clear" w:color="auto" w:fill="FFFFFF"/>
        <w:spacing w:before="100" w:beforeAutospacing="1" w:after="100" w:afterAutospacing="1"/>
        <w:jc w:val="center"/>
        <w:rPr>
          <w:b/>
          <w:bCs/>
          <w:color w:val="000000"/>
          <w:sz w:val="24"/>
        </w:rPr>
      </w:pPr>
      <w:r>
        <w:rPr>
          <w:b/>
          <w:noProof/>
          <w:color w:val="000000"/>
          <w:sz w:val="24"/>
          <w:lang w:val="en-CA" w:eastAsia="zh-CN"/>
        </w:rPr>
        <w:drawing>
          <wp:inline distT="0" distB="0" distL="0" distR="0" wp14:anchorId="29C4B814" wp14:editId="0F16D1AB">
            <wp:extent cx="3068955" cy="3617595"/>
            <wp:effectExtent l="0" t="0" r="0" b="190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8955" cy="3617595"/>
                    </a:xfrm>
                    <a:prstGeom prst="rect">
                      <a:avLst/>
                    </a:prstGeom>
                    <a:noFill/>
                    <a:ln>
                      <a:noFill/>
                    </a:ln>
                  </pic:spPr>
                </pic:pic>
              </a:graphicData>
            </a:graphic>
          </wp:inline>
        </w:drawing>
      </w:r>
    </w:p>
    <w:p w14:paraId="37243131" w14:textId="77777777" w:rsidR="00126E68" w:rsidRDefault="00126E68" w:rsidP="00126E68">
      <w:pPr>
        <w:shd w:val="clear" w:color="auto" w:fill="FFFFFF"/>
        <w:spacing w:before="100" w:beforeAutospacing="1" w:after="100" w:afterAutospacing="1"/>
        <w:rPr>
          <w:b/>
          <w:bCs/>
          <w:color w:val="000000"/>
          <w:sz w:val="24"/>
        </w:rPr>
      </w:pPr>
    </w:p>
    <w:p w14:paraId="1E1ADE02" w14:textId="77777777" w:rsidR="00126E68" w:rsidRPr="00BB5B17" w:rsidRDefault="00126E68" w:rsidP="00126E68">
      <w:pPr>
        <w:pStyle w:val="2para0"/>
        <w:numPr>
          <w:ilvl w:val="0"/>
          <w:numId w:val="0"/>
        </w:numPr>
        <w:tabs>
          <w:tab w:val="clear" w:pos="1440"/>
        </w:tabs>
        <w:ind w:left="720" w:hanging="720"/>
      </w:pPr>
    </w:p>
    <w:p w14:paraId="566A1ED9" w14:textId="5A3A48B9" w:rsidR="00701112" w:rsidRDefault="003F64F8" w:rsidP="00B95151">
      <w:pPr>
        <w:spacing w:before="600"/>
        <w:jc w:val="center"/>
      </w:pPr>
      <w:r w:rsidRPr="00BB5B17">
        <w:lastRenderedPageBreak/>
        <w:t>— END —</w:t>
      </w:r>
    </w:p>
    <w:sectPr w:rsidR="00701112" w:rsidSect="00E8314F">
      <w:headerReference w:type="even" r:id="rId13"/>
      <w:headerReference w:type="default" r:id="rId14"/>
      <w:footerReference w:type="even" r:id="rId15"/>
      <w:footerReference w:type="default" r:id="rId16"/>
      <w:headerReference w:type="first" r:id="rId17"/>
      <w:footerReference w:type="first" r:id="rId18"/>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42CF1" w14:textId="77777777" w:rsidR="008243A5" w:rsidRDefault="008243A5">
      <w:r>
        <w:separator/>
      </w:r>
    </w:p>
  </w:endnote>
  <w:endnote w:type="continuationSeparator" w:id="0">
    <w:p w14:paraId="1CF18C65" w14:textId="77777777" w:rsidR="008243A5" w:rsidRDefault="008243A5">
      <w:r>
        <w:continuationSeparator/>
      </w:r>
    </w:p>
  </w:endnote>
  <w:endnote w:type="continuationNotice" w:id="1">
    <w:p w14:paraId="1C8E9867" w14:textId="77777777" w:rsidR="008243A5" w:rsidRDefault="00824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807CA" w14:textId="77777777" w:rsidR="008243A5" w:rsidRDefault="008243A5">
      <w:r>
        <w:separator/>
      </w:r>
    </w:p>
  </w:footnote>
  <w:footnote w:type="continuationSeparator" w:id="0">
    <w:p w14:paraId="307F7ED3" w14:textId="77777777" w:rsidR="008243A5" w:rsidRDefault="008243A5">
      <w:r>
        <w:continuationSeparator/>
      </w:r>
    </w:p>
  </w:footnote>
  <w:footnote w:type="continuationNotice" w:id="1">
    <w:p w14:paraId="48EF8830" w14:textId="77777777" w:rsidR="008243A5" w:rsidRDefault="008243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80164"/>
    <w:rsid w:val="00081579"/>
    <w:rsid w:val="00082B3C"/>
    <w:rsid w:val="00083E14"/>
    <w:rsid w:val="000864AB"/>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619"/>
    <w:rsid w:val="00161165"/>
    <w:rsid w:val="00163ECD"/>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913A1"/>
    <w:rsid w:val="00294909"/>
    <w:rsid w:val="00295827"/>
    <w:rsid w:val="002A2031"/>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0A9C"/>
    <w:rsid w:val="003237F3"/>
    <w:rsid w:val="003247F1"/>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E18AD"/>
    <w:rsid w:val="004E1965"/>
    <w:rsid w:val="004E2CA2"/>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60413"/>
    <w:rsid w:val="005623E0"/>
    <w:rsid w:val="0056386E"/>
    <w:rsid w:val="00566053"/>
    <w:rsid w:val="005721F1"/>
    <w:rsid w:val="00580FD1"/>
    <w:rsid w:val="005815CD"/>
    <w:rsid w:val="00581F19"/>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4C54"/>
    <w:rsid w:val="006117B7"/>
    <w:rsid w:val="0061266F"/>
    <w:rsid w:val="0061527A"/>
    <w:rsid w:val="006160E3"/>
    <w:rsid w:val="0062171A"/>
    <w:rsid w:val="00621B7B"/>
    <w:rsid w:val="00622AE8"/>
    <w:rsid w:val="00625B36"/>
    <w:rsid w:val="0062699A"/>
    <w:rsid w:val="006269CA"/>
    <w:rsid w:val="006274E4"/>
    <w:rsid w:val="00631C6F"/>
    <w:rsid w:val="00635F97"/>
    <w:rsid w:val="006408A2"/>
    <w:rsid w:val="00640AF1"/>
    <w:rsid w:val="00640CEA"/>
    <w:rsid w:val="0064378F"/>
    <w:rsid w:val="00647D1A"/>
    <w:rsid w:val="0065009F"/>
    <w:rsid w:val="00651834"/>
    <w:rsid w:val="0065240A"/>
    <w:rsid w:val="0065635F"/>
    <w:rsid w:val="00656C39"/>
    <w:rsid w:val="006621D4"/>
    <w:rsid w:val="00662BA9"/>
    <w:rsid w:val="00671079"/>
    <w:rsid w:val="00673E01"/>
    <w:rsid w:val="00677A97"/>
    <w:rsid w:val="00681DF8"/>
    <w:rsid w:val="006832E2"/>
    <w:rsid w:val="00683CF7"/>
    <w:rsid w:val="00684FCC"/>
    <w:rsid w:val="00686187"/>
    <w:rsid w:val="0068634F"/>
    <w:rsid w:val="00686F2B"/>
    <w:rsid w:val="006918D1"/>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122A"/>
    <w:rsid w:val="007C1C90"/>
    <w:rsid w:val="007C297B"/>
    <w:rsid w:val="007C6036"/>
    <w:rsid w:val="007D3B90"/>
    <w:rsid w:val="007D61DC"/>
    <w:rsid w:val="007E16D5"/>
    <w:rsid w:val="007E29DE"/>
    <w:rsid w:val="007E565C"/>
    <w:rsid w:val="007F0AB1"/>
    <w:rsid w:val="007F2B65"/>
    <w:rsid w:val="007F3715"/>
    <w:rsid w:val="007F3EA2"/>
    <w:rsid w:val="007F5850"/>
    <w:rsid w:val="00801993"/>
    <w:rsid w:val="008019CD"/>
    <w:rsid w:val="00803E3E"/>
    <w:rsid w:val="00805C05"/>
    <w:rsid w:val="0080786B"/>
    <w:rsid w:val="00810534"/>
    <w:rsid w:val="00811A7A"/>
    <w:rsid w:val="00811C41"/>
    <w:rsid w:val="008169FE"/>
    <w:rsid w:val="00820171"/>
    <w:rsid w:val="00820EB1"/>
    <w:rsid w:val="00821886"/>
    <w:rsid w:val="00821EFA"/>
    <w:rsid w:val="00822B86"/>
    <w:rsid w:val="00823910"/>
    <w:rsid w:val="008243A5"/>
    <w:rsid w:val="00825115"/>
    <w:rsid w:val="008260F5"/>
    <w:rsid w:val="00831F32"/>
    <w:rsid w:val="00832BB2"/>
    <w:rsid w:val="008335BE"/>
    <w:rsid w:val="008346E1"/>
    <w:rsid w:val="00835DFF"/>
    <w:rsid w:val="00841310"/>
    <w:rsid w:val="0084266A"/>
    <w:rsid w:val="0084587F"/>
    <w:rsid w:val="008458A4"/>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7456"/>
    <w:rsid w:val="008D5D6D"/>
    <w:rsid w:val="008D5EF4"/>
    <w:rsid w:val="008E47BA"/>
    <w:rsid w:val="008E7593"/>
    <w:rsid w:val="008F08F6"/>
    <w:rsid w:val="008F27CC"/>
    <w:rsid w:val="008F60DB"/>
    <w:rsid w:val="008F7F71"/>
    <w:rsid w:val="009015F4"/>
    <w:rsid w:val="009027C9"/>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B6C83"/>
    <w:rsid w:val="009C118D"/>
    <w:rsid w:val="009C1BE5"/>
    <w:rsid w:val="009C3587"/>
    <w:rsid w:val="009C37A8"/>
    <w:rsid w:val="009C4422"/>
    <w:rsid w:val="009C4B50"/>
    <w:rsid w:val="009C4D0E"/>
    <w:rsid w:val="009C5914"/>
    <w:rsid w:val="009C7F69"/>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7A1B"/>
    <w:rsid w:val="00AA7B28"/>
    <w:rsid w:val="00AB09D5"/>
    <w:rsid w:val="00AB4028"/>
    <w:rsid w:val="00AB54D6"/>
    <w:rsid w:val="00AB5A20"/>
    <w:rsid w:val="00AC094C"/>
    <w:rsid w:val="00AC32E6"/>
    <w:rsid w:val="00AC3E29"/>
    <w:rsid w:val="00AC4061"/>
    <w:rsid w:val="00AC69E1"/>
    <w:rsid w:val="00AC6FDA"/>
    <w:rsid w:val="00AD22DB"/>
    <w:rsid w:val="00AF0986"/>
    <w:rsid w:val="00AF0E73"/>
    <w:rsid w:val="00AF14EA"/>
    <w:rsid w:val="00AF1E1F"/>
    <w:rsid w:val="00AF2B04"/>
    <w:rsid w:val="00AF65E3"/>
    <w:rsid w:val="00AF70AD"/>
    <w:rsid w:val="00B00875"/>
    <w:rsid w:val="00B0163B"/>
    <w:rsid w:val="00B03965"/>
    <w:rsid w:val="00B0400F"/>
    <w:rsid w:val="00B05E33"/>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15D68"/>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ED2"/>
    <w:rsid w:val="00D14200"/>
    <w:rsid w:val="00D14701"/>
    <w:rsid w:val="00D14912"/>
    <w:rsid w:val="00D21613"/>
    <w:rsid w:val="00D226F7"/>
    <w:rsid w:val="00D22F4A"/>
    <w:rsid w:val="00D25EA5"/>
    <w:rsid w:val="00D26BDA"/>
    <w:rsid w:val="00D33FC8"/>
    <w:rsid w:val="00D36268"/>
    <w:rsid w:val="00D3665D"/>
    <w:rsid w:val="00D43F86"/>
    <w:rsid w:val="00D4442E"/>
    <w:rsid w:val="00D4443C"/>
    <w:rsid w:val="00D45ADC"/>
    <w:rsid w:val="00D45BD7"/>
    <w:rsid w:val="00D462A7"/>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3593"/>
    <w:rsid w:val="00DA359E"/>
    <w:rsid w:val="00DA506C"/>
    <w:rsid w:val="00DA52CB"/>
    <w:rsid w:val="00DA68DD"/>
    <w:rsid w:val="00DC0B24"/>
    <w:rsid w:val="00DC1F9C"/>
    <w:rsid w:val="00DC3B0F"/>
    <w:rsid w:val="00DC3C0A"/>
    <w:rsid w:val="00DC3ED2"/>
    <w:rsid w:val="00DC5179"/>
    <w:rsid w:val="00DC792A"/>
    <w:rsid w:val="00DC7D5D"/>
    <w:rsid w:val="00DD36D0"/>
    <w:rsid w:val="00DD6E75"/>
    <w:rsid w:val="00DE18A1"/>
    <w:rsid w:val="00DF3F20"/>
    <w:rsid w:val="00DF41E7"/>
    <w:rsid w:val="00DF62D7"/>
    <w:rsid w:val="00DF7155"/>
    <w:rsid w:val="00E003E0"/>
    <w:rsid w:val="00E030A9"/>
    <w:rsid w:val="00E04E7A"/>
    <w:rsid w:val="00E0732C"/>
    <w:rsid w:val="00E07BBF"/>
    <w:rsid w:val="00E11074"/>
    <w:rsid w:val="00E12D19"/>
    <w:rsid w:val="00E1566C"/>
    <w:rsid w:val="00E15B65"/>
    <w:rsid w:val="00E20AB0"/>
    <w:rsid w:val="00E20BCF"/>
    <w:rsid w:val="00E22BFE"/>
    <w:rsid w:val="00E357EB"/>
    <w:rsid w:val="00E37BBC"/>
    <w:rsid w:val="00E4058A"/>
    <w:rsid w:val="00E41A78"/>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A2B"/>
    <w:rsid w:val="00EB3286"/>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531"/>
    <w:rsid w:val="00F26CCC"/>
    <w:rsid w:val="00F27A5D"/>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3.xml><?xml version="1.0" encoding="utf-8"?>
<ds:datastoreItem xmlns:ds="http://schemas.openxmlformats.org/officeDocument/2006/customXml" ds:itemID="{F844F149-DC2D-474B-9FA1-B8F3E9006551}"/>
</file>

<file path=customXml/itemProps4.xml><?xml version="1.0" encoding="utf-8"?>
<ds:datastoreItem xmlns:ds="http://schemas.openxmlformats.org/officeDocument/2006/customXml" ds:itemID="{C054AFFB-6037-4850-B9D8-7A77D857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1620</TotalTime>
  <Pages>6</Pages>
  <Words>1376</Words>
  <Characters>7122</Characters>
  <Application>Microsoft Office Word</Application>
  <DocSecurity>0</DocSecurity>
  <Lines>156</Lines>
  <Paragraphs>70</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6</cp:revision>
  <cp:lastPrinted>2014-10-05T20:29:00Z</cp:lastPrinted>
  <dcterms:created xsi:type="dcterms:W3CDTF">2021-10-02T11:36:00Z</dcterms:created>
  <dcterms:modified xsi:type="dcterms:W3CDTF">2021-10-04T10:49:00Z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