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8351" w14:textId="77777777" w:rsidR="00C32F4A" w:rsidRDefault="00C32F4A" w:rsidP="00C32F4A">
      <w:pPr>
        <w:jc w:val="center"/>
        <w:rPr>
          <w:b/>
        </w:rPr>
      </w:pPr>
      <w:r>
        <w:rPr>
          <w:b/>
        </w:rPr>
        <w:t>FREQUENCY SPECTRUM MANAGEMENT PANEL (FSMP)</w:t>
      </w:r>
    </w:p>
    <w:p w14:paraId="13FB5F5E" w14:textId="77777777" w:rsidR="00C32F4A" w:rsidRDefault="00C32F4A" w:rsidP="00C32F4A">
      <w:pPr>
        <w:tabs>
          <w:tab w:val="left" w:pos="6972"/>
        </w:tabs>
        <w:jc w:val="center"/>
        <w:rPr>
          <w:b/>
        </w:rPr>
      </w:pPr>
    </w:p>
    <w:p w14:paraId="2D8661AE" w14:textId="77777777" w:rsidR="00296C3E" w:rsidRDefault="00296C3E" w:rsidP="00296C3E">
      <w:pPr>
        <w:pStyle w:val="Maintitle"/>
      </w:pPr>
      <w:r>
        <w:t>Fifteenth Working Group meeting</w:t>
      </w:r>
    </w:p>
    <w:p w14:paraId="175E2376" w14:textId="77777777" w:rsidR="00296C3E" w:rsidRDefault="00296C3E" w:rsidP="00296C3E"/>
    <w:p w14:paraId="118311C7" w14:textId="77777777" w:rsidR="00296C3E" w:rsidRDefault="00296C3E" w:rsidP="00296C3E">
      <w:pPr>
        <w:jc w:val="center"/>
        <w:rPr>
          <w:b/>
          <w:bCs/>
          <w:szCs w:val="22"/>
        </w:rPr>
      </w:pPr>
      <w:bookmarkStart w:id="0" w:name="agenda_item"/>
      <w:bookmarkEnd w:id="0"/>
      <w:r>
        <w:rPr>
          <w:b/>
          <w:bCs/>
          <w:szCs w:val="22"/>
        </w:rPr>
        <w:t>Montreal (hybrid meeting), 22 Aug – 1 Sep 2022</w:t>
      </w:r>
    </w:p>
    <w:p w14:paraId="6C4DC3B3" w14:textId="77777777" w:rsidR="00770160" w:rsidRDefault="00770160">
      <w:pPr>
        <w:tabs>
          <w:tab w:val="left" w:pos="0"/>
          <w:tab w:val="left" w:pos="1570"/>
          <w:tab w:val="left" w:pos="1857"/>
        </w:tabs>
      </w:pPr>
    </w:p>
    <w:p w14:paraId="7E59A402" w14:textId="77777777" w:rsidR="00770160" w:rsidRDefault="00770160">
      <w:pPr>
        <w:tabs>
          <w:tab w:val="left" w:pos="0"/>
          <w:tab w:val="left" w:pos="1570"/>
          <w:tab w:val="left" w:pos="1857"/>
        </w:tabs>
      </w:pPr>
    </w:p>
    <w:p w14:paraId="57460393" w14:textId="114D5F23" w:rsidR="00DB7A33" w:rsidRPr="000D381F" w:rsidRDefault="00770160" w:rsidP="000D381F">
      <w:pPr>
        <w:kinsoku w:val="0"/>
        <w:overflowPunct w:val="0"/>
        <w:autoSpaceDE w:val="0"/>
        <w:autoSpaceDN w:val="0"/>
        <w:adjustRightInd w:val="0"/>
        <w:spacing w:line="237" w:lineRule="exact"/>
        <w:rPr>
          <w:rFonts w:eastAsia="Calibri"/>
          <w:b/>
          <w:bCs/>
        </w:rPr>
      </w:pPr>
      <w:r w:rsidRPr="000D381F">
        <w:rPr>
          <w:b/>
          <w:bCs/>
          <w:lang w:val="sv-SE"/>
        </w:rPr>
        <w:t>Agenda Item </w:t>
      </w:r>
      <w:r w:rsidR="00F2547A" w:rsidRPr="000D381F">
        <w:rPr>
          <w:b/>
          <w:bCs/>
          <w:lang w:val="sv-SE"/>
        </w:rPr>
        <w:t>3</w:t>
      </w:r>
      <w:r w:rsidRPr="000D381F">
        <w:rPr>
          <w:b/>
          <w:bCs/>
          <w:lang w:val="sv-SE"/>
        </w:rPr>
        <w:t>:</w:t>
      </w:r>
      <w:r w:rsidRPr="000D381F">
        <w:rPr>
          <w:b/>
          <w:bCs/>
          <w:lang w:val="sv-SE"/>
        </w:rPr>
        <w:tab/>
      </w:r>
      <w:r w:rsidR="00DB7A33" w:rsidRPr="000D381F">
        <w:rPr>
          <w:rFonts w:eastAsia="Calibri"/>
          <w:b/>
          <w:bCs/>
        </w:rPr>
        <w:t>Development of (planned) Material for ITU-R Studies on:</w:t>
      </w:r>
    </w:p>
    <w:p w14:paraId="197F1B5E" w14:textId="6A2CFC4F" w:rsidR="00DB7A33" w:rsidRPr="000D381F" w:rsidRDefault="00DB7A33" w:rsidP="000D381F">
      <w:pPr>
        <w:kinsoku w:val="0"/>
        <w:overflowPunct w:val="0"/>
        <w:autoSpaceDE w:val="0"/>
        <w:autoSpaceDN w:val="0"/>
        <w:adjustRightInd w:val="0"/>
        <w:spacing w:line="237" w:lineRule="exact"/>
        <w:ind w:left="3060" w:hanging="900"/>
        <w:rPr>
          <w:rFonts w:eastAsia="Calibri"/>
          <w:b/>
          <w:bCs/>
        </w:rPr>
      </w:pPr>
      <w:r w:rsidRPr="000D381F">
        <w:rPr>
          <w:rFonts w:eastAsia="Calibri"/>
          <w:b/>
          <w:bCs/>
        </w:rPr>
        <w:t>b)</w:t>
      </w:r>
      <w:r w:rsidRPr="000D381F">
        <w:rPr>
          <w:rFonts w:eastAsia="Calibri"/>
          <w:b/>
          <w:bCs/>
        </w:rPr>
        <w:tab/>
        <w:t>WRC-23 AI1.7 VHF AMS(R)S</w:t>
      </w:r>
    </w:p>
    <w:p w14:paraId="4FF5D5D7" w14:textId="3C49A690" w:rsidR="00770160" w:rsidRPr="00DB7A33" w:rsidRDefault="00770160">
      <w:pPr>
        <w:pStyle w:val="Agendaitemtitle"/>
      </w:pPr>
    </w:p>
    <w:p w14:paraId="25196F5A" w14:textId="77777777" w:rsidR="00770160" w:rsidRDefault="00770160">
      <w:pPr>
        <w:pStyle w:val="Agendaitemtitle"/>
        <w:rPr>
          <w:b w:val="0"/>
          <w:lang w:val="sv-SE"/>
        </w:rPr>
      </w:pPr>
    </w:p>
    <w:p w14:paraId="5BD185CB" w14:textId="77777777" w:rsidR="00770160" w:rsidRDefault="00770160">
      <w:pPr>
        <w:tabs>
          <w:tab w:val="left" w:pos="6972"/>
        </w:tabs>
        <w:rPr>
          <w:b/>
          <w:lang w:val="sv-SE"/>
        </w:rPr>
      </w:pPr>
    </w:p>
    <w:p w14:paraId="68A08097" w14:textId="12945E20" w:rsidR="00770160" w:rsidRDefault="00D3251F">
      <w:pPr>
        <w:tabs>
          <w:tab w:val="left" w:pos="6972"/>
        </w:tabs>
      </w:pPr>
      <w:r w:rsidRPr="00D3251F">
        <w:rPr>
          <w:b/>
          <w:snapToGrid w:val="0"/>
        </w:rPr>
        <w:t xml:space="preserve">ICAO frequency coordination process flow and </w:t>
      </w:r>
      <w:r>
        <w:rPr>
          <w:b/>
          <w:snapToGrid w:val="0"/>
        </w:rPr>
        <w:t xml:space="preserve">WRC-23 </w:t>
      </w:r>
      <w:r w:rsidRPr="00D3251F">
        <w:rPr>
          <w:b/>
          <w:snapToGrid w:val="0"/>
        </w:rPr>
        <w:t>Agenda Item 1.7 (WRC-23)</w:t>
      </w:r>
    </w:p>
    <w:p w14:paraId="7072228E" w14:textId="77777777" w:rsidR="00770160" w:rsidRDefault="00770160">
      <w:pPr>
        <w:tabs>
          <w:tab w:val="left" w:pos="6972"/>
        </w:tabs>
      </w:pPr>
    </w:p>
    <w:p w14:paraId="65A48B88" w14:textId="53249F6C" w:rsidR="00770160" w:rsidRDefault="00770160">
      <w:pPr>
        <w:jc w:val="center"/>
      </w:pPr>
      <w:r>
        <w:t>(Presented by</w:t>
      </w:r>
      <w:bookmarkStart w:id="1" w:name="presented_by"/>
      <w:bookmarkEnd w:id="1"/>
      <w:r>
        <w:t xml:space="preserve"> </w:t>
      </w:r>
      <w:r w:rsidR="00D3251F">
        <w:t>Andrew Roy, ASRI</w:t>
      </w:r>
      <w:r>
        <w:t>)</w:t>
      </w:r>
    </w:p>
    <w:p w14:paraId="7489DA9D" w14:textId="3E520794" w:rsidR="00770160" w:rsidRDefault="00770160"/>
    <w:p w14:paraId="6BF9856A" w14:textId="77777777" w:rsidR="009452A0" w:rsidRDefault="009452A0"/>
    <w:p w14:paraId="67949CB0"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3D192E2B" w14:textId="77777777">
        <w:trPr>
          <w:cantSplit/>
          <w:trHeight w:hRule="exact" w:val="480"/>
          <w:jc w:val="center"/>
        </w:trPr>
        <w:tc>
          <w:tcPr>
            <w:tcW w:w="7200" w:type="dxa"/>
            <w:vAlign w:val="center"/>
          </w:tcPr>
          <w:p w14:paraId="4B4BFC41" w14:textId="77777777" w:rsidR="00770160" w:rsidRDefault="00770160">
            <w:pPr>
              <w:jc w:val="center"/>
              <w:rPr>
                <w:sz w:val="24"/>
                <w:lang w:val="en-US"/>
              </w:rPr>
            </w:pPr>
            <w:r>
              <w:rPr>
                <w:b/>
              </w:rPr>
              <w:t>SUMMARY</w:t>
            </w:r>
          </w:p>
        </w:tc>
      </w:tr>
      <w:tr w:rsidR="00770160" w14:paraId="2E9F2D51" w14:textId="77777777">
        <w:trPr>
          <w:cantSplit/>
          <w:jc w:val="center"/>
        </w:trPr>
        <w:tc>
          <w:tcPr>
            <w:tcW w:w="7200" w:type="dxa"/>
          </w:tcPr>
          <w:p w14:paraId="0D0C4C54" w14:textId="77777777" w:rsidR="009452A0" w:rsidRDefault="009452A0">
            <w:pPr>
              <w:rPr>
                <w:lang w:val="en-US"/>
              </w:rPr>
            </w:pPr>
          </w:p>
          <w:p w14:paraId="184D41F8" w14:textId="003504F8" w:rsidR="00770160" w:rsidRDefault="00E53395">
            <w:pPr>
              <w:rPr>
                <w:lang w:val="en-US"/>
              </w:rPr>
            </w:pPr>
            <w:r>
              <w:rPr>
                <w:lang w:val="en-US"/>
              </w:rPr>
              <w:t xml:space="preserve">This paper </w:t>
            </w:r>
            <w:r w:rsidR="001D4BEB">
              <w:rPr>
                <w:lang w:val="en-US"/>
              </w:rPr>
              <w:t xml:space="preserve">proposes a set of question to help </w:t>
            </w:r>
            <w:r w:rsidR="0027308B">
              <w:rPr>
                <w:lang w:val="en-US"/>
              </w:rPr>
              <w:t>guide</w:t>
            </w:r>
            <w:r w:rsidR="001D4BEB">
              <w:rPr>
                <w:lang w:val="en-US"/>
              </w:rPr>
              <w:t xml:space="preserve"> contributions to FSMP on the expected ICAO coordination process for any new</w:t>
            </w:r>
            <w:r w:rsidR="00B17D4B">
              <w:rPr>
                <w:lang w:val="en-US"/>
              </w:rPr>
              <w:t xml:space="preserve"> VHF</w:t>
            </w:r>
            <w:r w:rsidR="001D4BEB">
              <w:rPr>
                <w:lang w:val="en-US"/>
              </w:rPr>
              <w:t xml:space="preserve"> AMS(R)S</w:t>
            </w:r>
            <w:r w:rsidR="00770160">
              <w:rPr>
                <w:lang w:val="en-US"/>
              </w:rPr>
              <w:t xml:space="preserve"> </w:t>
            </w:r>
            <w:r w:rsidR="00B17D4B">
              <w:rPr>
                <w:lang w:val="en-US"/>
              </w:rPr>
              <w:t>services</w:t>
            </w:r>
            <w:r w:rsidR="0027308B">
              <w:rPr>
                <w:lang w:val="en-US"/>
              </w:rPr>
              <w:t xml:space="preserve">.  </w:t>
            </w:r>
            <w:r w:rsidR="00BE0B74">
              <w:rPr>
                <w:lang w:val="en-US"/>
              </w:rPr>
              <w:t>It is recommended that t</w:t>
            </w:r>
            <w:r w:rsidR="0027308B">
              <w:rPr>
                <w:lang w:val="en-US"/>
              </w:rPr>
              <w:t xml:space="preserve">he outcome of </w:t>
            </w:r>
            <w:r w:rsidR="00006256">
              <w:rPr>
                <w:lang w:val="en-US"/>
              </w:rPr>
              <w:t>discussion</w:t>
            </w:r>
            <w:r w:rsidR="0027308B">
              <w:rPr>
                <w:lang w:val="en-US"/>
              </w:rPr>
              <w:t xml:space="preserve"> should be</w:t>
            </w:r>
            <w:r w:rsidR="00006256">
              <w:rPr>
                <w:lang w:val="en-US"/>
              </w:rPr>
              <w:t xml:space="preserve"> </w:t>
            </w:r>
            <w:r w:rsidR="00BE0B74">
              <w:rPr>
                <w:lang w:val="en-US"/>
              </w:rPr>
              <w:t xml:space="preserve">initially </w:t>
            </w:r>
            <w:r w:rsidR="00006256">
              <w:rPr>
                <w:lang w:val="en-US"/>
              </w:rPr>
              <w:t>documented in a draft update of Annex 10, Vol. V and also liaised</w:t>
            </w:r>
            <w:r w:rsidR="0027308B">
              <w:rPr>
                <w:lang w:val="en-US"/>
              </w:rPr>
              <w:t xml:space="preserve"> to the ITU</w:t>
            </w:r>
            <w:r w:rsidR="007B3B3A">
              <w:rPr>
                <w:lang w:val="en-US"/>
              </w:rPr>
              <w:noBreakHyphen/>
            </w:r>
            <w:r w:rsidR="0027308B">
              <w:rPr>
                <w:lang w:val="en-US"/>
              </w:rPr>
              <w:t>R</w:t>
            </w:r>
            <w:r w:rsidR="00BE0B74">
              <w:rPr>
                <w:lang w:val="en-US"/>
              </w:rPr>
              <w:t>.</w:t>
            </w:r>
          </w:p>
          <w:p w14:paraId="0A0CF853" w14:textId="0698359B" w:rsidR="007B3B3A" w:rsidRDefault="007B3B3A">
            <w:pPr>
              <w:rPr>
                <w:lang w:val="en-US"/>
              </w:rPr>
            </w:pPr>
          </w:p>
        </w:tc>
      </w:tr>
    </w:tbl>
    <w:p w14:paraId="2B9A59DD" w14:textId="77777777" w:rsidR="00770160" w:rsidRDefault="00770160"/>
    <w:p w14:paraId="5B763A2A" w14:textId="7AA6ED50" w:rsidR="00770160" w:rsidRDefault="00770160"/>
    <w:p w14:paraId="70EAFE36" w14:textId="77777777" w:rsidR="009452A0" w:rsidRDefault="009452A0"/>
    <w:p w14:paraId="61A25704" w14:textId="77777777" w:rsidR="00770160" w:rsidRDefault="00770160">
      <w:pPr>
        <w:pStyle w:val="1Heading"/>
      </w:pPr>
      <w:r>
        <w:t>INTRODUCTION</w:t>
      </w:r>
    </w:p>
    <w:p w14:paraId="2660FD23" w14:textId="085684F7" w:rsidR="000B3423" w:rsidRDefault="000B3423" w:rsidP="000B3423">
      <w:pPr>
        <w:pStyle w:val="2para"/>
      </w:pPr>
      <w:r>
        <w:t>The recent ITU-R Working Party 5B meeting (WP 5B) on the 11-22 Jul 2022 highlighted a growing need for clarification from ICAO on how the coordination of any new AMS(R)S SATCOM constellation would be conducted.  There was an expectation in the meeting that ICAO would be providing some significant detail</w:t>
      </w:r>
      <w:r w:rsidR="004244BD">
        <w:t xml:space="preserve"> on possible AMS(R)S coordination processes</w:t>
      </w:r>
      <w:r>
        <w:t xml:space="preserve"> at the next WP 5B meeting in Nov 2022.</w:t>
      </w:r>
    </w:p>
    <w:p w14:paraId="2BF114AA" w14:textId="7947B507" w:rsidR="00770160" w:rsidRPr="00A53AC7" w:rsidRDefault="000B3423" w:rsidP="000B3423">
      <w:pPr>
        <w:pStyle w:val="2para"/>
      </w:pPr>
      <w:r>
        <w:t>To ensure ICAO can provide the appropriate information, the following items are provided as a framework for the AMS(R)S proponents to provide contributions to FSMP WG/15.  This is intended to help guide the establishment and documentation of a frequency coordination process that ensures the compatibility between AMS(R)S and AM(R)S VHF stations</w:t>
      </w:r>
      <w:r w:rsidRPr="00A53AC7">
        <w:t>.</w:t>
      </w:r>
    </w:p>
    <w:p w14:paraId="5AB279ED" w14:textId="5FFE5B4B" w:rsidR="00770160" w:rsidRDefault="00E53395">
      <w:pPr>
        <w:pStyle w:val="1Heading"/>
      </w:pPr>
      <w:r w:rsidRPr="00E53395">
        <w:lastRenderedPageBreak/>
        <w:t xml:space="preserve">ICAO FREQUENCY COORDINATION PROCESS </w:t>
      </w:r>
      <w:r>
        <w:t>QUESTIONS</w:t>
      </w:r>
    </w:p>
    <w:p w14:paraId="21EFA4E5" w14:textId="77777777" w:rsidR="003506EF" w:rsidRPr="003506EF" w:rsidRDefault="003506EF" w:rsidP="003506EF">
      <w:pPr>
        <w:pStyle w:val="2para"/>
        <w:numPr>
          <w:ilvl w:val="1"/>
          <w:numId w:val="1"/>
        </w:numPr>
        <w:tabs>
          <w:tab w:val="clear" w:pos="720"/>
        </w:tabs>
        <w:ind w:left="0" w:firstLine="0"/>
        <w:rPr>
          <w:b/>
          <w:lang w:val="en-US"/>
        </w:rPr>
      </w:pPr>
      <w:r w:rsidRPr="003506EF">
        <w:rPr>
          <w:b/>
          <w:lang w:val="en-US"/>
        </w:rPr>
        <w:t>Frequency assignment request input</w:t>
      </w:r>
    </w:p>
    <w:p w14:paraId="0195AF13" w14:textId="0A827F23" w:rsidR="003506EF" w:rsidRPr="00262C28" w:rsidRDefault="003506EF" w:rsidP="00262C28">
      <w:pPr>
        <w:pStyle w:val="ListParagraph"/>
        <w:numPr>
          <w:ilvl w:val="0"/>
          <w:numId w:val="15"/>
        </w:numPr>
      </w:pPr>
      <w:r w:rsidRPr="00262C28">
        <w:t xml:space="preserve">Where would applications for a new </w:t>
      </w:r>
      <w:r w:rsidR="00C66177" w:rsidRPr="00262C28">
        <w:t xml:space="preserve">VHF </w:t>
      </w:r>
      <w:r w:rsidRPr="00262C28">
        <w:t>satellite be received and processed?</w:t>
      </w:r>
    </w:p>
    <w:p w14:paraId="666A231F" w14:textId="77777777" w:rsidR="003506EF" w:rsidRPr="00262C28" w:rsidRDefault="003506EF" w:rsidP="00262C28">
      <w:pPr>
        <w:pStyle w:val="ListParagraph"/>
        <w:numPr>
          <w:ilvl w:val="0"/>
          <w:numId w:val="15"/>
        </w:numPr>
      </w:pPr>
      <w:r w:rsidRPr="00262C28">
        <w:t>How is an ICAO Member State going to be engaged by ICAO when the satellite footprint overlaps an FIR assigned to that State by an agreed pfd coordination threshold level?</w:t>
      </w:r>
    </w:p>
    <w:p w14:paraId="10D25773" w14:textId="41689549" w:rsidR="003506EF" w:rsidRPr="00262C28" w:rsidRDefault="003506EF" w:rsidP="00262C28">
      <w:pPr>
        <w:pStyle w:val="ListParagraph"/>
        <w:numPr>
          <w:ilvl w:val="1"/>
          <w:numId w:val="15"/>
        </w:numPr>
      </w:pPr>
      <w:r w:rsidRPr="00262C28">
        <w:t xml:space="preserve">Define the acceptable pfd coordination level at </w:t>
      </w:r>
      <w:r w:rsidR="00D42591" w:rsidRPr="00262C28">
        <w:t>a suitable altitude (</w:t>
      </w:r>
      <w:r w:rsidRPr="00262C28">
        <w:t>FL</w:t>
      </w:r>
      <w:r w:rsidR="00425ECB" w:rsidRPr="00262C28">
        <w:t>400</w:t>
      </w:r>
      <w:r w:rsidR="00D42591" w:rsidRPr="00262C28">
        <w:t>?)</w:t>
      </w:r>
      <w:r w:rsidRPr="00262C28">
        <w:t xml:space="preserve"> on the edge on a Member States FIR within ICAO?</w:t>
      </w:r>
    </w:p>
    <w:p w14:paraId="70718707" w14:textId="77777777" w:rsidR="003506EF" w:rsidRPr="00262C28" w:rsidRDefault="003506EF" w:rsidP="00262C28">
      <w:pPr>
        <w:pStyle w:val="ListParagraph"/>
        <w:numPr>
          <w:ilvl w:val="1"/>
          <w:numId w:val="15"/>
        </w:numPr>
      </w:pPr>
      <w:r w:rsidRPr="00262C28">
        <w:t>Define AM(R)S sub bands where assignments are not to be considered by FIR?</w:t>
      </w:r>
    </w:p>
    <w:p w14:paraId="4E5616D8" w14:textId="77777777" w:rsidR="003506EF" w:rsidRDefault="003506EF" w:rsidP="00262C28">
      <w:pPr>
        <w:pStyle w:val="ListParagraph"/>
        <w:numPr>
          <w:ilvl w:val="1"/>
          <w:numId w:val="15"/>
        </w:numPr>
      </w:pPr>
      <w:r w:rsidRPr="00262C28">
        <w:t>Is the coordination process reliant on an active or passive response from States responsible for the overlapped FIR, or a “silence is consent”/ad hoc voluntary participation process?</w:t>
      </w:r>
    </w:p>
    <w:p w14:paraId="4E2FBBEA" w14:textId="3AEB8AD9" w:rsidR="00CC0CA6" w:rsidRPr="00262C28" w:rsidRDefault="00CC0CA6" w:rsidP="00262C28">
      <w:pPr>
        <w:pStyle w:val="ListParagraph"/>
        <w:numPr>
          <w:ilvl w:val="1"/>
          <w:numId w:val="15"/>
        </w:numPr>
      </w:pPr>
      <w:r>
        <w:t>What other methods may be needed to ensure individual Member states can protect current and future assignments?</w:t>
      </w:r>
    </w:p>
    <w:p w14:paraId="57B74DAF" w14:textId="5D873474" w:rsidR="003506EF" w:rsidRPr="00262C28" w:rsidRDefault="003506EF" w:rsidP="00262C28">
      <w:pPr>
        <w:pStyle w:val="ListParagraph"/>
        <w:numPr>
          <w:ilvl w:val="0"/>
          <w:numId w:val="15"/>
        </w:numPr>
      </w:pPr>
      <w:r w:rsidRPr="00262C28">
        <w:t xml:space="preserve">What </w:t>
      </w:r>
      <w:r w:rsidR="001C47AD" w:rsidRPr="00262C28">
        <w:t>coordination</w:t>
      </w:r>
      <w:r w:rsidRPr="00262C28">
        <w:t xml:space="preserve"> timeline would be expected for such an application?</w:t>
      </w:r>
    </w:p>
    <w:p w14:paraId="2E2C1E06" w14:textId="77777777" w:rsidR="003506EF" w:rsidRPr="00262C28" w:rsidRDefault="003506EF" w:rsidP="00262C28">
      <w:pPr>
        <w:pStyle w:val="ListParagraph"/>
        <w:numPr>
          <w:ilvl w:val="0"/>
          <w:numId w:val="15"/>
        </w:numPr>
      </w:pPr>
      <w:r w:rsidRPr="00262C28">
        <w:t xml:space="preserve">Where would the coordination process occur if overlapping or affecting multiple PIRGs? </w:t>
      </w:r>
    </w:p>
    <w:p w14:paraId="6D8891C9" w14:textId="733DBF46" w:rsidR="003506EF" w:rsidRPr="00262C28" w:rsidRDefault="003506EF" w:rsidP="00262C28">
      <w:pPr>
        <w:pStyle w:val="ListParagraph"/>
        <w:numPr>
          <w:ilvl w:val="0"/>
          <w:numId w:val="15"/>
        </w:numPr>
      </w:pPr>
      <w:r w:rsidRPr="00262C28">
        <w:t xml:space="preserve">How will ICAO </w:t>
      </w:r>
      <w:r w:rsidR="007269F9">
        <w:t>M</w:t>
      </w:r>
      <w:r w:rsidRPr="00262C28">
        <w:t xml:space="preserve">ember </w:t>
      </w:r>
      <w:r w:rsidR="007269F9">
        <w:t>S</w:t>
      </w:r>
      <w:r w:rsidRPr="00262C28">
        <w:t>tates that do not use frequency finder be part of any ICAO coordination/planning process?</w:t>
      </w:r>
    </w:p>
    <w:p w14:paraId="2B4DC268" w14:textId="7ED04E1E" w:rsidR="003506EF" w:rsidRDefault="003506EF" w:rsidP="00262C28">
      <w:pPr>
        <w:pStyle w:val="ListParagraph"/>
        <w:numPr>
          <w:ilvl w:val="0"/>
          <w:numId w:val="15"/>
        </w:numPr>
      </w:pPr>
      <w:r w:rsidRPr="00262C28">
        <w:t xml:space="preserve">How will ICAO Member </w:t>
      </w:r>
      <w:r w:rsidR="007269F9">
        <w:t>S</w:t>
      </w:r>
      <w:r w:rsidRPr="00262C28">
        <w:t xml:space="preserve">tates coordinate for all AOC, AAC, and AM(OR)S assignments that may or may not have been </w:t>
      </w:r>
      <w:r w:rsidR="00316A8F">
        <w:t>registered</w:t>
      </w:r>
      <w:r w:rsidRPr="00262C28">
        <w:t xml:space="preserve"> into regional ICAO COM tables?</w:t>
      </w:r>
    </w:p>
    <w:p w14:paraId="50768DAD" w14:textId="77777777" w:rsidR="00262C28" w:rsidRPr="00262C28" w:rsidRDefault="00262C28" w:rsidP="00262C28">
      <w:pPr>
        <w:pStyle w:val="ListParagraph"/>
      </w:pPr>
    </w:p>
    <w:p w14:paraId="6127E952" w14:textId="77777777" w:rsidR="003506EF" w:rsidRPr="003506EF" w:rsidRDefault="003506EF" w:rsidP="003506EF">
      <w:pPr>
        <w:pStyle w:val="2para"/>
        <w:numPr>
          <w:ilvl w:val="1"/>
          <w:numId w:val="1"/>
        </w:numPr>
        <w:tabs>
          <w:tab w:val="clear" w:pos="720"/>
        </w:tabs>
        <w:ind w:left="0" w:firstLine="0"/>
        <w:rPr>
          <w:b/>
          <w:lang w:val="en-US"/>
        </w:rPr>
      </w:pPr>
      <w:r w:rsidRPr="003506EF">
        <w:rPr>
          <w:b/>
          <w:lang w:val="en-US"/>
        </w:rPr>
        <w:t>Frequency assignment output</w:t>
      </w:r>
    </w:p>
    <w:p w14:paraId="532ECAF3" w14:textId="77777777" w:rsidR="003506EF" w:rsidRPr="00262C28" w:rsidRDefault="003506EF" w:rsidP="00262C28">
      <w:pPr>
        <w:pStyle w:val="ListParagraph"/>
        <w:numPr>
          <w:ilvl w:val="0"/>
          <w:numId w:val="16"/>
        </w:numPr>
      </w:pPr>
      <w:r w:rsidRPr="00262C28">
        <w:t>How will the ICAO Member State be notified by ICAO that the assignment has been made?</w:t>
      </w:r>
    </w:p>
    <w:p w14:paraId="452CB627" w14:textId="77777777" w:rsidR="003506EF" w:rsidRPr="00262C28" w:rsidRDefault="003506EF" w:rsidP="00262C28">
      <w:pPr>
        <w:pStyle w:val="ListParagraph"/>
        <w:numPr>
          <w:ilvl w:val="0"/>
          <w:numId w:val="16"/>
        </w:numPr>
      </w:pPr>
      <w:r w:rsidRPr="00262C28">
        <w:t>How will the ICAO Member State be notified that the frequency assignment is active?</w:t>
      </w:r>
    </w:p>
    <w:p w14:paraId="5F54C2E5" w14:textId="77777777" w:rsidR="003506EF" w:rsidRDefault="003506EF" w:rsidP="00262C28">
      <w:pPr>
        <w:pStyle w:val="ListParagraph"/>
        <w:numPr>
          <w:ilvl w:val="0"/>
          <w:numId w:val="16"/>
        </w:numPr>
      </w:pPr>
      <w:r w:rsidRPr="00262C28">
        <w:t>Under what regulations/conditions would the sponsoring ICAO Member State file with the ITU-R once ICAO coordination and approval has been completed?</w:t>
      </w:r>
    </w:p>
    <w:p w14:paraId="5E1F4B06" w14:textId="77777777" w:rsidR="00262C28" w:rsidRPr="00262C28" w:rsidRDefault="00262C28" w:rsidP="00262C28">
      <w:pPr>
        <w:pStyle w:val="ListParagraph"/>
      </w:pPr>
    </w:p>
    <w:p w14:paraId="51C5A508" w14:textId="77777777" w:rsidR="003506EF" w:rsidRPr="003506EF" w:rsidRDefault="003506EF" w:rsidP="003506EF">
      <w:pPr>
        <w:pStyle w:val="2para"/>
        <w:numPr>
          <w:ilvl w:val="1"/>
          <w:numId w:val="1"/>
        </w:numPr>
        <w:tabs>
          <w:tab w:val="clear" w:pos="720"/>
        </w:tabs>
        <w:ind w:left="0" w:firstLine="0"/>
        <w:rPr>
          <w:b/>
          <w:lang w:val="en-US"/>
        </w:rPr>
      </w:pPr>
      <w:r w:rsidRPr="003506EF">
        <w:rPr>
          <w:b/>
          <w:lang w:val="en-US"/>
        </w:rPr>
        <w:t>Frequency assignment lifecycle maintenance</w:t>
      </w:r>
    </w:p>
    <w:p w14:paraId="3D8FB4C2" w14:textId="517294DC" w:rsidR="003506EF" w:rsidRPr="00262C28" w:rsidRDefault="003506EF" w:rsidP="00262C28">
      <w:pPr>
        <w:pStyle w:val="ListParagraph"/>
        <w:numPr>
          <w:ilvl w:val="0"/>
          <w:numId w:val="17"/>
        </w:numPr>
      </w:pPr>
      <w:r w:rsidRPr="00262C28">
        <w:t>What is the process to notify a Member State when the operational status of the satellite has changed?</w:t>
      </w:r>
    </w:p>
    <w:p w14:paraId="4D16423B" w14:textId="77777777" w:rsidR="003506EF" w:rsidRPr="00262C28" w:rsidRDefault="003506EF" w:rsidP="00C80D87">
      <w:pPr>
        <w:pStyle w:val="ListParagraph"/>
        <w:numPr>
          <w:ilvl w:val="1"/>
          <w:numId w:val="17"/>
        </w:numPr>
      </w:pPr>
      <w:r w:rsidRPr="00262C28">
        <w:t>Such as known unintentional operation outside of the coordination agreement or otherwise known undesired operation.</w:t>
      </w:r>
    </w:p>
    <w:p w14:paraId="69F79D69" w14:textId="77777777" w:rsidR="003506EF" w:rsidRPr="00262C28" w:rsidRDefault="003506EF" w:rsidP="00262C28">
      <w:pPr>
        <w:pStyle w:val="ListParagraph"/>
        <w:numPr>
          <w:ilvl w:val="0"/>
          <w:numId w:val="17"/>
        </w:numPr>
      </w:pPr>
      <w:r w:rsidRPr="00262C28">
        <w:t>What is the process to change the satellite frequency to accommodate terrestrial changes?</w:t>
      </w:r>
    </w:p>
    <w:p w14:paraId="0BFC4D78" w14:textId="5087B0DB" w:rsidR="00770160" w:rsidRDefault="003506EF" w:rsidP="00262C28">
      <w:pPr>
        <w:pStyle w:val="ListParagraph"/>
        <w:numPr>
          <w:ilvl w:val="0"/>
          <w:numId w:val="17"/>
        </w:numPr>
      </w:pPr>
      <w:r w:rsidRPr="00262C28">
        <w:t>What prevents a member state filing a satellite request with the ITU-R without going to ICAO first?</w:t>
      </w:r>
    </w:p>
    <w:p w14:paraId="2C94E42F" w14:textId="77777777" w:rsidR="00262C28" w:rsidRPr="00262C28" w:rsidRDefault="00262C28" w:rsidP="00262C28">
      <w:pPr>
        <w:pStyle w:val="ListParagraph"/>
      </w:pPr>
    </w:p>
    <w:p w14:paraId="7A29E241" w14:textId="1ED31304" w:rsidR="00262C28" w:rsidRDefault="00262C28" w:rsidP="00262C28">
      <w:pPr>
        <w:pStyle w:val="2Heading"/>
        <w:tabs>
          <w:tab w:val="clear" w:pos="720"/>
          <w:tab w:val="left" w:pos="1418"/>
        </w:tabs>
        <w:ind w:left="0" w:firstLine="0"/>
        <w:rPr>
          <w:lang w:val="en-US"/>
        </w:rPr>
      </w:pPr>
      <w:r>
        <w:rPr>
          <w:lang w:val="en-US"/>
        </w:rPr>
        <w:t>RFI</w:t>
      </w:r>
    </w:p>
    <w:p w14:paraId="288B0F54" w14:textId="77777777" w:rsidR="00262C28" w:rsidRPr="00262C28" w:rsidRDefault="00262C28" w:rsidP="00262C28">
      <w:pPr>
        <w:pStyle w:val="ListParagraph"/>
        <w:numPr>
          <w:ilvl w:val="0"/>
          <w:numId w:val="18"/>
        </w:numPr>
      </w:pPr>
      <w:r w:rsidRPr="00262C28">
        <w:t>What is the process to resolve RFI to the satellite?</w:t>
      </w:r>
    </w:p>
    <w:p w14:paraId="295516E7" w14:textId="0C141820" w:rsidR="00262C28" w:rsidRPr="00262C28" w:rsidRDefault="00262C28" w:rsidP="00262C28">
      <w:pPr>
        <w:pStyle w:val="ListParagraph"/>
        <w:numPr>
          <w:ilvl w:val="0"/>
          <w:numId w:val="18"/>
        </w:numPr>
      </w:pPr>
      <w:r w:rsidRPr="00262C28">
        <w:t>What is the process to resolve RFI from the satellite to terrestrial?</w:t>
      </w:r>
    </w:p>
    <w:p w14:paraId="10AF51A4" w14:textId="189B5069" w:rsidR="00C31D5F" w:rsidRDefault="00C31D5F" w:rsidP="00C31D5F">
      <w:pPr>
        <w:pStyle w:val="1Heading"/>
      </w:pPr>
      <w:r>
        <w:t>SUMMARY</w:t>
      </w:r>
    </w:p>
    <w:p w14:paraId="38462163" w14:textId="54B6B0CA" w:rsidR="000D381F" w:rsidRPr="00C31D5F" w:rsidRDefault="00C31D5F" w:rsidP="009452A0">
      <w:pPr>
        <w:pStyle w:val="2para"/>
      </w:pPr>
      <w:r w:rsidRPr="00C31D5F">
        <w:t xml:space="preserve">The above questions should help define what </w:t>
      </w:r>
      <w:r w:rsidR="00450B25">
        <w:t xml:space="preserve">the </w:t>
      </w:r>
      <w:r w:rsidRPr="00C31D5F">
        <w:t xml:space="preserve">ICAO process </w:t>
      </w:r>
      <w:r w:rsidR="00450B25">
        <w:t>may</w:t>
      </w:r>
      <w:r w:rsidRPr="00C31D5F">
        <w:t xml:space="preserve"> be, and the corresponding output documented in ICAO Annex 10.  FSMP WG/14 WP14 had previously highlighted similar questions and provided an option to develop Vol. V with more details, and it is recommended that this WP14 contribution be used as a basis for any </w:t>
      </w:r>
      <w:bookmarkStart w:id="2" w:name="_GoBack"/>
      <w:bookmarkEnd w:id="2"/>
      <w:r w:rsidRPr="00C31D5F">
        <w:t>Annex 10 outcome needed as a result of the above questions.</w:t>
      </w:r>
    </w:p>
    <w:p w14:paraId="6934BC4C" w14:textId="77777777" w:rsidR="00770160" w:rsidRDefault="00770160">
      <w:pPr>
        <w:pStyle w:val="1Heading"/>
      </w:pPr>
      <w:r>
        <w:lastRenderedPageBreak/>
        <w:t>ACTION BY THE MEETING</w:t>
      </w:r>
    </w:p>
    <w:p w14:paraId="2728A94B" w14:textId="77777777" w:rsidR="00770160" w:rsidRDefault="00770160">
      <w:pPr>
        <w:pStyle w:val="2para"/>
      </w:pPr>
      <w:r>
        <w:t>The meeting is invited to:</w:t>
      </w:r>
    </w:p>
    <w:p w14:paraId="5DF37B7C" w14:textId="2EA9D1FE" w:rsidR="00770160" w:rsidRDefault="00770160" w:rsidP="00F97D8F">
      <w:pPr>
        <w:pStyle w:val="Listabc"/>
        <w:tabs>
          <w:tab w:val="clear" w:pos="360"/>
        </w:tabs>
        <w:ind w:left="1843"/>
      </w:pPr>
      <w:r>
        <w:rPr>
          <w:lang w:val="en-GB"/>
        </w:rPr>
        <w:t>n</w:t>
      </w:r>
      <w:r>
        <w:t>ote and review the contents of this working paper;</w:t>
      </w:r>
    </w:p>
    <w:p w14:paraId="60D52AB2" w14:textId="4D6E936F" w:rsidR="00770160" w:rsidRDefault="00746779" w:rsidP="00F97D8F">
      <w:pPr>
        <w:pStyle w:val="Listabc"/>
        <w:tabs>
          <w:tab w:val="clear" w:pos="360"/>
        </w:tabs>
        <w:ind w:left="1843"/>
      </w:pPr>
      <w:r>
        <w:t>p</w:t>
      </w:r>
      <w:r w:rsidR="004C02B8">
        <w:t xml:space="preserve">rovide contributions in advance of the FSMP WG/15 meeting, or in the meeting itself, to answer the </w:t>
      </w:r>
      <w:r w:rsidR="007E2D0A">
        <w:t>question</w:t>
      </w:r>
      <w:r w:rsidR="009B666F">
        <w:t>s</w:t>
      </w:r>
      <w:r w:rsidR="004C02B8">
        <w:t xml:space="preserve"> raised in section 2</w:t>
      </w:r>
      <w:r w:rsidR="00770160">
        <w:t>; and</w:t>
      </w:r>
    </w:p>
    <w:p w14:paraId="472BFB1A" w14:textId="7183A8AD" w:rsidR="00F51CED" w:rsidRDefault="00746779" w:rsidP="00F97D8F">
      <w:pPr>
        <w:pStyle w:val="Listabc"/>
        <w:tabs>
          <w:tab w:val="clear" w:pos="360"/>
        </w:tabs>
        <w:ind w:left="1843"/>
      </w:pPr>
      <w:r>
        <w:t>t</w:t>
      </w:r>
      <w:r w:rsidR="004C02B8">
        <w:t xml:space="preserve">he </w:t>
      </w:r>
      <w:r w:rsidR="001344AE">
        <w:t xml:space="preserve">relevant </w:t>
      </w:r>
      <w:r w:rsidR="004C02B8">
        <w:t xml:space="preserve">outcome of FSMP WG/15 on this topic </w:t>
      </w:r>
      <w:r w:rsidR="001344AE">
        <w:t>be</w:t>
      </w:r>
      <w:r w:rsidR="003E55C1">
        <w:t xml:space="preserve"> document</w:t>
      </w:r>
      <w:r w:rsidR="001344AE">
        <w:t>ed</w:t>
      </w:r>
      <w:r w:rsidR="003E55C1">
        <w:t xml:space="preserve"> in a revised Annex 10, Vol, V proposal</w:t>
      </w:r>
      <w:r w:rsidR="003C233F">
        <w:t xml:space="preserve"> based on</w:t>
      </w:r>
      <w:r w:rsidR="008C0F7A">
        <w:t xml:space="preserve"> the work started in</w:t>
      </w:r>
      <w:r w:rsidR="003C233F">
        <w:t xml:space="preserve"> FSMP WG/15 WP14</w:t>
      </w:r>
      <w:r w:rsidR="00F51CED">
        <w:t>; and</w:t>
      </w:r>
    </w:p>
    <w:p w14:paraId="6CD3E905" w14:textId="68B9BD0F" w:rsidR="00423C6F" w:rsidRDefault="00746779" w:rsidP="00F97D8F">
      <w:pPr>
        <w:pStyle w:val="Listabc"/>
        <w:tabs>
          <w:tab w:val="clear" w:pos="360"/>
        </w:tabs>
        <w:ind w:left="1843"/>
      </w:pPr>
      <w:r>
        <w:t>l</w:t>
      </w:r>
      <w:r w:rsidR="003E55C1">
        <w:t>i</w:t>
      </w:r>
      <w:r w:rsidR="00521658">
        <w:t>a</w:t>
      </w:r>
      <w:r w:rsidR="001D7136">
        <w:t>i</w:t>
      </w:r>
      <w:r w:rsidR="003E55C1">
        <w:t xml:space="preserve">sing </w:t>
      </w:r>
      <w:r w:rsidR="001344AE">
        <w:t xml:space="preserve">a </w:t>
      </w:r>
      <w:r w:rsidR="00F51CED">
        <w:t xml:space="preserve">relevant </w:t>
      </w:r>
      <w:r w:rsidR="001344AE">
        <w:t>summary</w:t>
      </w:r>
      <w:r w:rsidR="003E55C1">
        <w:t xml:space="preserve"> to the ITU-R</w:t>
      </w:r>
      <w:r w:rsidR="001D7136">
        <w:t xml:space="preserve"> for </w:t>
      </w:r>
      <w:r w:rsidR="008C0F7A">
        <w:t>its</w:t>
      </w:r>
      <w:r w:rsidR="001D7136">
        <w:t xml:space="preserve"> Nov 2022 WP 5B meeting</w:t>
      </w:r>
      <w:r w:rsidR="00770160">
        <w:t>.</w:t>
      </w:r>
    </w:p>
    <w:p w14:paraId="189F5669" w14:textId="77777777" w:rsidR="00770160" w:rsidRDefault="00770160" w:rsidP="00423C6F">
      <w:pPr>
        <w:pStyle w:val="Listabc"/>
        <w:numPr>
          <w:ilvl w:val="0"/>
          <w:numId w:val="0"/>
        </w:numPr>
      </w:pPr>
    </w:p>
    <w:p w14:paraId="33C2BBB5" w14:textId="77777777" w:rsidR="00A12CBA" w:rsidRDefault="00770160" w:rsidP="00E91DF2">
      <w:pPr>
        <w:spacing w:before="600"/>
        <w:jc w:val="center"/>
      </w:pPr>
      <w:r>
        <w:t>— END —</w:t>
      </w:r>
    </w:p>
    <w:sectPr w:rsidR="00A12CBA">
      <w:headerReference w:type="even" r:id="rId8"/>
      <w:headerReference w:type="default" r:id="rId9"/>
      <w:headerReference w:type="first" r:id="rId10"/>
      <w:footerReference w:type="first" r:id="rId11"/>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6F4D6" w14:textId="77777777" w:rsidR="0075371E" w:rsidRDefault="0075371E">
      <w:r>
        <w:separator/>
      </w:r>
    </w:p>
  </w:endnote>
  <w:endnote w:type="continuationSeparator" w:id="0">
    <w:p w14:paraId="01CB2329" w14:textId="77777777" w:rsidR="0075371E" w:rsidRDefault="0075371E">
      <w:r>
        <w:continuationSeparator/>
      </w:r>
    </w:p>
  </w:endnote>
  <w:endnote w:type="continuationNotice" w:id="1">
    <w:p w14:paraId="38EAAD30" w14:textId="77777777" w:rsidR="0075371E" w:rsidRDefault="00753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047A" w14:textId="28A376E6" w:rsidR="00770160" w:rsidRPr="009452A0" w:rsidRDefault="00770160">
    <w:pPr>
      <w:pStyle w:val="Footer"/>
      <w:rPr>
        <w:sz w:val="18"/>
        <w:lang w:val="en-CA"/>
      </w:rPr>
    </w:pPr>
    <w:r w:rsidRPr="009452A0">
      <w:rPr>
        <w:sz w:val="18"/>
        <w:lang w:val="en-CA"/>
      </w:rPr>
      <w:t>(</w:t>
    </w:r>
    <w:r>
      <w:rPr>
        <w:sz w:val="18"/>
        <w:lang w:val="en-US"/>
      </w:rPr>
      <w:fldChar w:fldCharType="begin"/>
    </w:r>
    <w:r w:rsidRPr="009452A0">
      <w:rPr>
        <w:sz w:val="18"/>
        <w:lang w:val="en-CA"/>
      </w:rPr>
      <w:instrText xml:space="preserve"> NUMPAGES  \* MERGEFORMAT </w:instrText>
    </w:r>
    <w:r>
      <w:rPr>
        <w:sz w:val="18"/>
        <w:lang w:val="en-US"/>
      </w:rPr>
      <w:fldChar w:fldCharType="separate"/>
    </w:r>
    <w:r w:rsidR="009452A0">
      <w:rPr>
        <w:noProof/>
        <w:sz w:val="18"/>
        <w:lang w:val="en-CA"/>
      </w:rPr>
      <w:t>3</w:t>
    </w:r>
    <w:r>
      <w:rPr>
        <w:sz w:val="18"/>
        <w:lang w:val="en-US"/>
      </w:rPr>
      <w:fldChar w:fldCharType="end"/>
    </w:r>
    <w:r w:rsidRPr="009452A0">
      <w:rPr>
        <w:sz w:val="18"/>
        <w:lang w:val="en-CA"/>
      </w:rPr>
      <w:t xml:space="preserve"> pages)</w:t>
    </w:r>
  </w:p>
  <w:p w14:paraId="6CDBB0D5" w14:textId="6A2F84AE"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722C30">
      <w:rPr>
        <w:noProof/>
        <w:sz w:val="18"/>
        <w:lang w:val="en-US"/>
      </w:rPr>
      <w:t>FSMP-WG15-WP02 ICAO frequency coordination process flow and AI17.docx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D7894" w14:textId="77777777" w:rsidR="0075371E" w:rsidRDefault="0075371E">
      <w:r>
        <w:separator/>
      </w:r>
    </w:p>
  </w:footnote>
  <w:footnote w:type="continuationSeparator" w:id="0">
    <w:p w14:paraId="04E36C78" w14:textId="77777777" w:rsidR="0075371E" w:rsidRDefault="0075371E">
      <w:r>
        <w:continuationSeparator/>
      </w:r>
    </w:p>
  </w:footnote>
  <w:footnote w:type="continuationNotice" w:id="1">
    <w:p w14:paraId="573E0365" w14:textId="77777777" w:rsidR="0075371E" w:rsidRDefault="007537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B4D18" w14:textId="48BF47A7" w:rsidR="00770160" w:rsidRDefault="000D26D5" w:rsidP="00F56F90">
    <w:pPr>
      <w:tabs>
        <w:tab w:val="center" w:pos="4876"/>
      </w:tabs>
      <w:spacing w:after="600"/>
    </w:pPr>
    <w:r>
      <w:t>FS</w:t>
    </w:r>
    <w:r w:rsidR="00725205">
      <w:t>MP</w:t>
    </w:r>
    <w:r w:rsidR="007E6A06">
      <w:t>-WG</w:t>
    </w:r>
    <w:r w:rsidR="00770160">
      <w:t>/</w:t>
    </w:r>
    <w:r w:rsidR="00C32F4A">
      <w:t>1</w:t>
    </w:r>
    <w:r w:rsidR="00296C3E">
      <w:t>5</w:t>
    </w:r>
    <w:r w:rsidR="007E6A06">
      <w:t xml:space="preserve"> </w:t>
    </w:r>
    <w:r w:rsidR="00770160">
      <w:t>WP/</w:t>
    </w:r>
    <w:r w:rsidR="00722C30">
      <w:t>02</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9452A0">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05DE" w14:textId="18562842"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452A0">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296C3E">
      <w:t>5</w:t>
    </w:r>
    <w:r w:rsidR="007E6A06">
      <w:t xml:space="preserve"> </w:t>
    </w:r>
    <w:r>
      <w:t>WP/</w:t>
    </w:r>
    <w:r w:rsidR="00722C30">
      <w:t>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543435EB" w14:textId="77777777" w:rsidTr="00664C07">
      <w:trPr>
        <w:trHeight w:val="1790"/>
      </w:trPr>
      <w:tc>
        <w:tcPr>
          <w:tcW w:w="1915" w:type="dxa"/>
          <w:shd w:val="clear" w:color="auto" w:fill="FFFFFF"/>
        </w:tcPr>
        <w:p w14:paraId="4FE67E16" w14:textId="466A140C" w:rsidR="00920C27" w:rsidRDefault="00CC2BCE" w:rsidP="00664C07">
          <w:bookmarkStart w:id="3" w:name="logo"/>
          <w:r w:rsidRPr="00484298">
            <w:rPr>
              <w:noProof/>
              <w:lang w:val="en-CA" w:eastAsia="zh-CN"/>
            </w:rPr>
            <w:drawing>
              <wp:inline distT="0" distB="0" distL="0" distR="0" wp14:anchorId="49B77A54" wp14:editId="2FE384CA">
                <wp:extent cx="1089660" cy="86106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61060"/>
                        </a:xfrm>
                        <a:prstGeom prst="rect">
                          <a:avLst/>
                        </a:prstGeom>
                        <a:noFill/>
                        <a:ln>
                          <a:noFill/>
                        </a:ln>
                      </pic:spPr>
                    </pic:pic>
                  </a:graphicData>
                </a:graphic>
              </wp:inline>
            </w:drawing>
          </w:r>
          <w:bookmarkEnd w:id="3"/>
        </w:p>
      </w:tc>
      <w:tc>
        <w:tcPr>
          <w:tcW w:w="3895" w:type="dxa"/>
          <w:shd w:val="clear" w:color="auto" w:fill="FFFFFF"/>
          <w:tcMar>
            <w:right w:w="0" w:type="dxa"/>
          </w:tcMar>
        </w:tcPr>
        <w:p w14:paraId="587FE862" w14:textId="19D07CBF" w:rsidR="00920C27" w:rsidRPr="00066AB7" w:rsidRDefault="00CC2BCE"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1EDCB851" wp14:editId="6F33304A">
                    <wp:simplePos x="0" y="0"/>
                    <wp:positionH relativeFrom="column">
                      <wp:posOffset>12700</wp:posOffset>
                    </wp:positionH>
                    <wp:positionV relativeFrom="paragraph">
                      <wp:posOffset>342900</wp:posOffset>
                    </wp:positionV>
                    <wp:extent cx="2400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6D7D6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3E02E200"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FA4F125" w14:textId="77777777" w:rsidR="00920C27" w:rsidRPr="00066AB7" w:rsidRDefault="00920C27" w:rsidP="00664C07">
          <w:pPr>
            <w:rPr>
              <w:rFonts w:ascii="Arial" w:hAnsi="Arial" w:cs="Arial"/>
              <w:szCs w:val="22"/>
            </w:rPr>
          </w:pPr>
        </w:p>
        <w:p w14:paraId="45C3D56F"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63DC98F1" w14:textId="77777777" w:rsidTr="00664C07">
            <w:trPr>
              <w:jc w:val="right"/>
            </w:trPr>
            <w:tc>
              <w:tcPr>
                <w:tcW w:w="0" w:type="auto"/>
              </w:tcPr>
              <w:p w14:paraId="04DFD79F" w14:textId="22D1963B" w:rsidR="00920C27" w:rsidRPr="00066AB7" w:rsidRDefault="000D26D5" w:rsidP="009452A0">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296C3E">
                  <w:rPr>
                    <w:szCs w:val="22"/>
                  </w:rPr>
                  <w:t>5</w:t>
                </w:r>
                <w:r w:rsidR="007E6A06">
                  <w:rPr>
                    <w:szCs w:val="22"/>
                  </w:rPr>
                  <w:t xml:space="preserve"> </w:t>
                </w:r>
                <w:r w:rsidR="00920C27" w:rsidRPr="00066AB7">
                  <w:rPr>
                    <w:szCs w:val="22"/>
                  </w:rPr>
                  <w:t>WP/</w:t>
                </w:r>
                <w:bookmarkEnd w:id="4"/>
                <w:r w:rsidR="00691032">
                  <w:rPr>
                    <w:szCs w:val="22"/>
                  </w:rPr>
                  <w:t>02</w:t>
                </w:r>
              </w:p>
              <w:p w14:paraId="1A5FAF81" w14:textId="7A9548AE" w:rsidR="00920C27" w:rsidRPr="00066AB7" w:rsidRDefault="00885035" w:rsidP="009452A0">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w:t>
                </w:r>
                <w:r w:rsidR="0002582F">
                  <w:rPr>
                    <w:sz w:val="18"/>
                    <w:szCs w:val="18"/>
                  </w:rPr>
                  <w:t>2</w:t>
                </w:r>
                <w:r>
                  <w:rPr>
                    <w:sz w:val="18"/>
                    <w:szCs w:val="18"/>
                  </w:rPr>
                  <w:t>-0</w:t>
                </w:r>
                <w:r w:rsidR="00296C3E">
                  <w:rPr>
                    <w:sz w:val="18"/>
                    <w:szCs w:val="18"/>
                  </w:rPr>
                  <w:t>8</w:t>
                </w:r>
                <w:r>
                  <w:rPr>
                    <w:sz w:val="18"/>
                    <w:szCs w:val="18"/>
                  </w:rPr>
                  <w:t>-</w:t>
                </w:r>
                <w:r w:rsidR="00722C30">
                  <w:rPr>
                    <w:sz w:val="18"/>
                    <w:szCs w:val="18"/>
                  </w:rPr>
                  <w:t>10</w:t>
                </w:r>
                <w:r w:rsidR="00920C27" w:rsidRPr="00066AB7">
                  <w:rPr>
                    <w:b/>
                    <w:sz w:val="18"/>
                    <w:szCs w:val="18"/>
                  </w:rPr>
                  <w:t xml:space="preserve"> </w:t>
                </w:r>
                <w:bookmarkStart w:id="10" w:name="info_paper"/>
                <w:bookmarkEnd w:id="10"/>
              </w:p>
            </w:tc>
          </w:tr>
          <w:tr w:rsidR="00920C27" w14:paraId="6CD582AE" w14:textId="77777777" w:rsidTr="00664C07">
            <w:trPr>
              <w:jc w:val="right"/>
            </w:trPr>
            <w:tc>
              <w:tcPr>
                <w:tcW w:w="0" w:type="auto"/>
              </w:tcPr>
              <w:p w14:paraId="20E42E6B" w14:textId="77777777" w:rsidR="00920C27" w:rsidRPr="00066AB7" w:rsidRDefault="00920C27" w:rsidP="009452A0">
                <w:pPr>
                  <w:framePr w:hSpace="180" w:wrap="around" w:vAnchor="text" w:hAnchor="text" w:y="1"/>
                  <w:suppressOverlap/>
                  <w:jc w:val="left"/>
                  <w:rPr>
                    <w:szCs w:val="22"/>
                  </w:rPr>
                </w:pPr>
              </w:p>
            </w:tc>
          </w:tr>
        </w:tbl>
        <w:p w14:paraId="560335CF"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02FDECC" w14:textId="13B8C09A" w:rsidR="00770160" w:rsidRDefault="00770160">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7AD7057"/>
    <w:multiLevelType w:val="hybridMultilevel"/>
    <w:tmpl w:val="F3A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2459B4"/>
    <w:multiLevelType w:val="hybridMultilevel"/>
    <w:tmpl w:val="165AD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CA6DE9"/>
    <w:multiLevelType w:val="hybridMultilevel"/>
    <w:tmpl w:val="8FF63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2430"/>
        </w:tabs>
        <w:ind w:left="243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51712BA3"/>
    <w:multiLevelType w:val="hybridMultilevel"/>
    <w:tmpl w:val="9A76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8217B1"/>
    <w:multiLevelType w:val="hybridMultilevel"/>
    <w:tmpl w:val="4D14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B5DE5"/>
    <w:multiLevelType w:val="hybridMultilevel"/>
    <w:tmpl w:val="CB56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1" w15:restartNumberingAfterBreak="0">
    <w:nsid w:val="6A0A4E66"/>
    <w:multiLevelType w:val="hybridMultilevel"/>
    <w:tmpl w:val="D4DC7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6FA358A"/>
    <w:multiLevelType w:val="multilevel"/>
    <w:tmpl w:val="9C04BDB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ind w:left="1350" w:hanging="36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6"/>
  </w:num>
  <w:num w:numId="2">
    <w:abstractNumId w:val="10"/>
  </w:num>
  <w:num w:numId="3">
    <w:abstractNumId w:val="3"/>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1"/>
  </w:num>
  <w:num w:numId="9">
    <w:abstractNumId w:val="1"/>
  </w:num>
  <w:num w:numId="10">
    <w:abstractNumId w:val="7"/>
  </w:num>
  <w:num w:numId="11">
    <w:abstractNumId w:val="11"/>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 w:numId="16">
    <w:abstractNumId w:val="8"/>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06256"/>
    <w:rsid w:val="0002582F"/>
    <w:rsid w:val="000273D2"/>
    <w:rsid w:val="00071501"/>
    <w:rsid w:val="000A58F1"/>
    <w:rsid w:val="000B3423"/>
    <w:rsid w:val="000D26D5"/>
    <w:rsid w:val="000D381F"/>
    <w:rsid w:val="000E218A"/>
    <w:rsid w:val="00101C6B"/>
    <w:rsid w:val="00106771"/>
    <w:rsid w:val="00113F17"/>
    <w:rsid w:val="00114B6C"/>
    <w:rsid w:val="00122DDC"/>
    <w:rsid w:val="00133D9C"/>
    <w:rsid w:val="001344AE"/>
    <w:rsid w:val="001566B0"/>
    <w:rsid w:val="001B3309"/>
    <w:rsid w:val="001C47AD"/>
    <w:rsid w:val="001D4BEB"/>
    <w:rsid w:val="001D7136"/>
    <w:rsid w:val="00204D86"/>
    <w:rsid w:val="00262C28"/>
    <w:rsid w:val="0027308B"/>
    <w:rsid w:val="00296C3E"/>
    <w:rsid w:val="002A4D72"/>
    <w:rsid w:val="002B303D"/>
    <w:rsid w:val="002C2D0B"/>
    <w:rsid w:val="002F53C3"/>
    <w:rsid w:val="00316A8F"/>
    <w:rsid w:val="00337499"/>
    <w:rsid w:val="003506EF"/>
    <w:rsid w:val="0035315F"/>
    <w:rsid w:val="003715A0"/>
    <w:rsid w:val="003A79A9"/>
    <w:rsid w:val="003C233F"/>
    <w:rsid w:val="003C70D8"/>
    <w:rsid w:val="003D7FD8"/>
    <w:rsid w:val="003E1AA7"/>
    <w:rsid w:val="003E55C1"/>
    <w:rsid w:val="0040099D"/>
    <w:rsid w:val="0042096E"/>
    <w:rsid w:val="00423C6F"/>
    <w:rsid w:val="004244BD"/>
    <w:rsid w:val="00425ECB"/>
    <w:rsid w:val="00450B25"/>
    <w:rsid w:val="00457715"/>
    <w:rsid w:val="00461036"/>
    <w:rsid w:val="004640B9"/>
    <w:rsid w:val="004735BC"/>
    <w:rsid w:val="0049280E"/>
    <w:rsid w:val="00492CD2"/>
    <w:rsid w:val="00493B44"/>
    <w:rsid w:val="004C02B8"/>
    <w:rsid w:val="00500E7F"/>
    <w:rsid w:val="00505F6E"/>
    <w:rsid w:val="0051574F"/>
    <w:rsid w:val="00521658"/>
    <w:rsid w:val="0053020E"/>
    <w:rsid w:val="00552B85"/>
    <w:rsid w:val="005A5307"/>
    <w:rsid w:val="00611529"/>
    <w:rsid w:val="00625E2A"/>
    <w:rsid w:val="00641741"/>
    <w:rsid w:val="00664C07"/>
    <w:rsid w:val="006829DD"/>
    <w:rsid w:val="00687617"/>
    <w:rsid w:val="00691032"/>
    <w:rsid w:val="006D09B7"/>
    <w:rsid w:val="00722C30"/>
    <w:rsid w:val="00725205"/>
    <w:rsid w:val="007269F9"/>
    <w:rsid w:val="00744944"/>
    <w:rsid w:val="00746779"/>
    <w:rsid w:val="0075371E"/>
    <w:rsid w:val="00757B07"/>
    <w:rsid w:val="00760654"/>
    <w:rsid w:val="00770160"/>
    <w:rsid w:val="00773A7E"/>
    <w:rsid w:val="00773F76"/>
    <w:rsid w:val="007B3B3A"/>
    <w:rsid w:val="007B5863"/>
    <w:rsid w:val="007D3CFE"/>
    <w:rsid w:val="007D473E"/>
    <w:rsid w:val="007E2D0A"/>
    <w:rsid w:val="007E6A06"/>
    <w:rsid w:val="007F2D80"/>
    <w:rsid w:val="008033B3"/>
    <w:rsid w:val="00816E35"/>
    <w:rsid w:val="008415CF"/>
    <w:rsid w:val="00856E20"/>
    <w:rsid w:val="00860436"/>
    <w:rsid w:val="00860FB4"/>
    <w:rsid w:val="00877210"/>
    <w:rsid w:val="00885035"/>
    <w:rsid w:val="00896451"/>
    <w:rsid w:val="008A7443"/>
    <w:rsid w:val="008B54C4"/>
    <w:rsid w:val="008C0F7A"/>
    <w:rsid w:val="0090204A"/>
    <w:rsid w:val="00920B80"/>
    <w:rsid w:val="00920C27"/>
    <w:rsid w:val="009452A0"/>
    <w:rsid w:val="009602EE"/>
    <w:rsid w:val="00991543"/>
    <w:rsid w:val="009A3BB6"/>
    <w:rsid w:val="009B666F"/>
    <w:rsid w:val="009F2CC2"/>
    <w:rsid w:val="00A03CFF"/>
    <w:rsid w:val="00A12CBA"/>
    <w:rsid w:val="00A145A7"/>
    <w:rsid w:val="00A232A8"/>
    <w:rsid w:val="00A53AC7"/>
    <w:rsid w:val="00B17D4B"/>
    <w:rsid w:val="00B2490B"/>
    <w:rsid w:val="00BC5391"/>
    <w:rsid w:val="00BD11CE"/>
    <w:rsid w:val="00BE0B74"/>
    <w:rsid w:val="00C01F8B"/>
    <w:rsid w:val="00C2608A"/>
    <w:rsid w:val="00C31D5F"/>
    <w:rsid w:val="00C32F4A"/>
    <w:rsid w:val="00C625C0"/>
    <w:rsid w:val="00C66177"/>
    <w:rsid w:val="00C80D87"/>
    <w:rsid w:val="00C921BD"/>
    <w:rsid w:val="00CC0CA6"/>
    <w:rsid w:val="00CC2BCE"/>
    <w:rsid w:val="00CF72A2"/>
    <w:rsid w:val="00D22255"/>
    <w:rsid w:val="00D31E71"/>
    <w:rsid w:val="00D3251F"/>
    <w:rsid w:val="00D42591"/>
    <w:rsid w:val="00D8375B"/>
    <w:rsid w:val="00D94FD3"/>
    <w:rsid w:val="00DA654F"/>
    <w:rsid w:val="00DB7A33"/>
    <w:rsid w:val="00DB7D64"/>
    <w:rsid w:val="00DC46DA"/>
    <w:rsid w:val="00DF76D3"/>
    <w:rsid w:val="00E53395"/>
    <w:rsid w:val="00E7263C"/>
    <w:rsid w:val="00E77340"/>
    <w:rsid w:val="00E91DF2"/>
    <w:rsid w:val="00EB1EAC"/>
    <w:rsid w:val="00EC11E5"/>
    <w:rsid w:val="00ED5956"/>
    <w:rsid w:val="00F152B0"/>
    <w:rsid w:val="00F2547A"/>
    <w:rsid w:val="00F42F00"/>
    <w:rsid w:val="00F51CED"/>
    <w:rsid w:val="00F56F90"/>
    <w:rsid w:val="00F9089C"/>
    <w:rsid w:val="00F975FD"/>
    <w:rsid w:val="00F97D8F"/>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FE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3"/>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right="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Revision">
    <w:name w:val="Revision"/>
    <w:hidden/>
    <w:uiPriority w:val="99"/>
    <w:semiHidden/>
    <w:rsid w:val="00A145A7"/>
    <w:rPr>
      <w:sz w:val="22"/>
      <w:lang w:val="en-GB"/>
    </w:rPr>
  </w:style>
  <w:style w:type="paragraph" w:styleId="ListParagraph">
    <w:name w:val="List Paragraph"/>
    <w:basedOn w:val="Normal"/>
    <w:uiPriority w:val="34"/>
    <w:qFormat/>
    <w:rsid w:val="00262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587">
      <w:bodyDiv w:val="1"/>
      <w:marLeft w:val="0"/>
      <w:marRight w:val="0"/>
      <w:marTop w:val="0"/>
      <w:marBottom w:val="0"/>
      <w:divBdr>
        <w:top w:val="none" w:sz="0" w:space="0" w:color="auto"/>
        <w:left w:val="none" w:sz="0" w:space="0" w:color="auto"/>
        <w:bottom w:val="none" w:sz="0" w:space="0" w:color="auto"/>
        <w:right w:val="none" w:sz="0" w:space="0" w:color="auto"/>
      </w:divBdr>
    </w:div>
    <w:div w:id="771514883">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FAE79-1DFA-4030-BF7D-EEA285CBDEC0}">
  <ds:schemaRefs>
    <ds:schemaRef ds:uri="http://schemas.openxmlformats.org/officeDocument/2006/bibliography"/>
  </ds:schemaRefs>
</ds:datastoreItem>
</file>

<file path=customXml/itemProps2.xml><?xml version="1.0" encoding="utf-8"?>
<ds:datastoreItem xmlns:ds="http://schemas.openxmlformats.org/officeDocument/2006/customXml" ds:itemID="{3E1A3EA3-A131-4B7C-BA0E-86092FD8477E}"/>
</file>

<file path=customXml/itemProps3.xml><?xml version="1.0" encoding="utf-8"?>
<ds:datastoreItem xmlns:ds="http://schemas.openxmlformats.org/officeDocument/2006/customXml" ds:itemID="{EEE6F818-A50C-4C58-81BD-8BD600F24DB7}"/>
</file>

<file path=customXml/itemProps4.xml><?xml version="1.0" encoding="utf-8"?>
<ds:datastoreItem xmlns:ds="http://schemas.openxmlformats.org/officeDocument/2006/customXml" ds:itemID="{78CC7AE6-BC8A-48A8-A5EF-5E752E82409C}"/>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3720</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2022-08-03T19:00:00Z</dcterms:created>
  <dcterms:modified xsi:type="dcterms:W3CDTF">2022-08-10T20:23:00Z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