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A47" w:rsidRPr="00173A47" w:rsidRDefault="00173A47">
      <w:r w:rsidRPr="00173A47">
        <w:t>DG COMP</w:t>
      </w:r>
    </w:p>
    <w:p w:rsidR="00173A47" w:rsidRDefault="00417F3F">
      <w:hyperlink r:id="rId8" w:history="1">
        <w:r w:rsidR="00173A47" w:rsidRPr="003B1E17">
          <w:rPr>
            <w:rStyle w:val="Hyperlink"/>
          </w:rPr>
          <w:t>http://ec.europa.eu/competition/sectors/transport/instruments_en.html</w:t>
        </w:r>
      </w:hyperlink>
    </w:p>
    <w:p w:rsidR="00173A47" w:rsidRDefault="00173A47" w:rsidP="00173A47">
      <w:pPr>
        <w:pStyle w:val="IntenseQuote"/>
      </w:pPr>
    </w:p>
    <w:p w:rsidR="00173A47" w:rsidRDefault="00173A47" w:rsidP="00173A47">
      <w:pPr>
        <w:pStyle w:val="IntenseQuote"/>
      </w:pPr>
      <w:r>
        <w:t>Antitrust</w:t>
      </w:r>
    </w:p>
    <w:p w:rsidR="00173A47" w:rsidRDefault="00173A47" w:rsidP="00173A47">
      <w:r>
        <w:t xml:space="preserve"> In recent years, as more transport markets have been liberalised, a key objective of competition policy has been to bring transport within the generally applicable competition law framework. </w:t>
      </w:r>
    </w:p>
    <w:p w:rsidR="00663168" w:rsidRDefault="00173A47" w:rsidP="00173A47">
      <w:r w:rsidRPr="00173A47">
        <w:rPr>
          <w:highlight w:val="yellow"/>
        </w:rPr>
        <w:t>Council Regulation No 1/2003</w:t>
      </w:r>
      <w:r>
        <w:t xml:space="preserve">, </w:t>
      </w:r>
      <w:hyperlink r:id="rId9" w:history="1">
        <w:r w:rsidR="00BA02D0" w:rsidRPr="003B1E17">
          <w:rPr>
            <w:rStyle w:val="Hyperlink"/>
          </w:rPr>
          <w:t>http://eur-lex.europa.eu/LexUriServ/LexUriServ.do?uri=CELEX:32003R0001:EN:NOT</w:t>
        </w:r>
      </w:hyperlink>
    </w:p>
    <w:p w:rsidR="00173A47" w:rsidRDefault="00BA02D0" w:rsidP="00173A47">
      <w:r>
        <w:t xml:space="preserve"> </w:t>
      </w:r>
      <w:r w:rsidR="00173A47">
        <w:t xml:space="preserve">which defines the extent of the Commission's investigative and enforcement powers, now covers the </w:t>
      </w:r>
      <w:r w:rsidR="00173A47" w:rsidRPr="00173A47">
        <w:rPr>
          <w:b/>
          <w:bCs/>
        </w:rPr>
        <w:t>implementation of the competition rules for all transport activities</w:t>
      </w:r>
      <w:r w:rsidR="00173A47">
        <w:t>.</w:t>
      </w:r>
    </w:p>
    <w:p w:rsidR="00173A47" w:rsidRDefault="00173A47" w:rsidP="00173A47"/>
    <w:p w:rsidR="00173A47" w:rsidRDefault="00173A47" w:rsidP="00173A47">
      <w:pPr>
        <w:pStyle w:val="IntenseQuote"/>
      </w:pPr>
      <w:r>
        <w:t>Merger control</w:t>
      </w:r>
    </w:p>
    <w:p w:rsidR="00173A47" w:rsidRDefault="00173A47" w:rsidP="00173A47">
      <w:r w:rsidRPr="00173A47">
        <w:rPr>
          <w:b/>
          <w:bCs/>
          <w:u w:val="single"/>
        </w:rPr>
        <w:t>Mergers and acquisitions with a European dimension</w:t>
      </w:r>
      <w:r>
        <w:t xml:space="preserve"> are reviewed under the Merger Regulation in order to ensure that effective competition in transport markets in the EU is not impeded.</w:t>
      </w:r>
    </w:p>
    <w:p w:rsidR="00173A47" w:rsidRDefault="00173A47" w:rsidP="00173A47">
      <w:r>
        <w:t xml:space="preserve">Air transport mergers have been </w:t>
      </w:r>
      <w:r w:rsidRPr="00173A47">
        <w:rPr>
          <w:b/>
          <w:bCs/>
        </w:rPr>
        <w:t>a particular focus in recent years</w:t>
      </w:r>
      <w:r>
        <w:t>, in light of the ongoing industry consolidation (see for instance the mergers British Airways/Iberia, United Airlines/Continental and US Airways/American Airlines).</w:t>
      </w:r>
    </w:p>
    <w:p w:rsidR="00173A47" w:rsidRDefault="00173A47" w:rsidP="00173A47">
      <w:r>
        <w:t xml:space="preserve">In October 2013, the Commission approved the acquisition of Olympic Air by Aegean Airlines. </w:t>
      </w:r>
    </w:p>
    <w:p w:rsidR="00173A47" w:rsidRDefault="00173A47" w:rsidP="00173A47"/>
    <w:p w:rsidR="00173A47" w:rsidRDefault="00173A47" w:rsidP="00173A47">
      <w:pPr>
        <w:pStyle w:val="IntenseQuote"/>
      </w:pPr>
      <w:r>
        <w:t xml:space="preserve">State </w:t>
      </w:r>
      <w:r w:rsidRPr="00173A47">
        <w:t>aid</w:t>
      </w:r>
    </w:p>
    <w:p w:rsidR="00173A47" w:rsidRDefault="00173A47" w:rsidP="00173A47">
      <w:r>
        <w:t xml:space="preserve"> The number of state aid notifications has been increasing, partly due to the economic downturn. </w:t>
      </w:r>
    </w:p>
    <w:p w:rsidR="00173A47" w:rsidRDefault="00173A47" w:rsidP="00173A47">
      <w:r>
        <w:t xml:space="preserve">Many of the general state aid rules are applicable to the transport sector (for example, the general block exemption Regulation, the de </w:t>
      </w:r>
      <w:proofErr w:type="spellStart"/>
      <w:r>
        <w:t>minimis</w:t>
      </w:r>
      <w:proofErr w:type="spellEnd"/>
      <w:r>
        <w:t xml:space="preserve"> Regulation and others). There are however specific </w:t>
      </w:r>
      <w:proofErr w:type="spellStart"/>
      <w:r>
        <w:t>sectoral</w:t>
      </w:r>
      <w:proofErr w:type="spellEnd"/>
      <w:r>
        <w:t xml:space="preserve"> rules on state aid granted to the transport sector.</w:t>
      </w:r>
    </w:p>
    <w:p w:rsidR="00173A47" w:rsidRDefault="00173A47" w:rsidP="00173A47">
      <w:r>
        <w:t>Aviation</w:t>
      </w:r>
    </w:p>
    <w:p w:rsidR="00173A47" w:rsidRDefault="00173A47" w:rsidP="00173A47">
      <w:r>
        <w:t xml:space="preserve"> The air transport market has evolved dramatically in recent years. Low-cost carriers have developed new and comprehensive business models linked to regional airports and have gained substantial market share. In a recent landmark ruling in the Leipzig Halle airport case, the General Court confirmed that airport infrastructure construction is part of the economic activity of operating an airport and that State </w:t>
      </w:r>
      <w:r>
        <w:lastRenderedPageBreak/>
        <w:t xml:space="preserve">financing of it is State aid, except when it is for infrastructure used to perform public interest tasks such as security, air traffic control, police and customs. However, the General Court in December 2008 also annulled the Commission's decision in the </w:t>
      </w:r>
      <w:proofErr w:type="spellStart"/>
      <w:r>
        <w:t>Ryanair</w:t>
      </w:r>
      <w:proofErr w:type="spellEnd"/>
      <w:r>
        <w:t xml:space="preserve">-Charleroi case. The Commission has a significant number of complaints and on-going investigations related to these issues. </w:t>
      </w:r>
    </w:p>
    <w:p w:rsidR="00173A47" w:rsidRDefault="00173A47" w:rsidP="00173A47">
      <w:r w:rsidRPr="00173A47">
        <w:rPr>
          <w:b/>
          <w:bCs/>
        </w:rPr>
        <w:t xml:space="preserve">The Commission is </w:t>
      </w:r>
      <w:r w:rsidRPr="00173A47">
        <w:rPr>
          <w:b/>
          <w:bCs/>
          <w:u w:val="single"/>
        </w:rPr>
        <w:t>currently revising the Guidelines on financing of airports and start-up aid to airlines departing from regional airports</w:t>
      </w:r>
      <w:r w:rsidRPr="00173A47">
        <w:rPr>
          <w:u w:val="single"/>
        </w:rPr>
        <w:t xml:space="preserve"> </w:t>
      </w:r>
      <w:r>
        <w:t xml:space="preserve">("State aid aviation guidelines"). Two consultations have taken place in  2011 and 2013. </w:t>
      </w:r>
    </w:p>
    <w:p w:rsidR="00173A47" w:rsidRDefault="00173A47" w:rsidP="00173A47"/>
    <w:p w:rsidR="00173A47" w:rsidRDefault="00173A47">
      <w:pPr>
        <w:rPr>
          <w:highlight w:val="yellow"/>
        </w:rPr>
      </w:pPr>
    </w:p>
    <w:p w:rsidR="00173A47" w:rsidRDefault="00173A47">
      <w:pPr>
        <w:rPr>
          <w:highlight w:val="yellow"/>
        </w:rPr>
      </w:pPr>
    </w:p>
    <w:p w:rsidR="00173A47" w:rsidRDefault="00173A47">
      <w:r w:rsidRPr="00173A47">
        <w:rPr>
          <w:highlight w:val="yellow"/>
        </w:rPr>
        <w:t>Bilateral relations on competition issues</w:t>
      </w:r>
    </w:p>
    <w:p w:rsidR="00173A47" w:rsidRDefault="00417F3F">
      <w:hyperlink r:id="rId10" w:history="1">
        <w:r w:rsidR="00173A47" w:rsidRPr="003B1E17">
          <w:rPr>
            <w:rStyle w:val="Hyperlink"/>
          </w:rPr>
          <w:t>http://ec.europa.eu/competition/international/bilateral/index.html</w:t>
        </w:r>
      </w:hyperlink>
    </w:p>
    <w:p w:rsidR="00173A47" w:rsidRDefault="00173A47">
      <w:r w:rsidRPr="00173A47">
        <w:rPr>
          <w:highlight w:val="yellow"/>
        </w:rPr>
        <w:t>Multilateral cooperation on competition policy</w:t>
      </w:r>
    </w:p>
    <w:p w:rsidR="00173A47" w:rsidRDefault="00417F3F">
      <w:hyperlink r:id="rId11" w:history="1">
        <w:r w:rsidR="00173A47" w:rsidRPr="003B1E17">
          <w:rPr>
            <w:rStyle w:val="Hyperlink"/>
          </w:rPr>
          <w:t>http://ec.europa.eu/competition/international/multilateral/</w:t>
        </w:r>
      </w:hyperlink>
    </w:p>
    <w:p w:rsidR="00173A47" w:rsidRDefault="00173A47" w:rsidP="00173A47">
      <w:r>
        <w:t xml:space="preserve">•European Economic Area (EEA) </w:t>
      </w:r>
    </w:p>
    <w:p w:rsidR="00173A47" w:rsidRDefault="00173A47" w:rsidP="00173A47">
      <w:r>
        <w:t xml:space="preserve">•International Competition Network (ICN) </w:t>
      </w:r>
    </w:p>
    <w:p w:rsidR="00173A47" w:rsidRDefault="00173A47" w:rsidP="00173A47">
      <w:r>
        <w:t xml:space="preserve">•Organisation of Economic cooperation and Development (OECD) </w:t>
      </w:r>
    </w:p>
    <w:p w:rsidR="00173A47" w:rsidRDefault="00173A47" w:rsidP="00173A47">
      <w:r>
        <w:t xml:space="preserve">•United Nations Conference on Trade and Development (UNCTAD) </w:t>
      </w:r>
    </w:p>
    <w:p w:rsidR="00173A47" w:rsidRDefault="00173A47" w:rsidP="00173A47">
      <w:r>
        <w:t>•World Trade Organisation (WTO)</w:t>
      </w:r>
    </w:p>
    <w:p w:rsidR="008D3E5A" w:rsidRDefault="00173A47">
      <w:r w:rsidRPr="00173A47">
        <w:rPr>
          <w:highlight w:val="yellow"/>
        </w:rPr>
        <w:t>Provisions on international relations in EU competition policy</w:t>
      </w:r>
    </w:p>
    <w:p w:rsidR="00173A47" w:rsidRDefault="00417F3F">
      <w:hyperlink r:id="rId12" w:history="1">
        <w:r w:rsidR="00173A47" w:rsidRPr="003B1E17">
          <w:rPr>
            <w:rStyle w:val="Hyperlink"/>
          </w:rPr>
          <w:t>http://ec.europa.eu/competition/international/legislation/legislation.html</w:t>
        </w:r>
      </w:hyperlink>
    </w:p>
    <w:p w:rsidR="00173A47" w:rsidRDefault="00173A47" w:rsidP="00173A47">
      <w:r>
        <w:t>I. European Common aviation area (ECAA)</w:t>
      </w:r>
    </w:p>
    <w:p w:rsidR="00173A47" w:rsidRDefault="00173A47" w:rsidP="00173A47">
      <w:r>
        <w:t xml:space="preserve">II. Bilateral Agreements with Candidate Countries and Western Balkan Countries Candidate countries (Croatia, Turkey and Former Yugoslav Republic of Macedonia) Western Balkan Countries (Albania, Montenegro) </w:t>
      </w:r>
    </w:p>
    <w:p w:rsidR="00173A47" w:rsidRDefault="00173A47" w:rsidP="00173A47">
      <w:r>
        <w:t>III. Dedicated competition cooperation agreements</w:t>
      </w:r>
    </w:p>
    <w:p w:rsidR="00173A47" w:rsidRDefault="00173A47" w:rsidP="00173A47">
      <w:r>
        <w:t xml:space="preserve">IV. Other bilateral agreements </w:t>
      </w:r>
    </w:p>
    <w:p w:rsidR="00A042BE" w:rsidRPr="00417F3F" w:rsidRDefault="00173A47" w:rsidP="00417F3F">
      <w:r>
        <w:t>V. Multilateral texts</w:t>
      </w:r>
    </w:p>
    <w:p w:rsidR="00A042BE" w:rsidRPr="002141FE" w:rsidRDefault="00A042BE" w:rsidP="00417F3F">
      <w:pPr>
        <w:pStyle w:val="ListParagraph"/>
        <w:numPr>
          <w:ilvl w:val="0"/>
          <w:numId w:val="1"/>
        </w:numPr>
        <w:rPr>
          <w:rFonts w:ascii="Cambria" w:hAnsi="Cambria"/>
          <w:lang w:val="en-US"/>
        </w:rPr>
      </w:pPr>
      <w:r w:rsidRPr="002141FE">
        <w:rPr>
          <w:rFonts w:ascii="Cambria" w:hAnsi="Cambria"/>
          <w:lang w:val="en-US"/>
        </w:rPr>
        <w:t>Status of aviation relations by country</w:t>
      </w:r>
      <w:r w:rsidR="00417F3F">
        <w:rPr>
          <w:rFonts w:ascii="Cambria" w:hAnsi="Cambria"/>
          <w:lang w:val="en-US"/>
        </w:rPr>
        <w:t xml:space="preserve"> </w:t>
      </w:r>
    </w:p>
    <w:p w:rsidR="00417F3F" w:rsidRDefault="00417F3F" w:rsidP="00A042BE">
      <w:pPr>
        <w:rPr>
          <w:rFonts w:ascii="Cambria" w:hAnsi="Cambria"/>
          <w:lang w:val="en-US"/>
        </w:rPr>
      </w:pPr>
    </w:p>
    <w:p w:rsidR="00A042BE" w:rsidRDefault="00A042BE" w:rsidP="00A042BE">
      <w:pPr>
        <w:rPr>
          <w:rFonts w:ascii="Cambria" w:hAnsi="Cambria"/>
          <w:lang w:val="en-US"/>
        </w:rPr>
      </w:pPr>
      <w:r w:rsidRPr="002141FE">
        <w:rPr>
          <w:rFonts w:ascii="Cambria" w:hAnsi="Cambria"/>
          <w:lang w:val="en-US"/>
        </w:rPr>
        <w:t>A list of countries with which the European Communities have an agreement related to air transport (a "horizontal" or "comprehensive" agreement) or with which such an agreement is currently under negotiation.</w:t>
      </w:r>
      <w:r>
        <w:rPr>
          <w:rFonts w:ascii="Cambria" w:hAnsi="Cambria"/>
          <w:lang w:val="en-US"/>
        </w:rPr>
        <w:t xml:space="preserve"> </w:t>
      </w:r>
    </w:p>
    <w:p w:rsidR="00A042BE" w:rsidRDefault="00A042BE" w:rsidP="00417F3F">
      <w:pPr>
        <w:rPr>
          <w:rFonts w:ascii="Cambria" w:hAnsi="Cambria"/>
          <w:lang w:val="en-US"/>
        </w:rPr>
      </w:pPr>
      <w:r>
        <w:rPr>
          <w:rFonts w:ascii="Cambria" w:hAnsi="Cambria"/>
          <w:lang w:val="en-US"/>
        </w:rPr>
        <w:t xml:space="preserve">Only Open Skies agreements and few others include provisions related to competition. </w:t>
      </w:r>
    </w:p>
    <w:p w:rsidR="00A042BE" w:rsidRDefault="00A042BE" w:rsidP="00A042BE">
      <w:pPr>
        <w:rPr>
          <w:rFonts w:ascii="Cambria" w:hAnsi="Cambria"/>
          <w:lang w:val="en-US"/>
        </w:rPr>
      </w:pPr>
      <w:hyperlink r:id="rId13" w:history="1">
        <w:r w:rsidRPr="00F37B8C">
          <w:rPr>
            <w:rStyle w:val="Hyperlink"/>
            <w:rFonts w:ascii="Cambria" w:hAnsi="Cambria"/>
            <w:lang w:val="en-US"/>
          </w:rPr>
          <w:t>http://ec.europa.eu/transport/modes/air/international_aviation/country_index/index_en.htm</w:t>
        </w:r>
      </w:hyperlink>
      <w:r>
        <w:rPr>
          <w:rFonts w:ascii="Cambria" w:hAnsi="Cambria"/>
          <w:lang w:val="en-US"/>
        </w:rPr>
        <w:t xml:space="preserve"> </w:t>
      </w:r>
    </w:p>
    <w:p w:rsidR="00417F3F" w:rsidRDefault="00417F3F" w:rsidP="00A042BE">
      <w:pPr>
        <w:rPr>
          <w:rFonts w:ascii="Cambria" w:hAnsi="Cambria"/>
          <w:lang w:val="en-US"/>
        </w:rPr>
      </w:pPr>
      <w:r>
        <w:rPr>
          <w:rFonts w:ascii="Cambria" w:hAnsi="Cambria"/>
          <w:lang w:val="en-US"/>
        </w:rPr>
        <w:t>TO CORRELATE WITH :</w:t>
      </w:r>
      <w:bookmarkStart w:id="0" w:name="_GoBack"/>
      <w:bookmarkEnd w:id="0"/>
    </w:p>
    <w:p w:rsidR="00417F3F" w:rsidRPr="002141FE" w:rsidRDefault="00417F3F" w:rsidP="00417F3F">
      <w:pPr>
        <w:pStyle w:val="ListParagraph"/>
        <w:numPr>
          <w:ilvl w:val="0"/>
          <w:numId w:val="2"/>
        </w:numPr>
        <w:rPr>
          <w:rFonts w:ascii="Cambria" w:hAnsi="Cambria"/>
          <w:lang w:val="en-US"/>
        </w:rPr>
      </w:pPr>
      <w:r>
        <w:rPr>
          <w:rFonts w:ascii="Cambria" w:hAnsi="Cambria"/>
          <w:lang w:val="en-US"/>
        </w:rPr>
        <w:t xml:space="preserve">See EU </w:t>
      </w:r>
      <w:r w:rsidRPr="002141FE">
        <w:rPr>
          <w:rFonts w:ascii="Cambria" w:hAnsi="Cambria"/>
          <w:lang w:val="en-US"/>
        </w:rPr>
        <w:t>Bilateral relations on competition issues</w:t>
      </w:r>
    </w:p>
    <w:p w:rsidR="00417F3F" w:rsidRDefault="00417F3F" w:rsidP="00417F3F">
      <w:pPr>
        <w:rPr>
          <w:rFonts w:ascii="Cambria" w:hAnsi="Cambria"/>
          <w:lang w:val="en-US"/>
        </w:rPr>
      </w:pPr>
      <w:hyperlink r:id="rId14" w:history="1">
        <w:r w:rsidRPr="00F37B8C">
          <w:rPr>
            <w:rStyle w:val="Hyperlink"/>
            <w:rFonts w:ascii="Cambria" w:hAnsi="Cambria"/>
            <w:lang w:val="en-US"/>
          </w:rPr>
          <w:t>http://ec.europa.eu/com</w:t>
        </w:r>
        <w:r w:rsidRPr="00F37B8C">
          <w:rPr>
            <w:rStyle w:val="Hyperlink"/>
            <w:rFonts w:ascii="Cambria" w:hAnsi="Cambria"/>
            <w:lang w:val="en-US"/>
          </w:rPr>
          <w:t>petition/international/bilateral/index.html</w:t>
        </w:r>
      </w:hyperlink>
      <w:r>
        <w:rPr>
          <w:rFonts w:ascii="Cambria" w:hAnsi="Cambria"/>
          <w:lang w:val="en-US"/>
        </w:rPr>
        <w:t xml:space="preserve"> </w:t>
      </w:r>
    </w:p>
    <w:p w:rsidR="00417F3F" w:rsidRPr="002141FE" w:rsidRDefault="00417F3F" w:rsidP="00A042BE">
      <w:pPr>
        <w:rPr>
          <w:rFonts w:ascii="Cambria" w:hAnsi="Cambria"/>
          <w:lang w:val="en-US"/>
        </w:rPr>
      </w:pPr>
    </w:p>
    <w:p w:rsidR="00173A47" w:rsidRPr="00A042BE" w:rsidRDefault="00173A47" w:rsidP="00173A47">
      <w:pPr>
        <w:rPr>
          <w:lang w:val="en-US"/>
        </w:rPr>
      </w:pPr>
    </w:p>
    <w:p w:rsidR="00173A47" w:rsidRDefault="00173A47" w:rsidP="00173A47"/>
    <w:sectPr w:rsidR="00173A4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2BE" w:rsidRDefault="00A042BE" w:rsidP="00A042BE">
      <w:pPr>
        <w:spacing w:after="0" w:line="240" w:lineRule="auto"/>
      </w:pPr>
      <w:r>
        <w:separator/>
      </w:r>
    </w:p>
  </w:endnote>
  <w:endnote w:type="continuationSeparator" w:id="0">
    <w:p w:rsidR="00A042BE" w:rsidRDefault="00A042BE" w:rsidP="00A0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2BE" w:rsidRDefault="00A042BE" w:rsidP="00A042BE">
      <w:pPr>
        <w:spacing w:after="0" w:line="240" w:lineRule="auto"/>
      </w:pPr>
      <w:r>
        <w:separator/>
      </w:r>
    </w:p>
  </w:footnote>
  <w:footnote w:type="continuationSeparator" w:id="0">
    <w:p w:rsidR="00A042BE" w:rsidRDefault="00A042BE" w:rsidP="00A042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35F07"/>
    <w:multiLevelType w:val="hybridMultilevel"/>
    <w:tmpl w:val="B41AD822"/>
    <w:lvl w:ilvl="0" w:tplc="76D09DF8">
      <w:start w:val="4"/>
      <w:numFmt w:val="bullet"/>
      <w:lvlText w:val=""/>
      <w:lvlJc w:val="left"/>
      <w:pPr>
        <w:ind w:left="720" w:hanging="360"/>
      </w:pPr>
      <w:rPr>
        <w:rFonts w:ascii="Wingdings" w:eastAsiaTheme="minorEastAsia" w:hAnsi="Wingdings" w:cstheme="minorBidi" w:hint="default"/>
        <w:b/>
        <w:bCs/>
        <w:color w:val="000000" w:themeColor="text1"/>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3F43529"/>
    <w:multiLevelType w:val="hybridMultilevel"/>
    <w:tmpl w:val="0470779C"/>
    <w:lvl w:ilvl="0" w:tplc="76D09DF8">
      <w:start w:val="4"/>
      <w:numFmt w:val="bullet"/>
      <w:lvlText w:val=""/>
      <w:lvlJc w:val="left"/>
      <w:pPr>
        <w:ind w:left="720" w:hanging="360"/>
      </w:pPr>
      <w:rPr>
        <w:rFonts w:ascii="Wingdings" w:eastAsiaTheme="minorEastAsia" w:hAnsi="Wingdings" w:cstheme="minorBidi" w:hint="default"/>
        <w:b/>
        <w:bCs/>
        <w:color w:val="000000" w:themeColor="text1"/>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A47"/>
    <w:rsid w:val="00173A47"/>
    <w:rsid w:val="00417F3F"/>
    <w:rsid w:val="00663168"/>
    <w:rsid w:val="008D3E5A"/>
    <w:rsid w:val="00A042BE"/>
    <w:rsid w:val="00BA02D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A47"/>
    <w:rPr>
      <w:color w:val="0000FF" w:themeColor="hyperlink"/>
      <w:u w:val="single"/>
    </w:rPr>
  </w:style>
  <w:style w:type="paragraph" w:styleId="IntenseQuote">
    <w:name w:val="Intense Quote"/>
    <w:basedOn w:val="Normal"/>
    <w:next w:val="Normal"/>
    <w:link w:val="IntenseQuoteChar"/>
    <w:uiPriority w:val="30"/>
    <w:qFormat/>
    <w:rsid w:val="00173A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3A47"/>
    <w:rPr>
      <w:b/>
      <w:bCs/>
      <w:i/>
      <w:iCs/>
      <w:color w:val="4F81BD" w:themeColor="accent1"/>
    </w:rPr>
  </w:style>
  <w:style w:type="paragraph" w:styleId="Header">
    <w:name w:val="header"/>
    <w:basedOn w:val="Normal"/>
    <w:link w:val="HeaderChar"/>
    <w:uiPriority w:val="99"/>
    <w:unhideWhenUsed/>
    <w:rsid w:val="00A04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2BE"/>
  </w:style>
  <w:style w:type="paragraph" w:styleId="Footer">
    <w:name w:val="footer"/>
    <w:basedOn w:val="Normal"/>
    <w:link w:val="FooterChar"/>
    <w:uiPriority w:val="99"/>
    <w:unhideWhenUsed/>
    <w:rsid w:val="00A04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2BE"/>
  </w:style>
  <w:style w:type="paragraph" w:styleId="ListParagraph">
    <w:name w:val="List Paragraph"/>
    <w:basedOn w:val="Normal"/>
    <w:uiPriority w:val="34"/>
    <w:qFormat/>
    <w:rsid w:val="00A042BE"/>
    <w:pPr>
      <w:spacing w:after="0" w:line="240" w:lineRule="auto"/>
      <w:ind w:left="720"/>
      <w:contextualSpacing/>
    </w:pPr>
    <w:rPr>
      <w:sz w:val="24"/>
      <w:szCs w:val="24"/>
      <w:lang w:val="fr-FR" w:eastAsia="en-US"/>
    </w:rPr>
  </w:style>
  <w:style w:type="character" w:styleId="FollowedHyperlink">
    <w:name w:val="FollowedHyperlink"/>
    <w:basedOn w:val="DefaultParagraphFont"/>
    <w:uiPriority w:val="99"/>
    <w:semiHidden/>
    <w:unhideWhenUsed/>
    <w:rsid w:val="00A042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A47"/>
    <w:rPr>
      <w:color w:val="0000FF" w:themeColor="hyperlink"/>
      <w:u w:val="single"/>
    </w:rPr>
  </w:style>
  <w:style w:type="paragraph" w:styleId="IntenseQuote">
    <w:name w:val="Intense Quote"/>
    <w:basedOn w:val="Normal"/>
    <w:next w:val="Normal"/>
    <w:link w:val="IntenseQuoteChar"/>
    <w:uiPriority w:val="30"/>
    <w:qFormat/>
    <w:rsid w:val="00173A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3A47"/>
    <w:rPr>
      <w:b/>
      <w:bCs/>
      <w:i/>
      <w:iCs/>
      <w:color w:val="4F81BD" w:themeColor="accent1"/>
    </w:rPr>
  </w:style>
  <w:style w:type="paragraph" w:styleId="Header">
    <w:name w:val="header"/>
    <w:basedOn w:val="Normal"/>
    <w:link w:val="HeaderChar"/>
    <w:uiPriority w:val="99"/>
    <w:unhideWhenUsed/>
    <w:rsid w:val="00A04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2BE"/>
  </w:style>
  <w:style w:type="paragraph" w:styleId="Footer">
    <w:name w:val="footer"/>
    <w:basedOn w:val="Normal"/>
    <w:link w:val="FooterChar"/>
    <w:uiPriority w:val="99"/>
    <w:unhideWhenUsed/>
    <w:rsid w:val="00A04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2BE"/>
  </w:style>
  <w:style w:type="paragraph" w:styleId="ListParagraph">
    <w:name w:val="List Paragraph"/>
    <w:basedOn w:val="Normal"/>
    <w:uiPriority w:val="34"/>
    <w:qFormat/>
    <w:rsid w:val="00A042BE"/>
    <w:pPr>
      <w:spacing w:after="0" w:line="240" w:lineRule="auto"/>
      <w:ind w:left="720"/>
      <w:contextualSpacing/>
    </w:pPr>
    <w:rPr>
      <w:sz w:val="24"/>
      <w:szCs w:val="24"/>
      <w:lang w:val="fr-FR" w:eastAsia="en-US"/>
    </w:rPr>
  </w:style>
  <w:style w:type="character" w:styleId="FollowedHyperlink">
    <w:name w:val="FollowedHyperlink"/>
    <w:basedOn w:val="DefaultParagraphFont"/>
    <w:uiPriority w:val="99"/>
    <w:semiHidden/>
    <w:unhideWhenUsed/>
    <w:rsid w:val="00A042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competition/sectors/transport/instruments_en.html" TargetMode="External"/><Relationship Id="rId13" Type="http://schemas.openxmlformats.org/officeDocument/2006/relationships/hyperlink" Target="http://ec.europa.eu/transport/modes/air/international_aviation/country_index/index_en.htm" TargetMode="Externa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c.europa.eu/competition/international/legislation/legislation.html"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europa.eu/competition/international/multilater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competition/international/bilateral/index.html"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eur-lex.europa.eu/LexUriServ/LexUriServ.do?uri=CELEX:32003R0001:EN:NOT" TargetMode="External"/><Relationship Id="rId14" Type="http://schemas.openxmlformats.org/officeDocument/2006/relationships/hyperlink" Target="http://ec.europa.eu/competition/international/bilatera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etings xmlns="0398b90b-68f4-4d17-b8e5-fb5b03fe9925" xsi:nil="true"/>
    <PublishingExpirationDate xmlns="http://schemas.microsoft.com/sharepoint/v3" xsi:nil="true"/>
    <PublishingStartDate xmlns="http://schemas.microsoft.com/sharepoint/v3" xsi:nil="true"/>
    <JointFinancing xmlns="0398b90b-68f4-4d17-b8e5-fb5b03fe99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5EBD8931297047A4AD05CB5DE3F76F" ma:contentTypeVersion="3" ma:contentTypeDescription="Create a new document." ma:contentTypeScope="" ma:versionID="37a66bac3fd89e1c1ddc2e530e4da030">
  <xsd:schema xmlns:xsd="http://www.w3.org/2001/XMLSchema" xmlns:xs="http://www.w3.org/2001/XMLSchema" xmlns:p="http://schemas.microsoft.com/office/2006/metadata/properties" xmlns:ns1="http://schemas.microsoft.com/sharepoint/v3" xmlns:ns2="0398b90b-68f4-4d17-b8e5-fb5b03fe9925" targetNamespace="http://schemas.microsoft.com/office/2006/metadata/properties" ma:root="true" ma:fieldsID="6c3b2e0e8d880117f6fd3edb2cb183b7" ns1:_="" ns2:_="">
    <xsd:import namespace="http://schemas.microsoft.com/sharepoint/v3"/>
    <xsd:import namespace="0398b90b-68f4-4d17-b8e5-fb5b03fe9925"/>
    <xsd:element name="properties">
      <xsd:complexType>
        <xsd:sequence>
          <xsd:element name="documentManagement">
            <xsd:complexType>
              <xsd:all>
                <xsd:element ref="ns1:PublishingStartDate" minOccurs="0"/>
                <xsd:element ref="ns1:PublishingExpirationDate" minOccurs="0"/>
                <xsd:element ref="ns2:JointFinancing" minOccurs="0"/>
                <xsd:element ref="ns2:Meet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98b90b-68f4-4d17-b8e5-fb5b03fe9925" elementFormDefault="qualified">
    <xsd:import namespace="http://schemas.microsoft.com/office/2006/documentManagement/types"/>
    <xsd:import namespace="http://schemas.microsoft.com/office/infopath/2007/PartnerControls"/>
    <xsd:element name="JointFinancing" ma:index="10" nillable="true" ma:displayName="JointFinancing" ma:format="Dropdown" ma:internalName="JointFinancing">
      <xsd:simpleType>
        <xsd:restriction base="dms:Choice">
          <xsd:enumeration value="General"/>
          <xsd:enumeration value="Memos"/>
          <xsd:enumeration value="Reports"/>
          <xsd:enumeration value="Meetings"/>
        </xsd:restriction>
      </xsd:simpleType>
    </xsd:element>
    <xsd:element name="Meetings" ma:index="11" nillable="true" ma:displayName="Meetings" ma:format="Dropdown" ma:internalName="Meetings">
      <xsd:simpleType>
        <xsd:restriction base="dms:Choice">
          <xsd:enumeration value="Scrag1"/>
          <xsd:enumeration value="Scrag2"/>
          <xsd:enumeration value="Scrag3"/>
          <xsd:enumeration value="Scrag4"/>
          <xsd:enumeration value="Scrag5"/>
          <xsd:enumeration value="Scrag6"/>
          <xsd:enumeration value="Scrag7"/>
          <xsd:enumeration value="Scrag8"/>
          <xsd:enumeration value="Scrag9"/>
          <xsd:enumeration value="Scrag10"/>
          <xsd:enumeration value="Scrag11"/>
          <xsd:enumeration value="Scrag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FBB47-E0F7-4DE8-9ABD-AE0E89F5E489}"/>
</file>

<file path=customXml/itemProps2.xml><?xml version="1.0" encoding="utf-8"?>
<ds:datastoreItem xmlns:ds="http://schemas.openxmlformats.org/officeDocument/2006/customXml" ds:itemID="{331721B9-DC94-405F-8EAA-58EFA16B4D6C}"/>
</file>

<file path=customXml/itemProps3.xml><?xml version="1.0" encoding="utf-8"?>
<ds:datastoreItem xmlns:ds="http://schemas.openxmlformats.org/officeDocument/2006/customXml" ds:itemID="{0A41BBCC-8310-490C-A725-DD7CC3FC263B}"/>
</file>

<file path=docProps/app.xml><?xml version="1.0" encoding="utf-8"?>
<Properties xmlns="http://schemas.openxmlformats.org/officeDocument/2006/extended-properties" xmlns:vt="http://schemas.openxmlformats.org/officeDocument/2006/docPropsVTypes">
  <Template>Normal.dotm</Template>
  <TotalTime>64</TotalTime>
  <Pages>3</Pages>
  <Words>501</Words>
  <Characters>3466</Characters>
  <Application>Microsoft Office Word</Application>
  <DocSecurity>0</DocSecurity>
  <Lines>69</Lines>
  <Paragraphs>39</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Hiriart, Marion</dc:creator>
  <cp:lastModifiedBy>Hiriart, Marion</cp:lastModifiedBy>
  <cp:revision>2</cp:revision>
  <dcterms:created xsi:type="dcterms:W3CDTF">2014-01-21T21:38:00Z</dcterms:created>
  <dcterms:modified xsi:type="dcterms:W3CDTF">2014-01-27T23:08:00Z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0x010100225EBD8931297047A4AD05CB5DE3F76F</vt:lpwstr>
  </property>
</Properties>
</file>