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4E" w:rsidRDefault="004029D4" w:rsidP="009F7D77">
      <w:pPr>
        <w:pStyle w:val="Title"/>
        <w:rPr>
          <w:lang w:val="en-US"/>
        </w:rPr>
      </w:pPr>
      <w:r>
        <w:rPr>
          <w:lang w:val="en-US"/>
        </w:rPr>
        <w:t xml:space="preserve">China </w:t>
      </w:r>
    </w:p>
    <w:p w:rsidR="004029D4" w:rsidRDefault="004029D4" w:rsidP="00F75FA4">
      <w:pPr>
        <w:pStyle w:val="Heading1"/>
        <w:rPr>
          <w:lang w:val="en-US"/>
        </w:rPr>
      </w:pPr>
      <w:r>
        <w:rPr>
          <w:lang w:val="en-US"/>
        </w:rPr>
        <w:t xml:space="preserve">General competition law applied to air transport </w:t>
      </w:r>
    </w:p>
    <w:p w:rsidR="00F75FA4" w:rsidRDefault="00F75FA4">
      <w:pPr>
        <w:rPr>
          <w:lang w:val="en-US"/>
        </w:rPr>
      </w:pPr>
    </w:p>
    <w:p w:rsidR="004029D4" w:rsidRDefault="004029D4">
      <w:pPr>
        <w:rPr>
          <w:lang w:val="en-US"/>
        </w:rPr>
      </w:pPr>
      <w:r>
        <w:rPr>
          <w:lang w:val="en-US"/>
        </w:rPr>
        <w:t>ATI and airlines alliances</w:t>
      </w:r>
    </w:p>
    <w:p w:rsidR="004029D4" w:rsidRDefault="004029D4">
      <w:pPr>
        <w:rPr>
          <w:lang w:val="en-US"/>
        </w:rPr>
      </w:pPr>
      <w:r>
        <w:rPr>
          <w:lang w:val="en-US"/>
        </w:rPr>
        <w:t xml:space="preserve">US </w:t>
      </w:r>
      <w:r w:rsidRPr="004029D4">
        <w:rPr>
          <w:lang w:val="en-US"/>
        </w:rPr>
        <w:sym w:font="Wingdings" w:char="F0E0"/>
      </w:r>
      <w:r>
        <w:rPr>
          <w:lang w:val="en-US"/>
        </w:rPr>
        <w:t xml:space="preserve"> DOT (with OSA as a condition)</w:t>
      </w:r>
    </w:p>
    <w:p w:rsidR="004029D4" w:rsidRDefault="004029D4">
      <w:pPr>
        <w:rPr>
          <w:lang w:val="en-US"/>
        </w:rPr>
      </w:pPr>
      <w:r>
        <w:rPr>
          <w:lang w:val="en-US"/>
        </w:rPr>
        <w:t xml:space="preserve">EU </w:t>
      </w:r>
      <w:r w:rsidRPr="004029D4">
        <w:rPr>
          <w:lang w:val="en-US"/>
        </w:rPr>
        <w:sym w:font="Wingdings" w:char="F0E0"/>
      </w:r>
      <w:r>
        <w:rPr>
          <w:lang w:val="en-US"/>
        </w:rPr>
        <w:t xml:space="preserve"> EC according to Art 101 (3) – form of immunity (on the basis if the US-EU OSA)</w:t>
      </w:r>
    </w:p>
    <w:p w:rsidR="004029D4" w:rsidRPr="004029D4" w:rsidRDefault="004029D4" w:rsidP="004029D4">
      <w:pPr>
        <w:rPr>
          <w:lang w:val="en-US"/>
        </w:rPr>
      </w:pPr>
      <w:r>
        <w:rPr>
          <w:lang w:val="en-US"/>
        </w:rPr>
        <w:t xml:space="preserve">Japan </w:t>
      </w:r>
      <w:r w:rsidRPr="004029D4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4029D4">
        <w:rPr>
          <w:lang w:val="en-US"/>
        </w:rPr>
        <w:t xml:space="preserve">the Ministry of Land, Infrastructure, Transport and Tourism </w:t>
      </w:r>
      <w:r>
        <w:rPr>
          <w:lang w:val="en-US"/>
        </w:rPr>
        <w:t>can grant</w:t>
      </w:r>
      <w:r w:rsidRPr="004029D4">
        <w:rPr>
          <w:lang w:val="en-US"/>
        </w:rPr>
        <w:t xml:space="preserve"> a formal immunity to</w:t>
      </w:r>
      <w:r>
        <w:rPr>
          <w:lang w:val="en-US"/>
        </w:rPr>
        <w:t xml:space="preserve"> (see American Airlines/</w:t>
      </w:r>
      <w:r w:rsidRPr="004029D4">
        <w:rPr>
          <w:lang w:val="en-US"/>
        </w:rPr>
        <w:t>Japan Airlines</w:t>
      </w:r>
      <w:r>
        <w:rPr>
          <w:lang w:val="en-US"/>
        </w:rPr>
        <w:t xml:space="preserve"> case)</w:t>
      </w:r>
      <w:r w:rsidRPr="004029D4">
        <w:rPr>
          <w:lang w:val="en-US"/>
        </w:rPr>
        <w:t xml:space="preserve"> on the basis of the open skies agreement with the U.S.</w:t>
      </w:r>
      <w:r>
        <w:rPr>
          <w:lang w:val="en-US"/>
        </w:rPr>
        <w:t xml:space="preserve">). </w:t>
      </w:r>
    </w:p>
    <w:p w:rsidR="004029D4" w:rsidRDefault="004029D4" w:rsidP="004029D4">
      <w:pPr>
        <w:rPr>
          <w:lang w:val="en-US"/>
        </w:rPr>
      </w:pPr>
      <w:r w:rsidRPr="004029D4">
        <w:rPr>
          <w:b/>
          <w:bCs/>
          <w:color w:val="FF0000"/>
          <w:lang w:val="en-US"/>
        </w:rPr>
        <w:t>Alliances involving Chinese carriers or having effects in China</w:t>
      </w:r>
      <w:r w:rsidRPr="004029D4">
        <w:rPr>
          <w:color w:val="FF0000"/>
          <w:lang w:val="en-US"/>
        </w:rPr>
        <w:t xml:space="preserve"> </w:t>
      </w:r>
      <w:r w:rsidRPr="004029D4">
        <w:rPr>
          <w:lang w:val="en-US"/>
        </w:rPr>
        <w:t xml:space="preserve">will be subject to the </w:t>
      </w:r>
      <w:r w:rsidRPr="004029D4">
        <w:rPr>
          <w:b/>
          <w:bCs/>
          <w:color w:val="FF0000"/>
          <w:highlight w:val="yellow"/>
          <w:lang w:val="en-US"/>
        </w:rPr>
        <w:t>PRC Anti-Monopoly Law ("AML")</w:t>
      </w:r>
      <w:r w:rsidRPr="004029D4">
        <w:rPr>
          <w:lang w:val="en-US"/>
        </w:rPr>
        <w:t>.[1] Although the AML has no formal system of antitrust immunity, which itself may deter alliances</w:t>
      </w:r>
      <w:r>
        <w:rPr>
          <w:lang w:val="en-US"/>
        </w:rPr>
        <w:t xml:space="preserve"> </w:t>
      </w:r>
      <w:r w:rsidRPr="004029D4">
        <w:rPr>
          <w:lang w:val="en-US"/>
        </w:rPr>
        <w:t>involving Chinese carriers, in this article we describe ways that</w:t>
      </w:r>
      <w:r>
        <w:rPr>
          <w:lang w:val="en-US"/>
        </w:rPr>
        <w:t xml:space="preserve"> airlines may be able to obtain </w:t>
      </w:r>
      <w:r w:rsidRPr="004029D4">
        <w:rPr>
          <w:lang w:val="en-US"/>
        </w:rPr>
        <w:t>comfort that</w:t>
      </w:r>
      <w:r>
        <w:rPr>
          <w:lang w:val="en-US"/>
        </w:rPr>
        <w:t xml:space="preserve"> </w:t>
      </w:r>
      <w:r w:rsidRPr="004029D4">
        <w:rPr>
          <w:lang w:val="en-US"/>
        </w:rPr>
        <w:t>their alliances will not lead to significant antitrust risks in China.</w:t>
      </w:r>
    </w:p>
    <w:p w:rsidR="004029D4" w:rsidRPr="004029D4" w:rsidRDefault="004029D4" w:rsidP="004029D4">
      <w:pPr>
        <w:rPr>
          <w:b/>
          <w:bCs/>
          <w:u w:val="single"/>
          <w:lang w:val="en-US"/>
        </w:rPr>
      </w:pPr>
      <w:r w:rsidRPr="004029D4">
        <w:rPr>
          <w:b/>
          <w:bCs/>
          <w:u w:val="single"/>
          <w:lang w:val="en-US"/>
        </w:rPr>
        <w:t>Overview of the AML</w:t>
      </w:r>
    </w:p>
    <w:p w:rsidR="007E2631" w:rsidRDefault="004029D4" w:rsidP="004029D4">
      <w:pPr>
        <w:rPr>
          <w:lang w:val="en-US"/>
        </w:rPr>
      </w:pPr>
      <w:r w:rsidRPr="004029D4">
        <w:rPr>
          <w:lang w:val="en-US"/>
        </w:rPr>
        <w:t xml:space="preserve">Airlines alliances are covered by </w:t>
      </w:r>
      <w:r w:rsidRPr="007E2631">
        <w:rPr>
          <w:highlight w:val="yellow"/>
          <w:lang w:val="en-US"/>
        </w:rPr>
        <w:t>Article 13 of the AML</w:t>
      </w:r>
      <w:r w:rsidRPr="004029D4">
        <w:rPr>
          <w:lang w:val="en-US"/>
        </w:rPr>
        <w:t>, whi</w:t>
      </w:r>
      <w:r>
        <w:rPr>
          <w:lang w:val="en-US"/>
        </w:rPr>
        <w:t xml:space="preserve">ch </w:t>
      </w:r>
      <w:r w:rsidRPr="007E2631">
        <w:rPr>
          <w:b/>
          <w:bCs/>
          <w:u w:val="single"/>
          <w:lang w:val="en-US"/>
        </w:rPr>
        <w:t>prohibits agreements between competitors that eliminate or restrict competition</w:t>
      </w:r>
      <w:r w:rsidRPr="004029D4">
        <w:rPr>
          <w:lang w:val="en-US"/>
        </w:rPr>
        <w:t xml:space="preserve">. Such agreements are subject to a </w:t>
      </w:r>
      <w:r w:rsidRPr="007E2631">
        <w:rPr>
          <w:b/>
          <w:bCs/>
          <w:u w:val="single"/>
          <w:lang w:val="en-US"/>
        </w:rPr>
        <w:t>form of rule of reason analysis</w:t>
      </w:r>
      <w:r w:rsidRPr="004029D4">
        <w:rPr>
          <w:lang w:val="en-US"/>
        </w:rPr>
        <w:t>: an agreement may be exempted from</w:t>
      </w:r>
      <w:r>
        <w:rPr>
          <w:lang w:val="en-US"/>
        </w:rPr>
        <w:t xml:space="preserve"> </w:t>
      </w:r>
      <w:r w:rsidRPr="004029D4">
        <w:rPr>
          <w:lang w:val="en-US"/>
        </w:rPr>
        <w:t>the application of Article 13 if (</w:t>
      </w:r>
      <w:proofErr w:type="spellStart"/>
      <w:r w:rsidRPr="004029D4">
        <w:rPr>
          <w:lang w:val="en-US"/>
        </w:rPr>
        <w:t>i</w:t>
      </w:r>
      <w:proofErr w:type="spellEnd"/>
      <w:r w:rsidRPr="004029D4">
        <w:rPr>
          <w:lang w:val="en-US"/>
        </w:rPr>
        <w:t>) it is entered into for certain stated purposes, including reducing costs or improving efficiency,</w:t>
      </w:r>
      <w:r>
        <w:rPr>
          <w:lang w:val="en-US"/>
        </w:rPr>
        <w:t xml:space="preserve"> </w:t>
      </w:r>
      <w:r w:rsidRPr="004029D4">
        <w:rPr>
          <w:lang w:val="en-US"/>
        </w:rPr>
        <w:t>engaging in R&amp;D for new products, or "protecting the legitimate interests in foreign trade and economic cooperation," (ii) it will</w:t>
      </w:r>
      <w:r>
        <w:rPr>
          <w:lang w:val="en-US"/>
        </w:rPr>
        <w:t xml:space="preserve"> </w:t>
      </w:r>
      <w:r w:rsidRPr="004029D4">
        <w:rPr>
          <w:lang w:val="en-US"/>
        </w:rPr>
        <w:t>not substantially restrict competition in the relevant market, and (iii) consumers can share the benefits derived from such</w:t>
      </w:r>
      <w:r>
        <w:rPr>
          <w:lang w:val="en-US"/>
        </w:rPr>
        <w:t xml:space="preserve"> </w:t>
      </w:r>
      <w:r w:rsidRPr="004029D4">
        <w:rPr>
          <w:lang w:val="en-US"/>
        </w:rPr>
        <w:t xml:space="preserve">agreement (see Article 15). </w:t>
      </w:r>
    </w:p>
    <w:p w:rsidR="004029D4" w:rsidRPr="007E2631" w:rsidRDefault="007E2631" w:rsidP="004029D4">
      <w:pPr>
        <w:rPr>
          <w:lang w:val="en-US"/>
        </w:rPr>
      </w:pPr>
      <w:r w:rsidRPr="007E2631">
        <w:rPr>
          <w:lang w:val="en-US"/>
        </w:rPr>
        <w:t xml:space="preserve">NB: </w:t>
      </w:r>
      <w:r w:rsidR="004029D4" w:rsidRPr="007E2631">
        <w:rPr>
          <w:lang w:val="en-US"/>
        </w:rPr>
        <w:t>At this stage of development of the AML, there is no case law or guidelines to assess how such principles will be applied to airlines alliances.</w:t>
      </w:r>
    </w:p>
    <w:p w:rsidR="004029D4" w:rsidRPr="004029D4" w:rsidRDefault="004029D4" w:rsidP="004029D4">
      <w:pPr>
        <w:rPr>
          <w:lang w:val="en-US"/>
        </w:rPr>
      </w:pPr>
      <w:r w:rsidRPr="004029D4">
        <w:rPr>
          <w:lang w:val="en-US"/>
        </w:rPr>
        <w:t>The AML does not require the parties to apply to the antitrust authorities to obtain an exemption. The parties must perform a</w:t>
      </w:r>
      <w:r>
        <w:rPr>
          <w:lang w:val="en-US"/>
        </w:rPr>
        <w:t xml:space="preserve"> </w:t>
      </w:r>
      <w:r w:rsidRPr="007E2631">
        <w:rPr>
          <w:b/>
          <w:bCs/>
          <w:i/>
          <w:iCs/>
          <w:color w:val="FF0000"/>
          <w:lang w:val="en-US"/>
        </w:rPr>
        <w:t>"</w:t>
      </w:r>
      <w:proofErr w:type="spellStart"/>
      <w:r w:rsidRPr="007E2631">
        <w:rPr>
          <w:b/>
          <w:bCs/>
          <w:i/>
          <w:iCs/>
          <w:color w:val="FF0000"/>
          <w:lang w:val="en-US"/>
        </w:rPr>
        <w:t>self assessment</w:t>
      </w:r>
      <w:proofErr w:type="spellEnd"/>
      <w:r w:rsidRPr="007E2631">
        <w:rPr>
          <w:b/>
          <w:bCs/>
          <w:i/>
          <w:iCs/>
          <w:color w:val="FF0000"/>
          <w:lang w:val="en-US"/>
        </w:rPr>
        <w:t>"</w:t>
      </w:r>
      <w:r w:rsidRPr="007E2631">
        <w:rPr>
          <w:color w:val="FF0000"/>
          <w:lang w:val="en-US"/>
        </w:rPr>
        <w:t xml:space="preserve"> to determine whether their agreement may qualify for the exemption </w:t>
      </w:r>
      <w:r w:rsidRPr="007E2631">
        <w:rPr>
          <w:color w:val="FF0000"/>
          <w:highlight w:val="yellow"/>
          <w:lang w:val="en-US"/>
        </w:rPr>
        <w:t>under Article 15</w:t>
      </w:r>
      <w:r w:rsidRPr="004029D4">
        <w:rPr>
          <w:lang w:val="en-US"/>
        </w:rPr>
        <w:t>. However, the AML</w:t>
      </w:r>
      <w:r>
        <w:rPr>
          <w:lang w:val="en-US"/>
        </w:rPr>
        <w:t xml:space="preserve"> </w:t>
      </w:r>
      <w:r w:rsidRPr="004029D4">
        <w:rPr>
          <w:lang w:val="en-US"/>
        </w:rPr>
        <w:t>also includes premerger notification requirements, which require transactions meeting certain thresholds to be reported to</w:t>
      </w:r>
      <w:r>
        <w:rPr>
          <w:lang w:val="en-US"/>
        </w:rPr>
        <w:t xml:space="preserve"> </w:t>
      </w:r>
      <w:r w:rsidRPr="004029D4">
        <w:rPr>
          <w:lang w:val="en-US"/>
        </w:rPr>
        <w:t>MOFCOM and then not closed before MOFCOM's approval.</w:t>
      </w:r>
    </w:p>
    <w:p w:rsidR="00EF283F" w:rsidRPr="00EF283F" w:rsidRDefault="004029D4" w:rsidP="00EF283F">
      <w:pPr>
        <w:pStyle w:val="ListParagraph"/>
        <w:numPr>
          <w:ilvl w:val="0"/>
          <w:numId w:val="1"/>
        </w:numPr>
        <w:rPr>
          <w:lang w:val="en-US"/>
        </w:rPr>
      </w:pPr>
      <w:r w:rsidRPr="00EF283F">
        <w:rPr>
          <w:lang w:val="en-US"/>
        </w:rPr>
        <w:t xml:space="preserve">The </w:t>
      </w:r>
      <w:r w:rsidRPr="00EF283F">
        <w:rPr>
          <w:b/>
          <w:bCs/>
          <w:color w:val="F79646" w:themeColor="accent6"/>
          <w:lang w:val="en-US"/>
        </w:rPr>
        <w:t>non-merger provisions of the AML</w:t>
      </w:r>
      <w:r w:rsidRPr="00EF283F">
        <w:rPr>
          <w:color w:val="F79646" w:themeColor="accent6"/>
          <w:lang w:val="en-US"/>
        </w:rPr>
        <w:t xml:space="preserve"> </w:t>
      </w:r>
      <w:r w:rsidRPr="00EF283F">
        <w:rPr>
          <w:lang w:val="en-US"/>
        </w:rPr>
        <w:t>are enforced by two ministries—</w:t>
      </w:r>
      <w:r w:rsidRPr="00EF283F">
        <w:rPr>
          <w:b/>
          <w:bCs/>
          <w:color w:val="FF0000"/>
          <w:lang w:val="en-US"/>
        </w:rPr>
        <w:t>the National Development and Reform Commission ("NDRC") for non</w:t>
      </w:r>
      <w:r w:rsidR="007E2631" w:rsidRPr="00EF283F">
        <w:rPr>
          <w:b/>
          <w:bCs/>
          <w:color w:val="FF0000"/>
          <w:lang w:val="en-US"/>
        </w:rPr>
        <w:t>-</w:t>
      </w:r>
      <w:r w:rsidRPr="00EF283F">
        <w:rPr>
          <w:b/>
          <w:bCs/>
          <w:color w:val="FF0000"/>
          <w:lang w:val="en-US"/>
        </w:rPr>
        <w:t>merger enforcement involving prices</w:t>
      </w:r>
      <w:r w:rsidRPr="00EF283F">
        <w:rPr>
          <w:lang w:val="en-US"/>
        </w:rPr>
        <w:t xml:space="preserve">, and </w:t>
      </w:r>
      <w:r w:rsidRPr="00EF283F">
        <w:rPr>
          <w:b/>
          <w:bCs/>
          <w:color w:val="FF0000"/>
          <w:lang w:val="en-US"/>
        </w:rPr>
        <w:t>the State Administration for Industry and Commerce ("SAIC") for non-price conduct</w:t>
      </w:r>
      <w:r w:rsidRPr="00EF283F">
        <w:rPr>
          <w:lang w:val="en-US"/>
        </w:rPr>
        <w:t xml:space="preserve">. It is unclear how the agencies plan to tackle conduct that may have both price and non-price components, nor which agency will take the lead on airlines alliances. </w:t>
      </w:r>
    </w:p>
    <w:p w:rsidR="00EF283F" w:rsidRDefault="004029D4" w:rsidP="00EF283F">
      <w:pPr>
        <w:pStyle w:val="ListParagraph"/>
        <w:numPr>
          <w:ilvl w:val="0"/>
          <w:numId w:val="1"/>
        </w:numPr>
        <w:rPr>
          <w:lang w:val="en-US"/>
        </w:rPr>
      </w:pPr>
      <w:r w:rsidRPr="00EF283F">
        <w:rPr>
          <w:lang w:val="en-US"/>
        </w:rPr>
        <w:lastRenderedPageBreak/>
        <w:t xml:space="preserve">The </w:t>
      </w:r>
      <w:r w:rsidRPr="00EF283F">
        <w:rPr>
          <w:b/>
          <w:bCs/>
          <w:color w:val="F79646" w:themeColor="accent6"/>
          <w:lang w:val="en-US"/>
        </w:rPr>
        <w:t>merger provisions of the AML</w:t>
      </w:r>
      <w:r w:rsidRPr="00EF283F">
        <w:rPr>
          <w:color w:val="F79646" w:themeColor="accent6"/>
          <w:lang w:val="en-US"/>
        </w:rPr>
        <w:t xml:space="preserve"> </w:t>
      </w:r>
      <w:r w:rsidRPr="00EF283F">
        <w:rPr>
          <w:lang w:val="en-US"/>
        </w:rPr>
        <w:t xml:space="preserve">are enforced by </w:t>
      </w:r>
      <w:r w:rsidRPr="00EF283F">
        <w:rPr>
          <w:b/>
          <w:bCs/>
          <w:color w:val="FF0000"/>
          <w:lang w:val="en-US"/>
        </w:rPr>
        <w:t>MOFCOM</w:t>
      </w:r>
      <w:r w:rsidRPr="00EF283F">
        <w:rPr>
          <w:lang w:val="en-US"/>
        </w:rPr>
        <w:t xml:space="preserve">. </w:t>
      </w:r>
    </w:p>
    <w:p w:rsidR="007E2631" w:rsidRPr="00EF283F" w:rsidRDefault="004029D4" w:rsidP="00EF283F">
      <w:pPr>
        <w:ind w:left="360"/>
        <w:rPr>
          <w:lang w:val="en-US"/>
        </w:rPr>
      </w:pPr>
      <w:r w:rsidRPr="00EF283F">
        <w:rPr>
          <w:lang w:val="en-US"/>
        </w:rPr>
        <w:t xml:space="preserve">The </w:t>
      </w:r>
      <w:r w:rsidRPr="00EF283F">
        <w:rPr>
          <w:b/>
          <w:bCs/>
          <w:color w:val="FF0000"/>
          <w:lang w:val="en-US"/>
        </w:rPr>
        <w:t>Civil Aviation Administration of China ("CAAC")</w:t>
      </w:r>
      <w:r w:rsidRPr="00EF283F">
        <w:rPr>
          <w:color w:val="FF0000"/>
          <w:lang w:val="en-US"/>
        </w:rPr>
        <w:t xml:space="preserve"> </w:t>
      </w:r>
      <w:r w:rsidRPr="00EF283F">
        <w:rPr>
          <w:lang w:val="en-US"/>
        </w:rPr>
        <w:t xml:space="preserve">is likely to be consulted by the three antitrust regulators in any investigation involving airline alliances, even if it does not have the power to enforce the AML. </w:t>
      </w:r>
    </w:p>
    <w:p w:rsidR="004029D4" w:rsidRPr="004029D4" w:rsidRDefault="004029D4" w:rsidP="004029D4">
      <w:pPr>
        <w:rPr>
          <w:lang w:val="en-US"/>
        </w:rPr>
      </w:pPr>
      <w:r w:rsidRPr="007E2631">
        <w:rPr>
          <w:b/>
          <w:bCs/>
          <w:u w:val="single"/>
          <w:lang w:val="en-US"/>
        </w:rPr>
        <w:t>Sanctions</w:t>
      </w:r>
      <w:r w:rsidRPr="004029D4">
        <w:rPr>
          <w:lang w:val="en-US"/>
        </w:rPr>
        <w:t xml:space="preserve"> for violations of the AML are very high: between 1 and 10 percent of the parties' turnover.[2]</w:t>
      </w:r>
    </w:p>
    <w:p w:rsidR="00EF283F" w:rsidRDefault="00EF283F" w:rsidP="007E2631">
      <w:pPr>
        <w:rPr>
          <w:b/>
          <w:bCs/>
          <w:lang w:val="en-US"/>
        </w:rPr>
      </w:pPr>
    </w:p>
    <w:p w:rsidR="007E2631" w:rsidRPr="00EF283F" w:rsidRDefault="004029D4" w:rsidP="007E2631">
      <w:pPr>
        <w:rPr>
          <w:b/>
          <w:bCs/>
          <w:lang w:val="en-US"/>
        </w:rPr>
      </w:pPr>
      <w:r w:rsidRPr="00EF283F">
        <w:rPr>
          <w:b/>
          <w:bCs/>
          <w:lang w:val="en-US"/>
        </w:rPr>
        <w:t>What Kind</w:t>
      </w:r>
      <w:r w:rsidR="007E2631" w:rsidRPr="00EF283F">
        <w:rPr>
          <w:b/>
          <w:bCs/>
          <w:lang w:val="en-US"/>
        </w:rPr>
        <w:t xml:space="preserve"> of Antitrust Protection Could Airlines Alliances Obtain Under the AML?</w:t>
      </w:r>
    </w:p>
    <w:p w:rsidR="007E2631" w:rsidRPr="007E2631" w:rsidRDefault="007E2631" w:rsidP="007E2631">
      <w:pPr>
        <w:rPr>
          <w:lang w:val="en-US"/>
        </w:rPr>
      </w:pPr>
      <w:r w:rsidRPr="007E2631">
        <w:rPr>
          <w:lang w:val="en-US"/>
        </w:rPr>
        <w:t>Even if the AML does not include a formal immunity system, there are avenues that airlines may want to consider to limit</w:t>
      </w:r>
      <w:r>
        <w:rPr>
          <w:lang w:val="en-US"/>
        </w:rPr>
        <w:t xml:space="preserve"> </w:t>
      </w:r>
      <w:r w:rsidRPr="007E2631">
        <w:rPr>
          <w:lang w:val="en-US"/>
        </w:rPr>
        <w:t>their antitrust risks in China. Most of these avenues are untested, and the enforcement agencies have offered no guidance</w:t>
      </w:r>
      <w:r>
        <w:rPr>
          <w:lang w:val="en-US"/>
        </w:rPr>
        <w:t xml:space="preserve"> </w:t>
      </w:r>
      <w:r w:rsidRPr="007E2631">
        <w:rPr>
          <w:lang w:val="en-US"/>
        </w:rPr>
        <w:t>on whether they would be accepted.</w:t>
      </w:r>
    </w:p>
    <w:p w:rsidR="007E2631" w:rsidRPr="007E2631" w:rsidRDefault="007E2631" w:rsidP="007E2631">
      <w:pPr>
        <w:rPr>
          <w:b/>
          <w:bCs/>
          <w:u w:val="single"/>
          <w:lang w:val="en-US"/>
        </w:rPr>
      </w:pPr>
      <w:r w:rsidRPr="007E2631">
        <w:rPr>
          <w:b/>
          <w:bCs/>
          <w:u w:val="single"/>
          <w:lang w:val="en-US"/>
        </w:rPr>
        <w:t>Informal Consultations with the Chinese Government Agencies.</w:t>
      </w:r>
    </w:p>
    <w:p w:rsidR="007E2631" w:rsidRPr="007E2631" w:rsidRDefault="007E2631" w:rsidP="007E2631">
      <w:pPr>
        <w:rPr>
          <w:lang w:val="en-US"/>
        </w:rPr>
      </w:pPr>
      <w:r w:rsidRPr="007E2631">
        <w:rPr>
          <w:lang w:val="en-US"/>
        </w:rPr>
        <w:t>If an alliance does not qualify as a "concentration" subject to the AML's merger control provisions (see below), but rather is</w:t>
      </w:r>
      <w:r>
        <w:rPr>
          <w:lang w:val="en-US"/>
        </w:rPr>
        <w:t xml:space="preserve"> </w:t>
      </w:r>
      <w:r w:rsidRPr="007E2631">
        <w:rPr>
          <w:lang w:val="en-US"/>
        </w:rPr>
        <w:t>subject to the AML's non</w:t>
      </w:r>
      <w:r>
        <w:rPr>
          <w:lang w:val="en-US"/>
        </w:rPr>
        <w:t>-</w:t>
      </w:r>
      <w:r w:rsidRPr="007E2631">
        <w:rPr>
          <w:lang w:val="en-US"/>
        </w:rPr>
        <w:t>merger provisions, the parties may consult with the relevant antitrust authorities in China to seek</w:t>
      </w:r>
      <w:r>
        <w:rPr>
          <w:lang w:val="en-US"/>
        </w:rPr>
        <w:t xml:space="preserve"> </w:t>
      </w:r>
      <w:r w:rsidRPr="007E2631">
        <w:rPr>
          <w:lang w:val="en-US"/>
        </w:rPr>
        <w:t>their view, i.e., NDRC and SAIC, as well as CAAC, the aviation regulator. However, responses to such informal consultations</w:t>
      </w:r>
      <w:r>
        <w:rPr>
          <w:lang w:val="en-US"/>
        </w:rPr>
        <w:t xml:space="preserve"> </w:t>
      </w:r>
      <w:r w:rsidRPr="007E2631">
        <w:rPr>
          <w:lang w:val="en-US"/>
        </w:rPr>
        <w:t xml:space="preserve">are </w:t>
      </w:r>
      <w:r w:rsidRPr="00EF283F">
        <w:rPr>
          <w:b/>
          <w:bCs/>
          <w:u w:val="single"/>
          <w:lang w:val="en-US"/>
        </w:rPr>
        <w:t>not legally binding</w:t>
      </w:r>
      <w:r w:rsidRPr="007E2631">
        <w:rPr>
          <w:lang w:val="en-US"/>
        </w:rPr>
        <w:t>, even if they may provide the parties with informal comfort. Such an informal opinion is also unlikely to</w:t>
      </w:r>
      <w:r>
        <w:rPr>
          <w:lang w:val="en-US"/>
        </w:rPr>
        <w:t xml:space="preserve"> </w:t>
      </w:r>
      <w:r w:rsidRPr="007E2631">
        <w:rPr>
          <w:lang w:val="en-US"/>
        </w:rPr>
        <w:t>be useful within the framework of private litigation, where a plaintiff could sue the members of an airline alliance before</w:t>
      </w:r>
      <w:r>
        <w:rPr>
          <w:lang w:val="en-US"/>
        </w:rPr>
        <w:t xml:space="preserve"> </w:t>
      </w:r>
      <w:r w:rsidRPr="007E2631">
        <w:rPr>
          <w:lang w:val="en-US"/>
        </w:rPr>
        <w:t>Chinese courts claiming violation of the AML.</w:t>
      </w:r>
    </w:p>
    <w:p w:rsidR="00EB255D" w:rsidRDefault="007E2631" w:rsidP="00EF283F">
      <w:pPr>
        <w:rPr>
          <w:color w:val="FF0000"/>
          <w:lang w:val="en-US"/>
        </w:rPr>
      </w:pPr>
      <w:r w:rsidRPr="00EB255D">
        <w:rPr>
          <w:b/>
          <w:bCs/>
          <w:color w:val="FF0000"/>
          <w:highlight w:val="yellow"/>
          <w:lang w:val="en-US"/>
        </w:rPr>
        <w:t>Merger Review.</w:t>
      </w:r>
      <w:r w:rsidRPr="00EB255D">
        <w:rPr>
          <w:color w:val="FF0000"/>
          <w:lang w:val="en-US"/>
        </w:rPr>
        <w:t xml:space="preserve"> </w:t>
      </w:r>
    </w:p>
    <w:p w:rsidR="00EB255D" w:rsidRDefault="007E2631" w:rsidP="00EF283F">
      <w:pPr>
        <w:rPr>
          <w:lang w:val="en-US"/>
        </w:rPr>
      </w:pPr>
      <w:r w:rsidRPr="007E2631">
        <w:rPr>
          <w:lang w:val="en-US"/>
        </w:rPr>
        <w:t xml:space="preserve">The AML's provisions on merger control may also present opportunities for reducing antitrust risk. </w:t>
      </w:r>
    </w:p>
    <w:p w:rsidR="00EB255D" w:rsidRDefault="007E2631" w:rsidP="00EF283F">
      <w:pPr>
        <w:rPr>
          <w:lang w:val="en-US"/>
        </w:rPr>
      </w:pPr>
      <w:r w:rsidRPr="007E2631">
        <w:rPr>
          <w:lang w:val="en-US"/>
        </w:rPr>
        <w:t>Under the</w:t>
      </w:r>
      <w:r w:rsidR="00EF283F">
        <w:rPr>
          <w:lang w:val="en-US"/>
        </w:rPr>
        <w:t xml:space="preserve"> </w:t>
      </w:r>
      <w:r w:rsidRPr="007E2631">
        <w:rPr>
          <w:lang w:val="en-US"/>
        </w:rPr>
        <w:t xml:space="preserve">AML, </w:t>
      </w:r>
      <w:r w:rsidRPr="00EB255D">
        <w:rPr>
          <w:color w:val="FF0000"/>
          <w:lang w:val="en-US"/>
        </w:rPr>
        <w:t>"concentrations" meeting certain turnover thresholds require premerger notification by the parties and review by</w:t>
      </w:r>
      <w:r w:rsidR="00EF283F" w:rsidRPr="00EB255D">
        <w:rPr>
          <w:color w:val="FF0000"/>
          <w:lang w:val="en-US"/>
        </w:rPr>
        <w:t xml:space="preserve"> </w:t>
      </w:r>
      <w:r w:rsidRPr="00EB255D">
        <w:rPr>
          <w:color w:val="FF0000"/>
          <w:lang w:val="en-US"/>
        </w:rPr>
        <w:t>MOFCOM</w:t>
      </w:r>
      <w:r w:rsidRPr="007E2631">
        <w:rPr>
          <w:lang w:val="en-US"/>
        </w:rPr>
        <w:t xml:space="preserve">. </w:t>
      </w:r>
    </w:p>
    <w:p w:rsidR="004029D4" w:rsidRDefault="007E2631" w:rsidP="00EB255D">
      <w:pPr>
        <w:rPr>
          <w:lang w:val="en-US"/>
        </w:rPr>
      </w:pPr>
      <w:r w:rsidRPr="007E2631">
        <w:rPr>
          <w:lang w:val="en-US"/>
        </w:rPr>
        <w:t xml:space="preserve">In the </w:t>
      </w:r>
      <w:r w:rsidRPr="00EB255D">
        <w:rPr>
          <w:b/>
          <w:bCs/>
          <w:color w:val="FF0000"/>
          <w:highlight w:val="yellow"/>
          <w:lang w:val="en-US"/>
        </w:rPr>
        <w:t>case of joint ventures</w:t>
      </w:r>
      <w:r w:rsidRPr="007E2631">
        <w:rPr>
          <w:lang w:val="en-US"/>
        </w:rPr>
        <w:t xml:space="preserve">, </w:t>
      </w:r>
      <w:r w:rsidR="00EB255D">
        <w:rPr>
          <w:lang w:val="en-US"/>
        </w:rPr>
        <w:t xml:space="preserve">(see conditions). </w:t>
      </w:r>
      <w:r w:rsidRPr="007E2631">
        <w:rPr>
          <w:lang w:val="en-US"/>
        </w:rPr>
        <w:t>MOFCOM also</w:t>
      </w:r>
      <w:r w:rsidR="00EF283F">
        <w:rPr>
          <w:lang w:val="en-US"/>
        </w:rPr>
        <w:t xml:space="preserve"> </w:t>
      </w:r>
      <w:r w:rsidRPr="007E2631">
        <w:rPr>
          <w:lang w:val="en-US"/>
        </w:rPr>
        <w:t>has the power to choose to review below-threshold transactions to determine if they may have anticompetitive effects.</w:t>
      </w:r>
    </w:p>
    <w:p w:rsidR="00EB255D" w:rsidRDefault="00EB255D" w:rsidP="00EB255D">
      <w:pPr>
        <w:rPr>
          <w:lang w:val="en-US"/>
        </w:rPr>
      </w:pPr>
      <w:r w:rsidRPr="00EB255D">
        <w:rPr>
          <w:lang w:val="en-US"/>
        </w:rPr>
        <w:t xml:space="preserve">In addition, </w:t>
      </w:r>
      <w:r w:rsidRPr="00EB255D">
        <w:rPr>
          <w:b/>
          <w:bCs/>
          <w:color w:val="00B0F0"/>
          <w:highlight w:val="yellow"/>
          <w:lang w:val="en-US"/>
        </w:rPr>
        <w:t>certain joint venture arrangements with significant integration, shared risk, and revenue sharing (what airlines sometimes call "metal neutral" joint ventures)</w:t>
      </w:r>
      <w:r w:rsidRPr="00EB255D">
        <w:rPr>
          <w:color w:val="FF0000"/>
          <w:lang w:val="en-US"/>
        </w:rPr>
        <w:t xml:space="preserve"> </w:t>
      </w:r>
      <w:r w:rsidRPr="00EB255D">
        <w:rPr>
          <w:lang w:val="en-US"/>
        </w:rPr>
        <w:t xml:space="preserve">could arguably also be a considered as a </w:t>
      </w:r>
      <w:r w:rsidRPr="00EB255D">
        <w:rPr>
          <w:b/>
          <w:bCs/>
          <w:color w:val="00B0F0"/>
          <w:lang w:val="en-US"/>
        </w:rPr>
        <w:t>concentration</w:t>
      </w:r>
      <w:r w:rsidRPr="00EB255D">
        <w:rPr>
          <w:color w:val="00B0F0"/>
          <w:lang w:val="en-US"/>
        </w:rPr>
        <w:t xml:space="preserve"> </w:t>
      </w:r>
      <w:r w:rsidRPr="00EB255D">
        <w:rPr>
          <w:lang w:val="en-US"/>
        </w:rPr>
        <w:t>even if there is no legal</w:t>
      </w:r>
      <w:r>
        <w:rPr>
          <w:lang w:val="en-US"/>
        </w:rPr>
        <w:t xml:space="preserve"> </w:t>
      </w:r>
      <w:r w:rsidRPr="00EB255D">
        <w:rPr>
          <w:lang w:val="en-US"/>
        </w:rPr>
        <w:t>entity, although to date there has been no precedent in China in that respect.[3]</w:t>
      </w:r>
    </w:p>
    <w:p w:rsidR="004B6FBA" w:rsidRDefault="00EB255D" w:rsidP="004B6FBA">
      <w:pPr>
        <w:rPr>
          <w:lang w:val="en-US"/>
        </w:rPr>
      </w:pPr>
      <w:r w:rsidRPr="00EB255D">
        <w:rPr>
          <w:lang w:val="en-US"/>
        </w:rPr>
        <w:t xml:space="preserve">Thus, </w:t>
      </w:r>
      <w:r w:rsidRPr="004B6FBA">
        <w:rPr>
          <w:b/>
          <w:bCs/>
          <w:lang w:val="en-US"/>
        </w:rPr>
        <w:t>certain forms of alliances may have to be submitted to MOFCOM under the merger review provisions</w:t>
      </w:r>
      <w:r w:rsidRPr="00EB255D">
        <w:rPr>
          <w:lang w:val="en-US"/>
        </w:rPr>
        <w:t>. If MOFCOM</w:t>
      </w:r>
      <w:r w:rsidR="004B6FBA">
        <w:rPr>
          <w:lang w:val="en-US"/>
        </w:rPr>
        <w:t xml:space="preserve"> </w:t>
      </w:r>
      <w:r w:rsidRPr="00EB255D">
        <w:rPr>
          <w:lang w:val="en-US"/>
        </w:rPr>
        <w:t xml:space="preserve">considers that an alliance does not have anticompetitive effects, it will issue a </w:t>
      </w:r>
      <w:r w:rsidRPr="004B6FBA">
        <w:rPr>
          <w:b/>
          <w:bCs/>
          <w:u w:val="single"/>
          <w:lang w:val="en-US"/>
        </w:rPr>
        <w:t>clearance decision</w:t>
      </w:r>
      <w:r w:rsidRPr="00EB255D">
        <w:rPr>
          <w:lang w:val="en-US"/>
        </w:rPr>
        <w:t xml:space="preserve">, </w:t>
      </w:r>
      <w:r w:rsidRPr="004B6FBA">
        <w:rPr>
          <w:b/>
          <w:bCs/>
          <w:lang w:val="en-US"/>
        </w:rPr>
        <w:t>although sometimes with</w:t>
      </w:r>
      <w:r w:rsidR="004B6FBA" w:rsidRPr="004B6FBA">
        <w:rPr>
          <w:b/>
          <w:bCs/>
          <w:lang w:val="en-US"/>
        </w:rPr>
        <w:t xml:space="preserve"> </w:t>
      </w:r>
      <w:r w:rsidRPr="004B6FBA">
        <w:rPr>
          <w:b/>
          <w:bCs/>
          <w:lang w:val="en-US"/>
        </w:rPr>
        <w:t>conditions</w:t>
      </w:r>
      <w:r w:rsidRPr="00EB255D">
        <w:rPr>
          <w:lang w:val="en-US"/>
        </w:rPr>
        <w:t>. MOFCOM's allowing the joint venture to be formed implies "immunity" for the alliance partners for conduct</w:t>
      </w:r>
      <w:r w:rsidR="004B6FBA">
        <w:rPr>
          <w:lang w:val="en-US"/>
        </w:rPr>
        <w:t xml:space="preserve"> </w:t>
      </w:r>
      <w:r w:rsidRPr="00EB255D">
        <w:rPr>
          <w:lang w:val="en-US"/>
        </w:rPr>
        <w:t xml:space="preserve">undertaken by the joint venture. </w:t>
      </w:r>
      <w:r w:rsidRPr="00EB255D">
        <w:rPr>
          <w:lang w:val="en-US"/>
        </w:rPr>
        <w:lastRenderedPageBreak/>
        <w:t xml:space="preserve">However, </w:t>
      </w:r>
      <w:r w:rsidRPr="004B6FBA">
        <w:rPr>
          <w:highlight w:val="yellow"/>
          <w:lang w:val="en-US"/>
        </w:rPr>
        <w:t>it may not protect the parties from challenges by other enforcement agencies or</w:t>
      </w:r>
      <w:r w:rsidR="004B6FBA" w:rsidRPr="004B6FBA">
        <w:rPr>
          <w:highlight w:val="yellow"/>
          <w:lang w:val="en-US"/>
        </w:rPr>
        <w:t xml:space="preserve"> </w:t>
      </w:r>
      <w:r w:rsidRPr="004B6FBA">
        <w:rPr>
          <w:highlight w:val="yellow"/>
          <w:lang w:val="en-US"/>
        </w:rPr>
        <w:t xml:space="preserve">private parties for alleged harms caused by the joint </w:t>
      </w:r>
      <w:r w:rsidR="008E1A06" w:rsidRPr="004B6FBA">
        <w:rPr>
          <w:highlight w:val="yellow"/>
          <w:lang w:val="en-US"/>
        </w:rPr>
        <w:t>venture</w:t>
      </w:r>
      <w:r w:rsidR="008E1A06">
        <w:rPr>
          <w:highlight w:val="yellow"/>
          <w:lang w:val="en-US"/>
        </w:rPr>
        <w:t>s</w:t>
      </w:r>
      <w:r w:rsidR="008E1A06" w:rsidRPr="004B6FBA">
        <w:rPr>
          <w:highlight w:val="yellow"/>
          <w:lang w:val="en-US"/>
        </w:rPr>
        <w:t>’</w:t>
      </w:r>
      <w:r w:rsidRPr="004B6FBA">
        <w:rPr>
          <w:highlight w:val="yellow"/>
          <w:lang w:val="en-US"/>
        </w:rPr>
        <w:t xml:space="preserve"> coordin</w:t>
      </w:r>
      <w:r w:rsidR="004B6FBA">
        <w:rPr>
          <w:highlight w:val="yellow"/>
          <w:lang w:val="en-US"/>
        </w:rPr>
        <w:t>ating their business activities</w:t>
      </w:r>
      <w:r w:rsidR="004B6FBA">
        <w:rPr>
          <w:lang w:val="en-US"/>
        </w:rPr>
        <w:t xml:space="preserve"> (= EU </w:t>
      </w:r>
      <m:oMath>
        <m:r>
          <w:rPr>
            <w:rFonts w:ascii="Cambria Math" w:hAnsi="Cambria Math"/>
            <w:lang w:val="en-US"/>
          </w:rPr>
          <m:t>≠</m:t>
        </m:r>
      </m:oMath>
      <w:r w:rsidRPr="00EB255D">
        <w:rPr>
          <w:lang w:val="en-US"/>
        </w:rPr>
        <w:t xml:space="preserve"> </w:t>
      </w:r>
      <w:r w:rsidR="004B6FBA">
        <w:rPr>
          <w:lang w:val="en-US"/>
        </w:rPr>
        <w:t xml:space="preserve">US) </w:t>
      </w:r>
    </w:p>
    <w:p w:rsidR="00EB255D" w:rsidRDefault="00EB255D" w:rsidP="004B6FBA">
      <w:pPr>
        <w:rPr>
          <w:lang w:val="en-US"/>
        </w:rPr>
      </w:pPr>
      <w:r w:rsidRPr="00EB255D">
        <w:rPr>
          <w:lang w:val="en-US"/>
        </w:rPr>
        <w:t>Within the framework of</w:t>
      </w:r>
      <w:r w:rsidR="004B6FBA">
        <w:rPr>
          <w:lang w:val="en-US"/>
        </w:rPr>
        <w:t xml:space="preserve"> </w:t>
      </w:r>
      <w:r w:rsidRPr="00EB255D">
        <w:rPr>
          <w:lang w:val="en-US"/>
        </w:rPr>
        <w:t>private litigation, it is unclear to what extent the courts will defer to a formal MOFCOM decision that a joint venture is</w:t>
      </w:r>
      <w:r w:rsidR="004B6FBA">
        <w:rPr>
          <w:lang w:val="en-US"/>
        </w:rPr>
        <w:t xml:space="preserve"> </w:t>
      </w:r>
      <w:r w:rsidRPr="00EB255D">
        <w:rPr>
          <w:lang w:val="en-US"/>
        </w:rPr>
        <w:t xml:space="preserve">compatible with the AML. The courts have the authority to </w:t>
      </w:r>
      <w:r w:rsidRPr="004B6FBA">
        <w:rPr>
          <w:b/>
          <w:bCs/>
          <w:lang w:val="en-US"/>
        </w:rPr>
        <w:t>make their own independent judgment</w:t>
      </w:r>
      <w:r w:rsidRPr="00EB255D">
        <w:rPr>
          <w:lang w:val="en-US"/>
        </w:rPr>
        <w:t>; nevertheless, in practice,</w:t>
      </w:r>
      <w:r w:rsidR="004B6FBA">
        <w:rPr>
          <w:lang w:val="en-US"/>
        </w:rPr>
        <w:t xml:space="preserve"> </w:t>
      </w:r>
      <w:r w:rsidRPr="00EB255D">
        <w:rPr>
          <w:lang w:val="en-US"/>
        </w:rPr>
        <w:t>Chinese courts generally defer to (or at least take into consideration) decisions by administrative authorities unless there is a</w:t>
      </w:r>
      <w:r w:rsidR="004B6FBA">
        <w:rPr>
          <w:lang w:val="en-US"/>
        </w:rPr>
        <w:t xml:space="preserve"> </w:t>
      </w:r>
      <w:r w:rsidRPr="00EB255D">
        <w:rPr>
          <w:lang w:val="en-US"/>
        </w:rPr>
        <w:t>clear error in fact or in law, with a goal to maintain consistent interpretation by the courts and the agencies.</w:t>
      </w:r>
    </w:p>
    <w:p w:rsidR="004B6FBA" w:rsidRPr="004B6FBA" w:rsidRDefault="004B6FBA" w:rsidP="004B6FBA">
      <w:pPr>
        <w:rPr>
          <w:lang w:val="en-US"/>
        </w:rPr>
      </w:pPr>
      <w:r w:rsidRPr="004B6FBA">
        <w:rPr>
          <w:highlight w:val="yellow"/>
          <w:lang w:val="en-US"/>
        </w:rPr>
        <w:t>Commitments.</w:t>
      </w:r>
      <w:r w:rsidRPr="004B6FBA">
        <w:rPr>
          <w:lang w:val="en-US"/>
        </w:rPr>
        <w:t xml:space="preserve"> The AML includes a system of commitments enabling the antitrust authorities to suspend or terminate their</w:t>
      </w:r>
      <w:r>
        <w:rPr>
          <w:lang w:val="en-US"/>
        </w:rPr>
        <w:t xml:space="preserve"> </w:t>
      </w:r>
      <w:r w:rsidRPr="004B6FBA">
        <w:rPr>
          <w:lang w:val="en-US"/>
        </w:rPr>
        <w:t xml:space="preserve">investigation if the company under investigation initiates concrete </w:t>
      </w:r>
      <w:r w:rsidRPr="004B6FBA">
        <w:rPr>
          <w:color w:val="FF0000"/>
          <w:lang w:val="en-US"/>
        </w:rPr>
        <w:t>measures within a certain time limit to eliminate the competitive effects of the suspected conduct</w:t>
      </w:r>
      <w:r w:rsidRPr="004B6FBA">
        <w:rPr>
          <w:lang w:val="en-US"/>
        </w:rPr>
        <w:t>. The decision to terminate the investigation should state the concrete</w:t>
      </w:r>
      <w:r>
        <w:rPr>
          <w:lang w:val="en-US"/>
        </w:rPr>
        <w:t xml:space="preserve"> </w:t>
      </w:r>
      <w:r w:rsidRPr="004B6FBA">
        <w:rPr>
          <w:lang w:val="en-US"/>
        </w:rPr>
        <w:t>commitments by the undertakings. If the undertakings implement the commitments, the agency may terminate its</w:t>
      </w:r>
      <w:r>
        <w:rPr>
          <w:lang w:val="en-US"/>
        </w:rPr>
        <w:t xml:space="preserve"> </w:t>
      </w:r>
      <w:r w:rsidRPr="004B6FBA">
        <w:rPr>
          <w:lang w:val="en-US"/>
        </w:rPr>
        <w:t>investigation. Both SAIC and NDRC have issued guidelines in relation to commitments procedures.[4]</w:t>
      </w:r>
    </w:p>
    <w:p w:rsidR="004B6FBA" w:rsidRPr="004B6FBA" w:rsidRDefault="004B6FBA" w:rsidP="004B6FBA">
      <w:pPr>
        <w:rPr>
          <w:lang w:val="en-US"/>
        </w:rPr>
      </w:pPr>
      <w:r w:rsidRPr="004B6FBA">
        <w:rPr>
          <w:lang w:val="en-US"/>
        </w:rPr>
        <w:t>In this context, the parties to the alliance could voluntarily submit their alliance agreement for review by the antitrust agencies</w:t>
      </w:r>
      <w:r>
        <w:rPr>
          <w:lang w:val="en-US"/>
        </w:rPr>
        <w:t xml:space="preserve"> </w:t>
      </w:r>
      <w:r w:rsidRPr="004B6FBA">
        <w:rPr>
          <w:lang w:val="en-US"/>
        </w:rPr>
        <w:t>(NDRC or SAIC). If needed, they could suggest some commitments that the agency could impose in a formal decision (such</w:t>
      </w:r>
      <w:r>
        <w:rPr>
          <w:lang w:val="en-US"/>
        </w:rPr>
        <w:t xml:space="preserve"> </w:t>
      </w:r>
      <w:r w:rsidRPr="004B6FBA">
        <w:rPr>
          <w:lang w:val="en-US"/>
        </w:rPr>
        <w:t>as surrendering slots for use by competitors). This procedure would be similar to that followed by American Airlines, British</w:t>
      </w:r>
      <w:r>
        <w:rPr>
          <w:lang w:val="en-US"/>
        </w:rPr>
        <w:t xml:space="preserve"> </w:t>
      </w:r>
      <w:r w:rsidRPr="004B6FBA">
        <w:rPr>
          <w:lang w:val="en-US"/>
        </w:rPr>
        <w:t>Airways, and Iberia in the European Union.</w:t>
      </w:r>
    </w:p>
    <w:p w:rsidR="008110FE" w:rsidRDefault="004B6FBA" w:rsidP="004B6FBA">
      <w:pPr>
        <w:rPr>
          <w:lang w:val="en-US"/>
        </w:rPr>
      </w:pPr>
      <w:r w:rsidRPr="008110FE">
        <w:rPr>
          <w:b/>
          <w:bCs/>
          <w:lang w:val="en-US"/>
        </w:rPr>
        <w:t>CONCLUSION</w:t>
      </w:r>
      <w:r>
        <w:rPr>
          <w:lang w:val="en-US"/>
        </w:rPr>
        <w:t xml:space="preserve"> : a</w:t>
      </w:r>
      <w:r w:rsidRPr="004B6FBA">
        <w:rPr>
          <w:lang w:val="en-US"/>
        </w:rPr>
        <w:t xml:space="preserve">bsence of a formal procedure to obtain </w:t>
      </w:r>
      <w:r>
        <w:rPr>
          <w:lang w:val="en-US"/>
        </w:rPr>
        <w:t>ATI</w:t>
      </w:r>
      <w:r w:rsidR="008110FE">
        <w:rPr>
          <w:lang w:val="en-US"/>
        </w:rPr>
        <w:t xml:space="preserve"> but </w:t>
      </w:r>
      <w:r w:rsidRPr="004B6FBA">
        <w:rPr>
          <w:lang w:val="en-US"/>
        </w:rPr>
        <w:t>informal avenues to reduce antitrust risk may be</w:t>
      </w:r>
      <w:r>
        <w:rPr>
          <w:lang w:val="en-US"/>
        </w:rPr>
        <w:t xml:space="preserve"> </w:t>
      </w:r>
      <w:r w:rsidRPr="004B6FBA">
        <w:rPr>
          <w:lang w:val="en-US"/>
        </w:rPr>
        <w:t>available for alliances involving Chinese air carriers or otherwise affecting Ch</w:t>
      </w:r>
      <w:r w:rsidR="008110FE">
        <w:rPr>
          <w:lang w:val="en-US"/>
        </w:rPr>
        <w:t>inese transportation markets.</w:t>
      </w:r>
    </w:p>
    <w:p w:rsidR="004B6FBA" w:rsidRPr="008110FE" w:rsidRDefault="004B6FBA" w:rsidP="008110FE">
      <w:pPr>
        <w:pStyle w:val="ListParagraph"/>
        <w:numPr>
          <w:ilvl w:val="0"/>
          <w:numId w:val="3"/>
        </w:numPr>
        <w:rPr>
          <w:lang w:val="en-US"/>
        </w:rPr>
      </w:pPr>
      <w:r w:rsidRPr="008110FE">
        <w:rPr>
          <w:lang w:val="en-US"/>
        </w:rPr>
        <w:t>Submitting the</w:t>
      </w:r>
      <w:r w:rsidR="008110FE">
        <w:rPr>
          <w:lang w:val="en-US"/>
        </w:rPr>
        <w:t xml:space="preserve"> </w:t>
      </w:r>
      <w:r w:rsidRPr="008110FE">
        <w:rPr>
          <w:lang w:val="en-US"/>
        </w:rPr>
        <w:t>alliance for merger review or offering commitments in a non</w:t>
      </w:r>
      <w:r w:rsidR="008110FE">
        <w:rPr>
          <w:lang w:val="en-US"/>
        </w:rPr>
        <w:t>-</w:t>
      </w:r>
      <w:r w:rsidRPr="008110FE">
        <w:rPr>
          <w:lang w:val="en-US"/>
        </w:rPr>
        <w:t xml:space="preserve">merger investigation seems most promising. </w:t>
      </w:r>
      <w:r w:rsidRPr="008110FE">
        <w:rPr>
          <w:b/>
          <w:bCs/>
          <w:u w:val="single"/>
          <w:lang w:val="en-US"/>
        </w:rPr>
        <w:t>These are as yet</w:t>
      </w:r>
      <w:r w:rsidR="008110FE" w:rsidRPr="008110FE">
        <w:rPr>
          <w:b/>
          <w:bCs/>
          <w:u w:val="single"/>
          <w:lang w:val="en-US"/>
        </w:rPr>
        <w:t xml:space="preserve"> </w:t>
      </w:r>
      <w:r w:rsidRPr="008110FE">
        <w:rPr>
          <w:b/>
          <w:bCs/>
          <w:u w:val="single"/>
          <w:lang w:val="en-US"/>
        </w:rPr>
        <w:t>untested</w:t>
      </w:r>
      <w:r w:rsidRPr="008110FE">
        <w:rPr>
          <w:lang w:val="en-US"/>
        </w:rPr>
        <w:t>, and alliance parties should expect extensive discussions with the enforcement agencies before they can be put in</w:t>
      </w:r>
      <w:r w:rsidR="008110FE">
        <w:rPr>
          <w:lang w:val="en-US"/>
        </w:rPr>
        <w:t xml:space="preserve"> </w:t>
      </w:r>
      <w:r w:rsidRPr="008110FE">
        <w:rPr>
          <w:lang w:val="en-US"/>
        </w:rPr>
        <w:t>place with confidence that they actually will provide some protection.</w:t>
      </w:r>
    </w:p>
    <w:p w:rsidR="004B6FBA" w:rsidRDefault="004B6FBA" w:rsidP="004B6FBA">
      <w:pPr>
        <w:rPr>
          <w:lang w:val="en-US"/>
        </w:rPr>
      </w:pPr>
    </w:p>
    <w:p w:rsidR="008110FE" w:rsidRDefault="008110FE" w:rsidP="004B6FBA">
      <w:pPr>
        <w:rPr>
          <w:lang w:val="en-US"/>
        </w:rPr>
      </w:pPr>
    </w:p>
    <w:p w:rsidR="008110FE" w:rsidRDefault="008110FE" w:rsidP="004B6FBA">
      <w:pPr>
        <w:rPr>
          <w:lang w:val="en-US"/>
        </w:rPr>
      </w:pPr>
    </w:p>
    <w:p w:rsidR="008110FE" w:rsidRDefault="008110FE" w:rsidP="004B6FBA">
      <w:pPr>
        <w:rPr>
          <w:lang w:val="en-US"/>
        </w:rPr>
      </w:pPr>
    </w:p>
    <w:p w:rsidR="008110FE" w:rsidRDefault="008110FE" w:rsidP="004B6FBA">
      <w:pPr>
        <w:rPr>
          <w:lang w:val="en-US"/>
        </w:rPr>
      </w:pPr>
    </w:p>
    <w:p w:rsidR="009F7D77" w:rsidRDefault="009F7D77" w:rsidP="004B6FBA">
      <w:pPr>
        <w:rPr>
          <w:lang w:val="en-US"/>
        </w:rPr>
      </w:pPr>
    </w:p>
    <w:p w:rsidR="009F7D77" w:rsidRDefault="009F7D77" w:rsidP="004B6FBA">
      <w:pPr>
        <w:rPr>
          <w:lang w:val="en-US"/>
        </w:rPr>
      </w:pPr>
    </w:p>
    <w:p w:rsidR="009F7D77" w:rsidRDefault="009F7D77" w:rsidP="004B6FBA">
      <w:pPr>
        <w:rPr>
          <w:lang w:val="en-US"/>
        </w:rPr>
      </w:pPr>
    </w:p>
    <w:p w:rsidR="00AD0A02" w:rsidRDefault="00AD0A02" w:rsidP="009F7D77">
      <w:pPr>
        <w:rPr>
          <w:lang w:val="en-US"/>
        </w:rPr>
      </w:pPr>
    </w:p>
    <w:p w:rsidR="00AD0A02" w:rsidRPr="00AD0A02" w:rsidRDefault="00AD0A02" w:rsidP="00AD0A02">
      <w:pPr>
        <w:rPr>
          <w:b/>
          <w:bCs/>
          <w:lang w:val="en-US"/>
        </w:rPr>
      </w:pPr>
      <w:r w:rsidRPr="00AD0A02">
        <w:rPr>
          <w:b/>
          <w:bCs/>
          <w:highlight w:val="yellow"/>
          <w:lang w:val="en-US"/>
        </w:rPr>
        <w:t>Antimonopoly Law of 30 August 2007 = Antimonopoly Law of the people’s republic of China of 30 August 2007, Presidential Order No 68.</w:t>
      </w:r>
    </w:p>
    <w:p w:rsidR="00020F50" w:rsidRPr="00020F50" w:rsidRDefault="009F7D77" w:rsidP="009F7D77">
      <w:pPr>
        <w:rPr>
          <w:lang w:val="en-US"/>
        </w:rPr>
      </w:pPr>
      <w:r>
        <w:rPr>
          <w:lang w:val="en-US"/>
        </w:rPr>
        <w:t xml:space="preserve">Geographical scope of </w:t>
      </w:r>
      <w:r w:rsidR="00020F50" w:rsidRPr="00020F50">
        <w:rPr>
          <w:lang w:val="en-US"/>
        </w:rPr>
        <w:t xml:space="preserve">application </w:t>
      </w:r>
      <w:r>
        <w:rPr>
          <w:lang w:val="en-US"/>
        </w:rPr>
        <w:t xml:space="preserve">: </w:t>
      </w:r>
      <w:r w:rsidR="00020F50" w:rsidRPr="00020F50">
        <w:rPr>
          <w:lang w:val="en-US"/>
        </w:rPr>
        <w:t xml:space="preserve">territory of China (excluded Honk Hong, Macau and Taiwan) + infringement under the AML if a conduct took place outside the territory of China. </w:t>
      </w:r>
    </w:p>
    <w:p w:rsidR="008A0B8A" w:rsidRPr="00020F50" w:rsidRDefault="008A0B8A" w:rsidP="00020F50">
      <w:pPr>
        <w:rPr>
          <w:lang w:val="en-US"/>
        </w:rPr>
      </w:pPr>
      <w:r w:rsidRPr="00020F50">
        <w:rPr>
          <w:lang w:val="en-US"/>
        </w:rPr>
        <w:t>The Antimonopoly Law applies to</w:t>
      </w:r>
      <w:r w:rsidR="00020F50" w:rsidRPr="00020F50">
        <w:rPr>
          <w:lang w:val="en-US"/>
        </w:rPr>
        <w:t xml:space="preserve"> </w:t>
      </w:r>
      <w:r w:rsidRPr="00020F50">
        <w:rPr>
          <w:lang w:val="en-US"/>
        </w:rPr>
        <w:t>all “undertakings”, defined in the Law as any natural or legal person, or any</w:t>
      </w:r>
      <w:r w:rsidR="00020F50" w:rsidRPr="00020F50">
        <w:rPr>
          <w:lang w:val="en-US"/>
        </w:rPr>
        <w:t xml:space="preserve"> </w:t>
      </w:r>
      <w:r w:rsidRPr="00020F50">
        <w:rPr>
          <w:lang w:val="en-US"/>
        </w:rPr>
        <w:t xml:space="preserve">other </w:t>
      </w:r>
      <w:r w:rsidR="009F7D77" w:rsidRPr="00020F50">
        <w:rPr>
          <w:lang w:val="en-US"/>
        </w:rPr>
        <w:t>organization</w:t>
      </w:r>
      <w:r w:rsidRPr="00020F50">
        <w:rPr>
          <w:lang w:val="en-US"/>
        </w:rPr>
        <w:t>, that produces or deals in goods or provides services.</w:t>
      </w:r>
    </w:p>
    <w:p w:rsidR="00020F50" w:rsidRPr="00020F50" w:rsidRDefault="008A0B8A" w:rsidP="00020F50">
      <w:pPr>
        <w:rPr>
          <w:lang w:val="en-US"/>
        </w:rPr>
      </w:pPr>
      <w:r w:rsidRPr="009F7D77">
        <w:rPr>
          <w:color w:val="FF0000"/>
          <w:lang w:val="en-US"/>
        </w:rPr>
        <w:t xml:space="preserve">Article 7 of the Antimonopoly Law </w:t>
      </w:r>
      <w:r w:rsidRPr="00020F50">
        <w:rPr>
          <w:lang w:val="en-US"/>
        </w:rPr>
        <w:t>contains somewhat ambiguous language</w:t>
      </w:r>
      <w:r w:rsidR="00020F50" w:rsidRPr="00020F50">
        <w:rPr>
          <w:lang w:val="en-US"/>
        </w:rPr>
        <w:t xml:space="preserve"> </w:t>
      </w:r>
      <w:r w:rsidRPr="00020F50">
        <w:rPr>
          <w:lang w:val="en-US"/>
        </w:rPr>
        <w:t>concerning the Law’s application to state-owned enterprises (SOEs),</w:t>
      </w:r>
      <w:r w:rsidR="00020F50" w:rsidRPr="00020F50">
        <w:rPr>
          <w:lang w:val="en-US"/>
        </w:rPr>
        <w:t xml:space="preserve"> </w:t>
      </w:r>
      <w:r w:rsidRPr="00020F50">
        <w:rPr>
          <w:lang w:val="en-US"/>
        </w:rPr>
        <w:t xml:space="preserve">but the majority view is that the Antimonopoly Law applies </w:t>
      </w:r>
      <w:r w:rsidRPr="00020F50">
        <w:rPr>
          <w:color w:val="FF0000"/>
          <w:lang w:val="en-US"/>
        </w:rPr>
        <w:t>equally to all</w:t>
      </w:r>
      <w:r w:rsidR="00020F50" w:rsidRPr="00020F50">
        <w:rPr>
          <w:color w:val="FF0000"/>
          <w:lang w:val="en-US"/>
        </w:rPr>
        <w:t xml:space="preserve"> </w:t>
      </w:r>
      <w:r w:rsidRPr="00020F50">
        <w:rPr>
          <w:color w:val="FF0000"/>
          <w:lang w:val="en-US"/>
        </w:rPr>
        <w:t>undertakings, irrespective of whether they are privately owned or owned</w:t>
      </w:r>
      <w:r w:rsidR="00020F50" w:rsidRPr="00020F50">
        <w:rPr>
          <w:color w:val="FF0000"/>
          <w:lang w:val="en-US"/>
        </w:rPr>
        <w:t xml:space="preserve"> </w:t>
      </w:r>
      <w:r w:rsidRPr="00020F50">
        <w:rPr>
          <w:color w:val="FF0000"/>
          <w:lang w:val="en-US"/>
        </w:rPr>
        <w:t>by the State</w:t>
      </w:r>
      <w:r w:rsidR="009F7D77">
        <w:rPr>
          <w:lang w:val="en-US"/>
        </w:rPr>
        <w:t xml:space="preserve">, </w:t>
      </w:r>
      <w:r w:rsidR="00020F50" w:rsidRPr="00020F50">
        <w:rPr>
          <w:lang w:val="en-US"/>
        </w:rPr>
        <w:t>AVIATION INCLUDED.</w:t>
      </w:r>
    </w:p>
    <w:p w:rsidR="008A0B8A" w:rsidRPr="00020F50" w:rsidRDefault="00020F50" w:rsidP="00020F50">
      <w:pPr>
        <w:rPr>
          <w:color w:val="FF0000"/>
          <w:sz w:val="16"/>
          <w:szCs w:val="16"/>
          <w:lang w:val="en-US"/>
        </w:rPr>
      </w:pPr>
      <w:r w:rsidRPr="00020F50">
        <w:rPr>
          <w:sz w:val="16"/>
          <w:szCs w:val="16"/>
          <w:lang w:val="en-US"/>
        </w:rPr>
        <w:t>(</w:t>
      </w:r>
      <w:r w:rsidR="008A0B8A" w:rsidRPr="00020F50">
        <w:rPr>
          <w:sz w:val="16"/>
          <w:szCs w:val="16"/>
          <w:lang w:val="en-US"/>
        </w:rPr>
        <w:t>only economic sector expressly</w:t>
      </w:r>
      <w:r w:rsidRPr="00020F50">
        <w:rPr>
          <w:color w:val="FF0000"/>
          <w:sz w:val="16"/>
          <w:szCs w:val="16"/>
          <w:lang w:val="en-US"/>
        </w:rPr>
        <w:t xml:space="preserve"> </w:t>
      </w:r>
      <w:r w:rsidR="008A0B8A" w:rsidRPr="00020F50">
        <w:rPr>
          <w:sz w:val="16"/>
          <w:szCs w:val="16"/>
          <w:lang w:val="en-US"/>
        </w:rPr>
        <w:t>excluded from the scope of the Law is agriculture and the activities of rural</w:t>
      </w:r>
      <w:r w:rsidRPr="00020F50">
        <w:rPr>
          <w:color w:val="FF0000"/>
          <w:sz w:val="16"/>
          <w:szCs w:val="16"/>
          <w:lang w:val="en-US"/>
        </w:rPr>
        <w:t xml:space="preserve"> </w:t>
      </w:r>
      <w:r w:rsidR="008A0B8A" w:rsidRPr="00020F50">
        <w:rPr>
          <w:sz w:val="16"/>
          <w:szCs w:val="16"/>
          <w:lang w:val="en-US"/>
        </w:rPr>
        <w:t>economic</w:t>
      </w:r>
      <w:r w:rsidRPr="00020F50">
        <w:rPr>
          <w:sz w:val="16"/>
          <w:szCs w:val="16"/>
          <w:lang w:val="en-US"/>
        </w:rPr>
        <w:t xml:space="preserve"> organizations)</w:t>
      </w:r>
    </w:p>
    <w:p w:rsidR="00B55E8E" w:rsidRDefault="00B55E8E" w:rsidP="008A0B8A">
      <w:pPr>
        <w:rPr>
          <w:lang w:val="en-US"/>
        </w:rPr>
      </w:pPr>
    </w:p>
    <w:p w:rsidR="008A0B8A" w:rsidRPr="00020F50" w:rsidRDefault="008A0B8A" w:rsidP="00B55E8E">
      <w:pPr>
        <w:rPr>
          <w:lang w:val="en-US"/>
        </w:rPr>
      </w:pPr>
      <w:r w:rsidRPr="00020F50">
        <w:rPr>
          <w:lang w:val="en-US"/>
        </w:rPr>
        <w:t xml:space="preserve">Largely following the model of </w:t>
      </w:r>
      <w:r w:rsidRPr="00BC0341">
        <w:rPr>
          <w:b/>
          <w:bCs/>
          <w:lang w:val="en-US"/>
        </w:rPr>
        <w:t>EU and German competition law</w:t>
      </w:r>
      <w:r w:rsidRPr="00020F50">
        <w:rPr>
          <w:lang w:val="en-US"/>
        </w:rPr>
        <w:t xml:space="preserve">, the Antimonopoly Law comprises </w:t>
      </w:r>
      <w:r w:rsidR="00B55E8E">
        <w:rPr>
          <w:lang w:val="en-US"/>
        </w:rPr>
        <w:t>3</w:t>
      </w:r>
      <w:r w:rsidRPr="00020F50">
        <w:rPr>
          <w:lang w:val="en-US"/>
        </w:rPr>
        <w:t xml:space="preserve"> broad sets of rules:</w:t>
      </w:r>
    </w:p>
    <w:p w:rsidR="008A0B8A" w:rsidRDefault="008A0B8A" w:rsidP="008A0B8A">
      <w:pPr>
        <w:rPr>
          <w:lang w:val="en-US"/>
        </w:rPr>
      </w:pPr>
      <w:r w:rsidRPr="00020F50">
        <w:rPr>
          <w:lang w:val="en-US"/>
        </w:rPr>
        <w:t xml:space="preserve">• </w:t>
      </w:r>
      <w:r w:rsidRPr="00B55E8E">
        <w:rPr>
          <w:highlight w:val="yellow"/>
          <w:lang w:val="en-US"/>
        </w:rPr>
        <w:t>conduct rules prohibiting restrictive agreements and the abuse of a dominant market position</w:t>
      </w:r>
      <w:r w:rsidRPr="00020F50">
        <w:rPr>
          <w:lang w:val="en-US"/>
        </w:rPr>
        <w:t xml:space="preserve"> (Chapters II and III of the Law)</w:t>
      </w:r>
    </w:p>
    <w:p w:rsidR="00BC0341" w:rsidRDefault="00BC0341" w:rsidP="00BC0341">
      <w:pPr>
        <w:rPr>
          <w:lang w:val="en-US"/>
        </w:rPr>
      </w:pPr>
      <w:r>
        <w:rPr>
          <w:lang w:val="en-US"/>
        </w:rPr>
        <w:t xml:space="preserve">Prohibition on monopoly agreements </w:t>
      </w:r>
      <w:r w:rsidR="00783645">
        <w:rPr>
          <w:lang w:val="en-US"/>
        </w:rPr>
        <w:t>(art 13 et 14)</w:t>
      </w:r>
    </w:p>
    <w:p w:rsidR="00783645" w:rsidRDefault="00BC0341" w:rsidP="00783645">
      <w:pPr>
        <w:pStyle w:val="ListParagraph"/>
        <w:numPr>
          <w:ilvl w:val="0"/>
          <w:numId w:val="1"/>
        </w:numPr>
        <w:rPr>
          <w:lang w:val="en-US"/>
        </w:rPr>
      </w:pPr>
      <w:r w:rsidRPr="00BC0341">
        <w:rPr>
          <w:lang w:val="en-US"/>
        </w:rPr>
        <w:t xml:space="preserve">Horizontal agreements (agreements to fix prices, to limit supply,  to divide sales markets, to limit the purchase or development of new technology or equipment, joint boycott agreements) </w:t>
      </w:r>
    </w:p>
    <w:p w:rsidR="00BC0341" w:rsidRDefault="00783645" w:rsidP="007836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</w:t>
      </w:r>
      <w:r w:rsidR="00BC0341" w:rsidRPr="00BC0341">
        <w:rPr>
          <w:lang w:val="en-US"/>
        </w:rPr>
        <w:t>ertical agreements (art 14 – 2 types: prohibition of agreements between undertakings active at different levels of the supply chain that fix (</w:t>
      </w:r>
      <w:proofErr w:type="spellStart"/>
      <w:r w:rsidR="00BC0341" w:rsidRPr="00BC0341">
        <w:rPr>
          <w:lang w:val="en-US"/>
        </w:rPr>
        <w:t>i</w:t>
      </w:r>
      <w:proofErr w:type="spellEnd"/>
      <w:r w:rsidR="00BC0341" w:rsidRPr="00BC0341">
        <w:rPr>
          <w:lang w:val="en-US"/>
        </w:rPr>
        <w:t>) resale prices and (ii) minimum resale prices+ “catch-all” provision: prohibition of (iii) other agreements as determined by the relevant antimonopoly enforcement authorities.)</w:t>
      </w:r>
    </w:p>
    <w:p w:rsidR="00BC0341" w:rsidRDefault="00BC0341" w:rsidP="00BC03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Exemptions – Art 15 </w:t>
      </w:r>
      <w:r w:rsidRPr="00BC0341">
        <w:rPr>
          <w:lang w:val="en-US"/>
        </w:rPr>
        <w:t>exemption regime whereby monopoly</w:t>
      </w:r>
      <w:r>
        <w:rPr>
          <w:lang w:val="en-US"/>
        </w:rPr>
        <w:t xml:space="preserve"> </w:t>
      </w:r>
      <w:r w:rsidRPr="00BC0341">
        <w:rPr>
          <w:lang w:val="en-US"/>
        </w:rPr>
        <w:t>agreements with certain specific redeeming benefits are nevertheless</w:t>
      </w:r>
      <w:r>
        <w:rPr>
          <w:lang w:val="en-US"/>
        </w:rPr>
        <w:t xml:space="preserve"> </w:t>
      </w:r>
      <w:r w:rsidRPr="00BC0341">
        <w:rPr>
          <w:lang w:val="en-US"/>
        </w:rPr>
        <w:t>permissible.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FFFFFF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FFFFFF"/>
          <w:sz w:val="19"/>
          <w:szCs w:val="19"/>
        </w:rPr>
        <w:t>Prohibition on monopoly agreements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000000"/>
          <w:sz w:val="19"/>
          <w:szCs w:val="19"/>
        </w:rPr>
        <w:t>Principles</w:t>
      </w:r>
    </w:p>
    <w:p w:rsidR="00783645" w:rsidRDefault="00783645" w:rsidP="00B55E8E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 xml:space="preserve">The prohibition applies </w:t>
      </w:r>
      <w:r w:rsidRPr="00B55E8E">
        <w:rPr>
          <w:rFonts w:ascii="MetaOffcPro-Norm" w:hAnsi="MetaOffcPro-Norm" w:cs="MetaOffcPro-Norm"/>
          <w:color w:val="000000"/>
          <w:sz w:val="19"/>
          <w:szCs w:val="19"/>
        </w:rPr>
        <w:t xml:space="preserve">to </w:t>
      </w:r>
      <w:r w:rsidRPr="00B55E8E">
        <w:rPr>
          <w:rFonts w:ascii="MetaOffcPro-Norm" w:hAnsi="MetaOffcPro-Norm" w:cs="MetaOffcPro-Norm"/>
          <w:color w:val="FF0000"/>
          <w:sz w:val="19"/>
          <w:szCs w:val="19"/>
        </w:rPr>
        <w:t>any written or oral agreements, decisions</w:t>
      </w:r>
      <w:r w:rsidR="00B55E8E" w:rsidRPr="00B55E8E">
        <w:rPr>
          <w:rFonts w:ascii="MetaOffcPro-Norm" w:hAnsi="MetaOffcPro-Norm" w:cs="MetaOffcPro-Norm"/>
          <w:color w:val="FF0000"/>
          <w:sz w:val="19"/>
          <w:szCs w:val="19"/>
        </w:rPr>
        <w:t xml:space="preserve"> </w:t>
      </w:r>
      <w:r w:rsidRPr="00B55E8E">
        <w:rPr>
          <w:rFonts w:ascii="MetaOffcPro-Norm" w:hAnsi="MetaOffcPro-Norm" w:cs="MetaOffcPro-Norm"/>
          <w:color w:val="FF0000"/>
          <w:sz w:val="19"/>
          <w:szCs w:val="19"/>
        </w:rPr>
        <w:t>or understandings, even tacit understandings, that eliminate or</w:t>
      </w:r>
      <w:r w:rsidR="00B55E8E" w:rsidRPr="00B55E8E">
        <w:rPr>
          <w:rFonts w:ascii="MetaOffcPro-Norm" w:hAnsi="MetaOffcPro-Norm" w:cs="MetaOffcPro-Norm"/>
          <w:color w:val="FF0000"/>
          <w:sz w:val="19"/>
          <w:szCs w:val="19"/>
        </w:rPr>
        <w:t xml:space="preserve"> </w:t>
      </w:r>
      <w:r w:rsidRPr="00B55E8E">
        <w:rPr>
          <w:rFonts w:ascii="MetaOffcPro-Norm" w:hAnsi="MetaOffcPro-Norm" w:cs="MetaOffcPro-Norm"/>
          <w:color w:val="FF0000"/>
          <w:sz w:val="19"/>
          <w:szCs w:val="19"/>
        </w:rPr>
        <w:t>restrict competition</w:t>
      </w:r>
      <w:r w:rsidRPr="00B55E8E">
        <w:rPr>
          <w:rFonts w:ascii="MetaOffcPro-Norm" w:hAnsi="MetaOffcPro-Norm" w:cs="MetaOffcPro-Norm"/>
          <w:color w:val="000000"/>
          <w:sz w:val="19"/>
          <w:szCs w:val="19"/>
        </w:rPr>
        <w:t>.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000000"/>
          <w:sz w:val="19"/>
          <w:szCs w:val="19"/>
        </w:rPr>
        <w:t>What is prohibited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price fixing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restriction of output or sales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division of sales or raw material markets</w:t>
      </w:r>
    </w:p>
    <w:p w:rsidR="00783645" w:rsidRDefault="00783645" w:rsidP="00B55E8E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restriction on the purchase or development of new technology or</w:t>
      </w:r>
      <w:r w:rsidR="00B55E8E">
        <w:rPr>
          <w:rFonts w:ascii="MetaOffcPro-Norm" w:hAnsi="MetaOffcPro-Norm" w:cs="MetaOffcPro-Norm"/>
          <w:color w:val="000000"/>
          <w:sz w:val="19"/>
          <w:szCs w:val="19"/>
        </w:rPr>
        <w:t xml:space="preserve"> </w:t>
      </w:r>
      <w:r>
        <w:rPr>
          <w:rFonts w:ascii="MetaOffcPro-Norm" w:hAnsi="MetaOffcPro-Norm" w:cs="MetaOffcPro-Norm"/>
          <w:color w:val="000000"/>
          <w:sz w:val="19"/>
          <w:szCs w:val="19"/>
        </w:rPr>
        <w:t>equipment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collective boycotts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fixed or minimum resale prices in distribution contracts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other practices as may be determined by the agencies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000000"/>
          <w:sz w:val="19"/>
          <w:szCs w:val="19"/>
        </w:rPr>
        <w:t>Exemptions</w:t>
      </w:r>
    </w:p>
    <w:p w:rsidR="00783645" w:rsidRDefault="00783645" w:rsidP="00B55E8E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Exemptions may be available where the agreement was concluded for a</w:t>
      </w:r>
      <w:r w:rsidR="00B55E8E">
        <w:rPr>
          <w:rFonts w:ascii="MetaOffcPro-Norm" w:hAnsi="MetaOffcPro-Norm" w:cs="MetaOffcPro-Norm"/>
          <w:color w:val="000000"/>
          <w:sz w:val="19"/>
          <w:szCs w:val="19"/>
        </w:rPr>
        <w:t xml:space="preserve"> particular beneficial purpose.</w:t>
      </w:r>
    </w:p>
    <w:p w:rsidR="00783645" w:rsidRPr="00783645" w:rsidRDefault="00783645" w:rsidP="00783645">
      <w:pPr>
        <w:rPr>
          <w:lang w:val="en-US"/>
        </w:rPr>
      </w:pPr>
    </w:p>
    <w:p w:rsidR="00783645" w:rsidRDefault="00783645" w:rsidP="00783645">
      <w:pPr>
        <w:rPr>
          <w:lang w:val="en-US"/>
        </w:rPr>
      </w:pPr>
      <w:r w:rsidRPr="00783645">
        <w:rPr>
          <w:lang w:val="en-US"/>
        </w:rPr>
        <w:t>Prohibition of abuse of dominant position</w:t>
      </w:r>
      <w:r>
        <w:rPr>
          <w:lang w:val="en-US"/>
        </w:rPr>
        <w:t xml:space="preserve"> (art 17, 18, 19)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FFFFFF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FFFFFF"/>
          <w:sz w:val="19"/>
          <w:szCs w:val="19"/>
        </w:rPr>
        <w:t>Prohibition on the abuse of dominance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000000"/>
          <w:sz w:val="19"/>
          <w:szCs w:val="19"/>
        </w:rPr>
        <w:t>Principles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Only the abuse of dominance is prohibited.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Dominance may be presumed if certain market share thresholds are met.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000000"/>
          <w:sz w:val="19"/>
          <w:szCs w:val="19"/>
        </w:rPr>
        <w:t>What is prohibited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unfairly high or low prices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below-cost pricing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refusal to deal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exclusive dealing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tying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discriminatory practices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other conduct as may be determined by the agencies</w:t>
      </w:r>
    </w:p>
    <w:p w:rsidR="00783645" w:rsidRDefault="00783645" w:rsidP="00783645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000000"/>
          <w:sz w:val="19"/>
          <w:szCs w:val="19"/>
        </w:rPr>
        <w:t>Justifications</w:t>
      </w:r>
    </w:p>
    <w:p w:rsidR="00783645" w:rsidRDefault="00783645" w:rsidP="00B55E8E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Certain practices may be justified where there is a valid reason (</w:t>
      </w:r>
      <w:proofErr w:type="spellStart"/>
      <w:r>
        <w:rPr>
          <w:rFonts w:ascii="MetaOffcPro-Norm" w:hAnsi="MetaOffcPro-Norm" w:cs="MetaOffcPro-Norm"/>
          <w:color w:val="000000"/>
          <w:sz w:val="19"/>
          <w:szCs w:val="19"/>
        </w:rPr>
        <w:t>eg</w:t>
      </w:r>
      <w:proofErr w:type="spellEnd"/>
      <w:r>
        <w:rPr>
          <w:rFonts w:ascii="MetaOffcPro-Norm" w:hAnsi="MetaOffcPro-Norm" w:cs="MetaOffcPro-Norm"/>
          <w:color w:val="000000"/>
          <w:sz w:val="19"/>
          <w:szCs w:val="19"/>
        </w:rPr>
        <w:t>, trade</w:t>
      </w:r>
      <w:r w:rsidR="00B55E8E">
        <w:rPr>
          <w:rFonts w:ascii="MetaOffcPro-Norm" w:hAnsi="MetaOffcPro-Norm" w:cs="MetaOffcPro-Norm"/>
          <w:color w:val="000000"/>
          <w:sz w:val="19"/>
          <w:szCs w:val="19"/>
        </w:rPr>
        <w:t xml:space="preserve"> </w:t>
      </w:r>
      <w:r>
        <w:rPr>
          <w:rFonts w:ascii="MetaOffcPro-Norm" w:hAnsi="MetaOffcPro-Norm" w:cs="MetaOffcPro-Norm"/>
          <w:color w:val="000000"/>
          <w:sz w:val="19"/>
          <w:szCs w:val="19"/>
        </w:rPr>
        <w:t xml:space="preserve">practices, public interest, economic circumstances, </w:t>
      </w:r>
      <w:proofErr w:type="spellStart"/>
      <w:r>
        <w:rPr>
          <w:rFonts w:ascii="MetaOffcPro-Norm" w:hAnsi="MetaOffcPro-Norm" w:cs="MetaOffcPro-Norm"/>
          <w:color w:val="000000"/>
          <w:sz w:val="19"/>
          <w:szCs w:val="19"/>
        </w:rPr>
        <w:t>etc</w:t>
      </w:r>
      <w:proofErr w:type="spellEnd"/>
      <w:r>
        <w:rPr>
          <w:rFonts w:ascii="MetaOffcPro-Norm" w:hAnsi="MetaOffcPro-Norm" w:cs="MetaOffcPro-Norm"/>
          <w:color w:val="000000"/>
          <w:sz w:val="19"/>
          <w:szCs w:val="19"/>
        </w:rPr>
        <w:t>)</w:t>
      </w:r>
    </w:p>
    <w:p w:rsidR="00783645" w:rsidRPr="00783645" w:rsidRDefault="00783645" w:rsidP="00783645">
      <w:pPr>
        <w:rPr>
          <w:lang w:val="en-US"/>
        </w:rPr>
      </w:pPr>
      <w:r>
        <w:rPr>
          <w:rFonts w:ascii="MetaOffcPro-Bold" w:hAnsi="MetaOffcPro-Bold" w:cs="MetaOffcPro-Bold"/>
          <w:b/>
          <w:bCs/>
          <w:color w:val="FFFFFF"/>
          <w:sz w:val="19"/>
          <w:szCs w:val="19"/>
        </w:rPr>
        <w:t>Relevance</w:t>
      </w:r>
    </w:p>
    <w:p w:rsidR="00B55E8E" w:rsidRDefault="008A0B8A" w:rsidP="00B55E8E">
      <w:pPr>
        <w:rPr>
          <w:lang w:val="en-US"/>
        </w:rPr>
      </w:pPr>
      <w:r w:rsidRPr="00020F50">
        <w:rPr>
          <w:lang w:val="en-US"/>
        </w:rPr>
        <w:t xml:space="preserve">• </w:t>
      </w:r>
      <w:r w:rsidRPr="00B55E8E">
        <w:rPr>
          <w:highlight w:val="yellow"/>
          <w:lang w:val="en-US"/>
        </w:rPr>
        <w:t>merger rules to control large M&amp;A activity and prevent mergers that restrict competition</w:t>
      </w:r>
      <w:r w:rsidRPr="00020F50">
        <w:rPr>
          <w:lang w:val="en-US"/>
        </w:rPr>
        <w:t xml:space="preserve"> (Chapter IV of the Law)</w:t>
      </w:r>
    </w:p>
    <w:p w:rsidR="008E1A06" w:rsidRPr="008E1A06" w:rsidRDefault="00C83155" w:rsidP="008E1A06">
      <w:pPr>
        <w:rPr>
          <w:lang w:val="en-US"/>
        </w:rPr>
      </w:pPr>
      <w:r>
        <w:rPr>
          <w:lang w:val="en-US"/>
        </w:rPr>
        <w:t>MERGER CONTROL</w:t>
      </w:r>
    </w:p>
    <w:p w:rsidR="008E1A06" w:rsidRDefault="008E1A06" w:rsidP="008E1A06">
      <w:pPr>
        <w:rPr>
          <w:lang w:val="en-US"/>
        </w:rPr>
      </w:pPr>
      <w:r>
        <w:rPr>
          <w:lang w:val="en-US"/>
        </w:rPr>
        <w:t>B</w:t>
      </w:r>
      <w:r w:rsidRPr="008E1A06">
        <w:rPr>
          <w:lang w:val="en-US"/>
        </w:rPr>
        <w:t xml:space="preserve">usiness transactions </w:t>
      </w:r>
      <w:r>
        <w:rPr>
          <w:lang w:val="en-US"/>
        </w:rPr>
        <w:t xml:space="preserve">= </w:t>
      </w:r>
      <w:r w:rsidRPr="008E1A06">
        <w:rPr>
          <w:lang w:val="en-US"/>
        </w:rPr>
        <w:t xml:space="preserve">“concentrations” as defined in </w:t>
      </w:r>
      <w:r w:rsidRPr="008E1A06">
        <w:rPr>
          <w:color w:val="FF0000"/>
          <w:lang w:val="en-US"/>
        </w:rPr>
        <w:t>Article 20 of the Antimonopoly Law</w:t>
      </w:r>
      <w:r>
        <w:rPr>
          <w:lang w:val="en-US"/>
        </w:rPr>
        <w:t xml:space="preserve">: </w:t>
      </w:r>
      <w:r w:rsidRPr="008E1A06">
        <w:rPr>
          <w:lang w:val="en-US"/>
        </w:rPr>
        <w:t>mergers</w:t>
      </w:r>
      <w:r>
        <w:rPr>
          <w:lang w:val="en-US"/>
        </w:rPr>
        <w:t xml:space="preserve">, </w:t>
      </w:r>
      <w:r w:rsidRPr="008E1A06">
        <w:rPr>
          <w:lang w:val="en-US"/>
        </w:rPr>
        <w:t>acquisitions of control of other un</w:t>
      </w:r>
      <w:r>
        <w:rPr>
          <w:lang w:val="en-US"/>
        </w:rPr>
        <w:t xml:space="preserve">dertakings by means of equity of, </w:t>
      </w:r>
      <w:r w:rsidRPr="008E1A06">
        <w:rPr>
          <w:lang w:val="en-US"/>
        </w:rPr>
        <w:t>asset purchase</w:t>
      </w:r>
      <w:r>
        <w:rPr>
          <w:lang w:val="en-US"/>
        </w:rPr>
        <w:t xml:space="preserve">, </w:t>
      </w:r>
      <w:r w:rsidRPr="008E1A06">
        <w:rPr>
          <w:lang w:val="en-US"/>
        </w:rPr>
        <w:t>acquisitions of control or decisive influence on other undertakings by</w:t>
      </w:r>
      <w:r>
        <w:rPr>
          <w:lang w:val="en-US"/>
        </w:rPr>
        <w:t xml:space="preserve"> </w:t>
      </w:r>
      <w:r w:rsidRPr="008E1A06">
        <w:rPr>
          <w:lang w:val="en-US"/>
        </w:rPr>
        <w:t>contract or any other means.</w:t>
      </w:r>
    </w:p>
    <w:p w:rsidR="008E1A06" w:rsidRDefault="008E1A06" w:rsidP="00B427C0">
      <w:pPr>
        <w:rPr>
          <w:lang w:val="en-US"/>
        </w:rPr>
      </w:pPr>
      <w:r>
        <w:rPr>
          <w:lang w:val="en-US"/>
        </w:rPr>
        <w:t xml:space="preserve">Joint venture: similar to </w:t>
      </w:r>
      <w:r w:rsidR="00B427C0">
        <w:rPr>
          <w:lang w:val="en-US"/>
        </w:rPr>
        <w:t>EU</w:t>
      </w:r>
      <w:r>
        <w:rPr>
          <w:lang w:val="en-US"/>
        </w:rPr>
        <w:t xml:space="preserve"> </w:t>
      </w:r>
      <w:r w:rsidR="00B427C0">
        <w:rPr>
          <w:lang w:val="en-US"/>
        </w:rPr>
        <w:t xml:space="preserve">regime </w:t>
      </w:r>
      <w:r>
        <w:rPr>
          <w:lang w:val="en-US"/>
        </w:rPr>
        <w:t xml:space="preserve">– </w:t>
      </w:r>
      <w:r w:rsidR="00B427C0">
        <w:rPr>
          <w:lang w:val="en-US"/>
        </w:rPr>
        <w:t>differentiation</w:t>
      </w:r>
      <w:r>
        <w:rPr>
          <w:lang w:val="en-US"/>
        </w:rPr>
        <w:t xml:space="preserve"> between </w:t>
      </w:r>
      <w:r w:rsidRPr="00B427C0">
        <w:rPr>
          <w:b/>
          <w:bCs/>
          <w:lang w:val="en-US"/>
        </w:rPr>
        <w:t>full-function JV</w:t>
      </w:r>
      <w:r w:rsidR="00B427C0">
        <w:rPr>
          <w:b/>
          <w:bCs/>
          <w:lang w:val="en-US"/>
        </w:rPr>
        <w:t xml:space="preserve"> </w:t>
      </w:r>
      <w:r w:rsidRPr="00B427C0">
        <w:rPr>
          <w:b/>
          <w:bCs/>
          <w:lang w:val="en-US"/>
        </w:rPr>
        <w:t xml:space="preserve">and partial full-function JV </w:t>
      </w:r>
      <w:r>
        <w:rPr>
          <w:lang w:val="en-US"/>
        </w:rPr>
        <w:t>(performing on a lasting basis all the fun</w:t>
      </w:r>
      <w:r w:rsidR="00B427C0">
        <w:rPr>
          <w:lang w:val="en-US"/>
        </w:rPr>
        <w:t xml:space="preserve">ctions of an autonomous entity). Absence of clear precedent. </w:t>
      </w:r>
    </w:p>
    <w:p w:rsidR="00B427C0" w:rsidRDefault="00B427C0" w:rsidP="00B427C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427C0" w:rsidTr="00460F5B">
        <w:tc>
          <w:tcPr>
            <w:tcW w:w="9576" w:type="dxa"/>
            <w:gridSpan w:val="2"/>
          </w:tcPr>
          <w:p w:rsidR="00B427C0" w:rsidRDefault="00B427C0" w:rsidP="00B42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Reportable concentrations</w:t>
            </w:r>
          </w:p>
        </w:tc>
      </w:tr>
      <w:tr w:rsidR="00B427C0" w:rsidTr="00B427C0">
        <w:tc>
          <w:tcPr>
            <w:tcW w:w="4788" w:type="dxa"/>
          </w:tcPr>
          <w:p w:rsidR="00B427C0" w:rsidRPr="00B427C0" w:rsidRDefault="00B427C0" w:rsidP="00B427C0">
            <w:pPr>
              <w:rPr>
                <w:lang w:val="en-US"/>
              </w:rPr>
            </w:pPr>
            <w:r w:rsidRPr="00B427C0">
              <w:rPr>
                <w:lang w:val="en-US"/>
              </w:rPr>
              <w:t>• mergers</w:t>
            </w:r>
          </w:p>
          <w:p w:rsidR="00B427C0" w:rsidRPr="00B427C0" w:rsidRDefault="00B427C0" w:rsidP="00B427C0">
            <w:pPr>
              <w:rPr>
                <w:lang w:val="en-US"/>
              </w:rPr>
            </w:pPr>
            <w:r w:rsidRPr="00B427C0">
              <w:rPr>
                <w:lang w:val="en-US"/>
              </w:rPr>
              <w:t>• acquisitions of control by means of equity or asset purchase</w:t>
            </w:r>
          </w:p>
          <w:p w:rsidR="00B427C0" w:rsidRDefault="00B427C0" w:rsidP="00B427C0">
            <w:pPr>
              <w:rPr>
                <w:lang w:val="en-US"/>
              </w:rPr>
            </w:pPr>
            <w:r w:rsidRPr="00B427C0">
              <w:rPr>
                <w:lang w:val="en-US"/>
              </w:rPr>
              <w:t>• acquisitions of control or decisive influence by contract or other means</w:t>
            </w:r>
          </w:p>
        </w:tc>
        <w:tc>
          <w:tcPr>
            <w:tcW w:w="4788" w:type="dxa"/>
          </w:tcPr>
          <w:p w:rsidR="00B427C0" w:rsidRDefault="00B427C0" w:rsidP="00B427C0">
            <w:pPr>
              <w:rPr>
                <w:lang w:val="en-US"/>
              </w:rPr>
            </w:pPr>
            <w:r w:rsidRPr="00B427C0">
              <w:rPr>
                <w:lang w:val="en-US"/>
              </w:rPr>
              <w:t xml:space="preserve">• combined worldwide turnover of all undertakings exceeds RMB10 billion and China-wide turnover of each of at least two undertakings exceeds RMB400 million </w:t>
            </w:r>
          </w:p>
          <w:p w:rsidR="00B427C0" w:rsidRPr="00B427C0" w:rsidRDefault="00B427C0" w:rsidP="00B427C0">
            <w:pPr>
              <w:rPr>
                <w:lang w:val="en-US"/>
              </w:rPr>
            </w:pPr>
            <w:r w:rsidRPr="00B427C0">
              <w:rPr>
                <w:lang w:val="en-US"/>
              </w:rPr>
              <w:t>or</w:t>
            </w:r>
          </w:p>
          <w:p w:rsidR="00B427C0" w:rsidRDefault="00B427C0" w:rsidP="00B427C0">
            <w:pPr>
              <w:rPr>
                <w:lang w:val="en-US"/>
              </w:rPr>
            </w:pPr>
            <w:r w:rsidRPr="00B427C0">
              <w:rPr>
                <w:lang w:val="en-US"/>
              </w:rPr>
              <w:t>• combined China-wide turnover of all undertakings exceeds RMB2 billion and China-wide turnover of each of at least two undertakings exceeds RMB400 million</w:t>
            </w:r>
          </w:p>
        </w:tc>
      </w:tr>
    </w:tbl>
    <w:p w:rsidR="00B427C0" w:rsidRDefault="00B427C0" w:rsidP="00B427C0">
      <w:pPr>
        <w:rPr>
          <w:lang w:val="en-US"/>
        </w:rPr>
      </w:pP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FFFFFF"/>
          <w:sz w:val="19"/>
          <w:szCs w:val="19"/>
        </w:rPr>
      </w:pPr>
      <w:r>
        <w:rPr>
          <w:rFonts w:ascii="MetaOffcPro-Bold" w:hAnsi="MetaOffcPro-Bold" w:cs="MetaOffcPro-Bold"/>
          <w:b/>
          <w:bCs/>
          <w:color w:val="FFFFFF"/>
          <w:sz w:val="19"/>
          <w:szCs w:val="19"/>
        </w:rPr>
        <w:t>Compulsory notification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7"/>
          <w:szCs w:val="17"/>
        </w:rPr>
      </w:pPr>
      <w:r>
        <w:rPr>
          <w:rFonts w:ascii="MetaOffcPro-Bold" w:hAnsi="MetaOffcPro-Bold" w:cs="MetaOffcPro-Bold"/>
          <w:b/>
          <w:bCs/>
          <w:color w:val="000000"/>
          <w:sz w:val="17"/>
          <w:szCs w:val="17"/>
        </w:rPr>
        <w:t>Timing of notification: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7"/>
          <w:szCs w:val="17"/>
        </w:rPr>
      </w:pPr>
      <w:r>
        <w:rPr>
          <w:rFonts w:ascii="MetaOffcPro-Norm" w:hAnsi="MetaOffcPro-Norm" w:cs="MetaOffcPro-Norm"/>
          <w:color w:val="000000"/>
          <w:sz w:val="17"/>
          <w:szCs w:val="17"/>
        </w:rPr>
        <w:t>prior to the implementation of the transaction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7"/>
          <w:szCs w:val="17"/>
        </w:rPr>
      </w:pPr>
      <w:r>
        <w:rPr>
          <w:rFonts w:ascii="MetaOffcPro-Bold" w:hAnsi="MetaOffcPro-Bold" w:cs="MetaOffcPro-Bold"/>
          <w:b/>
          <w:bCs/>
          <w:color w:val="000000"/>
          <w:sz w:val="17"/>
          <w:szCs w:val="17"/>
        </w:rPr>
        <w:t>Standstill obligation: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7"/>
          <w:szCs w:val="17"/>
        </w:rPr>
      </w:pPr>
      <w:r>
        <w:rPr>
          <w:rFonts w:ascii="MetaOffcPro-Norm" w:hAnsi="MetaOffcPro-Norm" w:cs="MetaOffcPro-Norm"/>
          <w:color w:val="000000"/>
          <w:sz w:val="17"/>
          <w:szCs w:val="17"/>
        </w:rPr>
        <w:t>the transaction cannot be implemented until it has been cleared by MOFCOM, or, in the absence of a decision, by expiry of the statutory deadline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Bold" w:hAnsi="MetaOffcPro-Bold" w:cs="MetaOffcPro-Bold"/>
          <w:b/>
          <w:bCs/>
          <w:color w:val="000000"/>
          <w:sz w:val="17"/>
          <w:szCs w:val="17"/>
        </w:rPr>
      </w:pPr>
      <w:r>
        <w:rPr>
          <w:rFonts w:ascii="MetaOffcPro-Bold" w:hAnsi="MetaOffcPro-Bold" w:cs="MetaOffcPro-Bold"/>
          <w:b/>
          <w:bCs/>
          <w:color w:val="000000"/>
          <w:sz w:val="17"/>
          <w:szCs w:val="17"/>
        </w:rPr>
        <w:t>Failure to notify: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7"/>
          <w:szCs w:val="17"/>
        </w:rPr>
      </w:pPr>
      <w:r>
        <w:rPr>
          <w:rFonts w:ascii="MetaOffcPro-Norm" w:hAnsi="MetaOffcPro-Norm" w:cs="MetaOffcPro-Norm"/>
          <w:color w:val="000000"/>
          <w:sz w:val="17"/>
          <w:szCs w:val="17"/>
        </w:rPr>
        <w:t>MOFCOM can impose a fine up to RMB500,000 as well as an order to stop or unwind the implementation of the transaction or take any measure to restore pre-existing market conditions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7"/>
          <w:szCs w:val="17"/>
        </w:rPr>
      </w:pP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7"/>
          <w:szCs w:val="17"/>
        </w:rPr>
      </w:pP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7"/>
          <w:szCs w:val="17"/>
        </w:rPr>
      </w:pP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7"/>
          <w:szCs w:val="17"/>
        </w:rPr>
      </w:pPr>
      <w:r>
        <w:rPr>
          <w:rFonts w:ascii="MetaOffcPro-Norm" w:hAnsi="MetaOffcPro-Norm" w:cs="MetaOffcPro-Norm"/>
          <w:color w:val="000000"/>
          <w:sz w:val="17"/>
          <w:szCs w:val="17"/>
        </w:rPr>
        <w:t xml:space="preserve">Common type of transaction subject to merger control on China </w:t>
      </w:r>
    </w:p>
    <w:p w:rsidR="00B427C0" w:rsidRP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7"/>
          <w:szCs w:val="17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merger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acquisition of all the shares of another company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majority share acquisition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minority share acquisition with control rights</w:t>
      </w:r>
    </w:p>
    <w:p w:rsidR="00B427C0" w:rsidRDefault="00B427C0" w:rsidP="00B427C0">
      <w:pPr>
        <w:autoSpaceDE w:val="0"/>
        <w:autoSpaceDN w:val="0"/>
        <w:adjustRightInd w:val="0"/>
        <w:spacing w:after="0" w:line="240" w:lineRule="auto"/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greenfield joint venture</w:t>
      </w:r>
    </w:p>
    <w:p w:rsidR="00B427C0" w:rsidRDefault="00B427C0" w:rsidP="00B427C0">
      <w:pPr>
        <w:rPr>
          <w:rFonts w:ascii="MetaOffcPro-Norm" w:hAnsi="MetaOffcPro-Norm" w:cs="MetaOffcPro-Norm"/>
          <w:color w:val="000000"/>
          <w:sz w:val="19"/>
          <w:szCs w:val="19"/>
        </w:rPr>
      </w:pPr>
      <w:r>
        <w:rPr>
          <w:rFonts w:ascii="MetaOffcPro-Norm" w:hAnsi="MetaOffcPro-Norm" w:cs="MetaOffcPro-Norm"/>
          <w:color w:val="000000"/>
          <w:sz w:val="19"/>
          <w:szCs w:val="19"/>
        </w:rPr>
        <w:t>• acquisition of a business through the purchase of its assets</w:t>
      </w:r>
    </w:p>
    <w:p w:rsidR="00B427C0" w:rsidRPr="00020F50" w:rsidRDefault="00B427C0" w:rsidP="00B427C0">
      <w:pPr>
        <w:rPr>
          <w:lang w:val="en-US"/>
        </w:rPr>
      </w:pPr>
    </w:p>
    <w:p w:rsidR="008A0B8A" w:rsidRPr="00020F50" w:rsidRDefault="008A0B8A" w:rsidP="008A0B8A">
      <w:pPr>
        <w:rPr>
          <w:lang w:val="en-US"/>
        </w:rPr>
      </w:pPr>
      <w:r w:rsidRPr="00020F50">
        <w:rPr>
          <w:lang w:val="en-US"/>
        </w:rPr>
        <w:t xml:space="preserve">• </w:t>
      </w:r>
      <w:r w:rsidRPr="00B55E8E">
        <w:rPr>
          <w:highlight w:val="yellow"/>
          <w:lang w:val="en-US"/>
        </w:rPr>
        <w:t>rules prohibiting the abuse of administrative power that leads to restrictions of competition</w:t>
      </w:r>
      <w:r w:rsidRPr="00020F50">
        <w:rPr>
          <w:lang w:val="en-US"/>
        </w:rPr>
        <w:t xml:space="preserve"> (Chapter V of the Law).</w:t>
      </w:r>
    </w:p>
    <w:p w:rsidR="008A0B8A" w:rsidRDefault="008A0B8A" w:rsidP="008A0B8A">
      <w:pPr>
        <w:rPr>
          <w:b/>
          <w:bCs/>
          <w:lang w:val="en-US"/>
        </w:rPr>
      </w:pPr>
    </w:p>
    <w:p w:rsidR="008110FE" w:rsidRDefault="008110FE" w:rsidP="00F75FA4">
      <w:pPr>
        <w:pStyle w:val="Heading1"/>
        <w:rPr>
          <w:lang w:val="en-US"/>
        </w:rPr>
      </w:pPr>
      <w:r w:rsidRPr="00EA31FA">
        <w:rPr>
          <w:lang w:val="en-US"/>
        </w:rPr>
        <w:t xml:space="preserve">Alliances review – Antitrust </w:t>
      </w:r>
      <w:r w:rsidR="00F75FA4">
        <w:rPr>
          <w:lang w:val="en-US"/>
        </w:rPr>
        <w:t xml:space="preserve">– Summary </w:t>
      </w:r>
    </w:p>
    <w:p w:rsidR="00F75FA4" w:rsidRPr="00F75FA4" w:rsidRDefault="00F75FA4" w:rsidP="00F75FA4">
      <w:pPr>
        <w:rPr>
          <w:lang w:val="en-US"/>
        </w:rPr>
      </w:pPr>
    </w:p>
    <w:p w:rsidR="008A0B8A" w:rsidRPr="00F75FA4" w:rsidRDefault="008110FE" w:rsidP="008110FE">
      <w:pPr>
        <w:rPr>
          <w:b/>
          <w:bCs/>
          <w:i/>
          <w:iCs/>
          <w:color w:val="FF0000"/>
          <w:lang w:val="en-US"/>
        </w:rPr>
      </w:pPr>
      <w:r w:rsidRPr="00F75FA4">
        <w:rPr>
          <w:b/>
          <w:bCs/>
          <w:i/>
          <w:iCs/>
          <w:color w:val="FF0000"/>
          <w:lang w:val="en-US"/>
        </w:rPr>
        <w:t xml:space="preserve">PRC Anti-Monopoly Law ("AML") – merger + concentrations </w:t>
      </w:r>
    </w:p>
    <w:p w:rsidR="008110FE" w:rsidRPr="008A0B8A" w:rsidRDefault="008A0B8A" w:rsidP="008110FE">
      <w:pPr>
        <w:rPr>
          <w:color w:val="FF0000"/>
          <w:lang w:val="en-US"/>
        </w:rPr>
      </w:pPr>
      <w:r w:rsidRPr="008A0B8A">
        <w:rPr>
          <w:color w:val="FF0000"/>
          <w:highlight w:val="yellow"/>
          <w:lang w:val="en-US"/>
        </w:rPr>
        <w:t>Antimonopoly Law of the People’s Republic of China of 30 August 2007, Presidential Order No 68.</w:t>
      </w:r>
    </w:p>
    <w:p w:rsidR="008110FE" w:rsidRDefault="008110FE" w:rsidP="004B6FBA">
      <w:pPr>
        <w:rPr>
          <w:lang w:val="en-US"/>
        </w:rPr>
      </w:pPr>
      <w:r>
        <w:rPr>
          <w:lang w:val="en-US"/>
        </w:rPr>
        <w:t xml:space="preserve">Art 13 </w:t>
      </w:r>
      <w:r w:rsidRPr="008110FE">
        <w:rPr>
          <w:lang w:val="en-US"/>
        </w:rPr>
        <w:t>for concentrations (prohibition</w:t>
      </w:r>
      <w:r>
        <w:rPr>
          <w:lang w:val="en-US"/>
        </w:rPr>
        <w:t xml:space="preserve"> of anticompetitive agreements) – rule of reason </w:t>
      </w:r>
    </w:p>
    <w:p w:rsidR="008110FE" w:rsidRDefault="008110FE" w:rsidP="008110FE">
      <w:pPr>
        <w:rPr>
          <w:lang w:val="en-US"/>
        </w:rPr>
      </w:pPr>
      <w:r>
        <w:rPr>
          <w:lang w:val="en-US"/>
        </w:rPr>
        <w:t>Art 15 – Exemption (</w:t>
      </w:r>
      <w:r w:rsidR="00020F50">
        <w:rPr>
          <w:lang w:val="en-US"/>
        </w:rPr>
        <w:t>≈</w:t>
      </w:r>
      <w:r>
        <w:rPr>
          <w:lang w:val="en-US"/>
        </w:rPr>
        <w:t>ATI) under 3 cumulative conditions (parties self-assessment – no need to apply)</w:t>
      </w:r>
      <w:r w:rsidR="00020F50">
        <w:rPr>
          <w:lang w:val="en-US"/>
        </w:rPr>
        <w:t>. More an exception regime than an</w:t>
      </w:r>
      <w:r w:rsidR="00BC0341">
        <w:rPr>
          <w:lang w:val="en-US"/>
        </w:rPr>
        <w:t xml:space="preserve"> exemption (similar to TFUE art 101 (3)).</w:t>
      </w:r>
    </w:p>
    <w:p w:rsidR="00EA31FA" w:rsidRDefault="00EA31FA" w:rsidP="00EA31FA">
      <w:pPr>
        <w:rPr>
          <w:lang w:val="en-US"/>
        </w:rPr>
      </w:pPr>
      <w:r w:rsidRPr="00EA31FA">
        <w:rPr>
          <w:lang w:val="en-US"/>
        </w:rPr>
        <w:t>certain forms of alliances may have to be submitted to MOFCOM under the merger review provisions</w:t>
      </w:r>
      <w:r>
        <w:rPr>
          <w:lang w:val="en-US"/>
        </w:rPr>
        <w:t xml:space="preserve"> </w:t>
      </w:r>
      <w:r w:rsidRPr="00EA31FA">
        <w:rPr>
          <w:lang w:val="en-US"/>
        </w:rPr>
        <w:t xml:space="preserve">(pre-merger notification). </w:t>
      </w:r>
      <w:r>
        <w:rPr>
          <w:lang w:val="en-US"/>
        </w:rPr>
        <w:t xml:space="preserve"> </w:t>
      </w:r>
      <w:r w:rsidRPr="00EA31FA">
        <w:rPr>
          <w:lang w:val="en-US"/>
        </w:rPr>
        <w:t xml:space="preserve">If MOFCOM considers that an alliance does not have anticompetitive effects, it will issue a clearance decision, although sometimes with conditions. MOFCOM's allowing the joint venture to be formed implies "immunity" for the alliance partners for conduct undertaken by the joint venture. </w:t>
      </w:r>
    </w:p>
    <w:p w:rsidR="00EA31FA" w:rsidRDefault="00EA31FA" w:rsidP="00EA31FA">
      <w:pPr>
        <w:rPr>
          <w:sz w:val="18"/>
          <w:szCs w:val="18"/>
          <w:lang w:val="en-US"/>
        </w:rPr>
      </w:pPr>
      <w:r w:rsidRPr="00EA31FA">
        <w:rPr>
          <w:sz w:val="18"/>
          <w:szCs w:val="18"/>
          <w:lang w:val="en-US"/>
        </w:rPr>
        <w:t>However, it may not protect the parties from challenges by other enforcement agencies or private parties for alleged harms caus</w:t>
      </w:r>
      <w:r w:rsidRPr="00EA31FA">
        <w:rPr>
          <w:rFonts w:hint="eastAsia"/>
          <w:sz w:val="18"/>
          <w:szCs w:val="18"/>
          <w:lang w:val="en-US"/>
        </w:rPr>
        <w:t xml:space="preserve">ed by the joint </w:t>
      </w:r>
      <w:r>
        <w:rPr>
          <w:sz w:val="18"/>
          <w:szCs w:val="18"/>
          <w:lang w:val="en-US"/>
        </w:rPr>
        <w:t>ventures</w:t>
      </w:r>
      <w:r w:rsidRPr="00EA31FA">
        <w:rPr>
          <w:sz w:val="18"/>
          <w:szCs w:val="18"/>
          <w:lang w:val="en-US"/>
        </w:rPr>
        <w:t>‘</w:t>
      </w:r>
      <w:r>
        <w:rPr>
          <w:sz w:val="18"/>
          <w:szCs w:val="18"/>
          <w:lang w:val="en-US"/>
        </w:rPr>
        <w:t xml:space="preserve"> </w:t>
      </w:r>
      <w:r w:rsidRPr="00EA31FA">
        <w:rPr>
          <w:sz w:val="18"/>
          <w:szCs w:val="18"/>
          <w:lang w:val="en-US"/>
        </w:rPr>
        <w:t>coordinating</w:t>
      </w:r>
      <w:r w:rsidRPr="00EA31FA">
        <w:rPr>
          <w:rFonts w:hint="eastAsia"/>
          <w:sz w:val="18"/>
          <w:szCs w:val="18"/>
          <w:lang w:val="en-US"/>
        </w:rPr>
        <w:t xml:space="preserve"> their business activities (= EU </w:t>
      </w:r>
      <w:r w:rsidRPr="00EA31FA">
        <w:rPr>
          <w:rFonts w:hint="eastAsia"/>
          <w:sz w:val="18"/>
          <w:szCs w:val="18"/>
          <w:lang w:val="en-US"/>
        </w:rPr>
        <w:t>≠</w:t>
      </w:r>
      <w:r w:rsidRPr="00EA31FA">
        <w:rPr>
          <w:rFonts w:hint="eastAsia"/>
          <w:sz w:val="18"/>
          <w:szCs w:val="18"/>
          <w:lang w:val="en-US"/>
        </w:rPr>
        <w:t xml:space="preserve"> US)</w:t>
      </w:r>
      <w:r w:rsidRPr="00EA31FA">
        <w:rPr>
          <w:sz w:val="18"/>
          <w:szCs w:val="18"/>
          <w:lang w:val="en-US"/>
        </w:rPr>
        <w:t>.</w:t>
      </w:r>
    </w:p>
    <w:p w:rsidR="00EA31FA" w:rsidRPr="00EA31FA" w:rsidRDefault="00EA31FA" w:rsidP="00EA31FA">
      <w:pPr>
        <w:rPr>
          <w:lang w:val="en-US"/>
        </w:rPr>
      </w:pPr>
      <w:r>
        <w:rPr>
          <w:lang w:val="en-US"/>
        </w:rPr>
        <w:t>Existence of c</w:t>
      </w:r>
      <w:r w:rsidRPr="00EA31FA">
        <w:rPr>
          <w:lang w:val="en-US"/>
        </w:rPr>
        <w:t xml:space="preserve">ommitments procedure </w:t>
      </w:r>
    </w:p>
    <w:p w:rsidR="008110FE" w:rsidRDefault="008110FE" w:rsidP="008110FE">
      <w:pPr>
        <w:rPr>
          <w:lang w:val="en-US"/>
        </w:rPr>
      </w:pPr>
      <w:r>
        <w:rPr>
          <w:lang w:val="en-US"/>
        </w:rPr>
        <w:t>N</w:t>
      </w:r>
      <w:r w:rsidRPr="008110FE">
        <w:rPr>
          <w:lang w:val="en-US"/>
        </w:rPr>
        <w:t xml:space="preserve">on-merger provisions of the AML </w:t>
      </w:r>
      <w:r>
        <w:rPr>
          <w:lang w:val="en-US"/>
        </w:rPr>
        <w:t>enforced by two ministries:</w:t>
      </w:r>
    </w:p>
    <w:p w:rsidR="008110FE" w:rsidRDefault="008110FE" w:rsidP="008110FE">
      <w:pPr>
        <w:pStyle w:val="ListParagraph"/>
        <w:numPr>
          <w:ilvl w:val="0"/>
          <w:numId w:val="1"/>
        </w:numPr>
        <w:rPr>
          <w:lang w:val="en-US"/>
        </w:rPr>
      </w:pPr>
      <w:r w:rsidRPr="008110FE">
        <w:rPr>
          <w:lang w:val="en-US"/>
        </w:rPr>
        <w:t xml:space="preserve">the National Development and Reform Commission ("NDRC") for non-merger enforcement involving prices, </w:t>
      </w:r>
    </w:p>
    <w:p w:rsidR="008110FE" w:rsidRDefault="008110FE" w:rsidP="008110FE">
      <w:pPr>
        <w:pStyle w:val="ListParagraph"/>
        <w:numPr>
          <w:ilvl w:val="0"/>
          <w:numId w:val="1"/>
        </w:numPr>
        <w:rPr>
          <w:lang w:val="en-US"/>
        </w:rPr>
      </w:pPr>
      <w:r w:rsidRPr="008110FE">
        <w:rPr>
          <w:lang w:val="en-US"/>
        </w:rPr>
        <w:t>the State Administration for Industry and Commerce ("SAIC") for non-price conduct.</w:t>
      </w:r>
    </w:p>
    <w:p w:rsidR="008110FE" w:rsidRPr="008110FE" w:rsidRDefault="008110FE" w:rsidP="008110FE">
      <w:pPr>
        <w:rPr>
          <w:lang w:val="en-US"/>
        </w:rPr>
      </w:pPr>
      <w:r>
        <w:rPr>
          <w:lang w:val="en-US"/>
        </w:rPr>
        <w:t>M</w:t>
      </w:r>
      <w:r w:rsidRPr="008110FE">
        <w:rPr>
          <w:lang w:val="en-US"/>
        </w:rPr>
        <w:t xml:space="preserve">erger provisions of the AML enforced by MOFCOM. </w:t>
      </w:r>
    </w:p>
    <w:p w:rsidR="00F378C9" w:rsidRDefault="008110FE" w:rsidP="00F378C9">
      <w:pPr>
        <w:rPr>
          <w:lang w:val="en-US"/>
        </w:rPr>
      </w:pPr>
      <w:r>
        <w:rPr>
          <w:lang w:val="en-US"/>
        </w:rPr>
        <w:t xml:space="preserve">Possible consultation of the </w:t>
      </w:r>
      <w:r w:rsidRPr="008110FE">
        <w:rPr>
          <w:lang w:val="en-US"/>
        </w:rPr>
        <w:t>Civil Aviation Administration of China ("CAAC")</w:t>
      </w:r>
      <w:r>
        <w:rPr>
          <w:lang w:val="en-US"/>
        </w:rPr>
        <w:t xml:space="preserve"> (no AML enforcement power)</w:t>
      </w:r>
      <w:r w:rsidRPr="008110FE">
        <w:rPr>
          <w:lang w:val="en-US"/>
        </w:rPr>
        <w:t xml:space="preserve"> is likely to be consulted by the </w:t>
      </w:r>
      <w:r>
        <w:rPr>
          <w:lang w:val="en-US"/>
        </w:rPr>
        <w:t>3</w:t>
      </w:r>
      <w:r w:rsidRPr="008110FE">
        <w:rPr>
          <w:lang w:val="en-US"/>
        </w:rPr>
        <w:t xml:space="preserve"> antitrust regulators in any investigation i</w:t>
      </w:r>
      <w:r>
        <w:rPr>
          <w:lang w:val="en-US"/>
        </w:rPr>
        <w:t>nvolving airline alliances</w:t>
      </w:r>
      <w:r w:rsidRPr="008110FE">
        <w:rPr>
          <w:lang w:val="en-US"/>
        </w:rPr>
        <w:t>.</w:t>
      </w:r>
    </w:p>
    <w:p w:rsidR="00F378C9" w:rsidRDefault="00F378C9" w:rsidP="00F378C9">
      <w:pPr>
        <w:rPr>
          <w:lang w:val="en-US"/>
        </w:rPr>
      </w:pPr>
    </w:p>
    <w:p w:rsidR="00F378C9" w:rsidRPr="008110FE" w:rsidRDefault="00F378C9" w:rsidP="00F378C9">
      <w:pPr>
        <w:rPr>
          <w:lang w:val="en-US"/>
        </w:rPr>
      </w:pPr>
      <w:r>
        <w:rPr>
          <w:lang w:val="en-US"/>
        </w:rPr>
        <w:t xml:space="preserve">STATE AID - </w:t>
      </w:r>
      <w:hyperlink r:id="rId9" w:history="1">
        <w:r w:rsidRPr="003F6F5E">
          <w:rPr>
            <w:rStyle w:val="Hyperlink"/>
            <w:lang w:val="en-US"/>
          </w:rPr>
          <w:t>http://www.microsofttranslator.com/BV.aspx?ref=IE8Activity&amp;a=http%3A%2F%2Fnews.hexun.com%2F2013-09-23%2F158230575.html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F378C9" w:rsidRPr="00811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77" w:rsidRDefault="009F7D77" w:rsidP="009F7D77">
      <w:pPr>
        <w:spacing w:after="0" w:line="240" w:lineRule="auto"/>
      </w:pPr>
      <w:r>
        <w:separator/>
      </w:r>
    </w:p>
  </w:endnote>
  <w:endnote w:type="continuationSeparator" w:id="0">
    <w:p w:rsidR="009F7D77" w:rsidRDefault="009F7D77" w:rsidP="009F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taOffc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ffcPro-Nor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77" w:rsidRDefault="009F7D77" w:rsidP="009F7D77">
      <w:pPr>
        <w:spacing w:after="0" w:line="240" w:lineRule="auto"/>
      </w:pPr>
      <w:r>
        <w:separator/>
      </w:r>
    </w:p>
  </w:footnote>
  <w:footnote w:type="continuationSeparator" w:id="0">
    <w:p w:rsidR="009F7D77" w:rsidRDefault="009F7D77" w:rsidP="009F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62F"/>
    <w:multiLevelType w:val="hybridMultilevel"/>
    <w:tmpl w:val="3E5CDCEA"/>
    <w:lvl w:ilvl="0" w:tplc="CC6E402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928AC"/>
    <w:multiLevelType w:val="hybridMultilevel"/>
    <w:tmpl w:val="23AE3D6C"/>
    <w:lvl w:ilvl="0" w:tplc="CD84D11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A1EFA"/>
    <w:multiLevelType w:val="hybridMultilevel"/>
    <w:tmpl w:val="BCCC970C"/>
    <w:lvl w:ilvl="0" w:tplc="1792A58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D4"/>
    <w:rsid w:val="00020F50"/>
    <w:rsid w:val="004029D4"/>
    <w:rsid w:val="004B6FBA"/>
    <w:rsid w:val="00783645"/>
    <w:rsid w:val="007E2631"/>
    <w:rsid w:val="008110FE"/>
    <w:rsid w:val="008A0B8A"/>
    <w:rsid w:val="008E1A06"/>
    <w:rsid w:val="008E304E"/>
    <w:rsid w:val="009F7D77"/>
    <w:rsid w:val="00AD0A02"/>
    <w:rsid w:val="00B427C0"/>
    <w:rsid w:val="00B55E8E"/>
    <w:rsid w:val="00BC0341"/>
    <w:rsid w:val="00C83155"/>
    <w:rsid w:val="00DA2651"/>
    <w:rsid w:val="00EA31FA"/>
    <w:rsid w:val="00EB255D"/>
    <w:rsid w:val="00EF283F"/>
    <w:rsid w:val="00F10BF5"/>
    <w:rsid w:val="00F378C9"/>
    <w:rsid w:val="00F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F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8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6F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B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75F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5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77"/>
  </w:style>
  <w:style w:type="paragraph" w:styleId="Footer">
    <w:name w:val="footer"/>
    <w:basedOn w:val="Normal"/>
    <w:link w:val="FooterChar"/>
    <w:uiPriority w:val="99"/>
    <w:unhideWhenUsed/>
    <w:rsid w:val="009F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77"/>
  </w:style>
  <w:style w:type="paragraph" w:styleId="Title">
    <w:name w:val="Title"/>
    <w:basedOn w:val="Normal"/>
    <w:next w:val="Normal"/>
    <w:link w:val="TitleChar"/>
    <w:uiPriority w:val="10"/>
    <w:qFormat/>
    <w:rsid w:val="009F7D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7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4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7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F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8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6F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B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75F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5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77"/>
  </w:style>
  <w:style w:type="paragraph" w:styleId="Footer">
    <w:name w:val="footer"/>
    <w:basedOn w:val="Normal"/>
    <w:link w:val="FooterChar"/>
    <w:uiPriority w:val="99"/>
    <w:unhideWhenUsed/>
    <w:rsid w:val="009F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77"/>
  </w:style>
  <w:style w:type="paragraph" w:styleId="Title">
    <w:name w:val="Title"/>
    <w:basedOn w:val="Normal"/>
    <w:next w:val="Normal"/>
    <w:link w:val="TitleChar"/>
    <w:uiPriority w:val="10"/>
    <w:qFormat/>
    <w:rsid w:val="009F7D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7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4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7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crosofttranslator.com/BV.aspx?ref=IE8Activity&amp;a=http%3A%2F%2Fnews.hexun.com%2F2013-09-23%2F158230575.html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s xmlns="0398b90b-68f4-4d17-b8e5-fb5b03fe9925" xsi:nil="true"/>
    <PublishingExpirationDate xmlns="http://schemas.microsoft.com/sharepoint/v3" xsi:nil="true"/>
    <PublishingStartDate xmlns="http://schemas.microsoft.com/sharepoint/v3" xsi:nil="true"/>
    <JointFinancing xmlns="0398b90b-68f4-4d17-b8e5-fb5b03fe99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EBD8931297047A4AD05CB5DE3F76F" ma:contentTypeVersion="3" ma:contentTypeDescription="Create a new document." ma:contentTypeScope="" ma:versionID="37a66bac3fd89e1c1ddc2e530e4da030">
  <xsd:schema xmlns:xsd="http://www.w3.org/2001/XMLSchema" xmlns:xs="http://www.w3.org/2001/XMLSchema" xmlns:p="http://schemas.microsoft.com/office/2006/metadata/properties" xmlns:ns1="http://schemas.microsoft.com/sharepoint/v3" xmlns:ns2="0398b90b-68f4-4d17-b8e5-fb5b03fe9925" targetNamespace="http://schemas.microsoft.com/office/2006/metadata/properties" ma:root="true" ma:fieldsID="6c3b2e0e8d880117f6fd3edb2cb183b7" ns1:_="" ns2:_="">
    <xsd:import namespace="http://schemas.microsoft.com/sharepoint/v3"/>
    <xsd:import namespace="0398b90b-68f4-4d17-b8e5-fb5b03fe99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ointFinancing" minOccurs="0"/>
                <xsd:element ref="ns2:Meet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b90b-68f4-4d17-b8e5-fb5b03fe9925" elementFormDefault="qualified">
    <xsd:import namespace="http://schemas.microsoft.com/office/2006/documentManagement/types"/>
    <xsd:import namespace="http://schemas.microsoft.com/office/infopath/2007/PartnerControls"/>
    <xsd:element name="JointFinancing" ma:index="10" nillable="true" ma:displayName="JointFinancing" ma:format="Dropdown" ma:internalName="JointFinancing">
      <xsd:simpleType>
        <xsd:restriction base="dms:Choice">
          <xsd:enumeration value="General"/>
          <xsd:enumeration value="Memos"/>
          <xsd:enumeration value="Reports"/>
          <xsd:enumeration value="Meetings"/>
        </xsd:restriction>
      </xsd:simpleType>
    </xsd:element>
    <xsd:element name="Meetings" ma:index="11" nillable="true" ma:displayName="Meetings" ma:format="Dropdown" ma:internalName="Meetings">
      <xsd:simpleType>
        <xsd:restriction base="dms:Choice">
          <xsd:enumeration value="Scrag1"/>
          <xsd:enumeration value="Scrag2"/>
          <xsd:enumeration value="Scrag3"/>
          <xsd:enumeration value="Scrag4"/>
          <xsd:enumeration value="Scrag5"/>
          <xsd:enumeration value="Scrag6"/>
          <xsd:enumeration value="Scrag7"/>
          <xsd:enumeration value="Scrag8"/>
          <xsd:enumeration value="Scrag9"/>
          <xsd:enumeration value="Scrag10"/>
          <xsd:enumeration value="Scrag11"/>
          <xsd:enumeration value="Scrag1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80B77-FC51-42F4-AB0E-6FA4E3C11642}"/>
</file>

<file path=customXml/itemProps2.xml><?xml version="1.0" encoding="utf-8"?>
<ds:datastoreItem xmlns:ds="http://schemas.openxmlformats.org/officeDocument/2006/customXml" ds:itemID="{6D5BE678-412A-4FA3-B107-D990E243227A}"/>
</file>

<file path=customXml/itemProps3.xml><?xml version="1.0" encoding="utf-8"?>
<ds:datastoreItem xmlns:ds="http://schemas.openxmlformats.org/officeDocument/2006/customXml" ds:itemID="{183CA071-6A11-4807-93DE-A59D22BE69C8}"/>
</file>

<file path=customXml/itemProps4.xml><?xml version="1.0" encoding="utf-8"?>
<ds:datastoreItem xmlns:ds="http://schemas.openxmlformats.org/officeDocument/2006/customXml" ds:itemID="{6AD54AAC-E030-430B-876E-1AD36A54C9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7</Pages>
  <Words>2125</Words>
  <Characters>12027</Characters>
  <Application>Microsoft Office Word</Application>
  <DocSecurity>0</DocSecurity>
  <Lines>228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Hiriart, Marion</dc:creator>
  <cp:lastModifiedBy>Hiriart, Marion</cp:lastModifiedBy>
  <cp:revision>5</cp:revision>
  <dcterms:created xsi:type="dcterms:W3CDTF">2014-01-08T14:49:00Z</dcterms:created>
  <dcterms:modified xsi:type="dcterms:W3CDTF">2014-01-29T22:22:00Z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0x010100225EBD8931297047A4AD05CB5DE3F76F</vt:lpwstr>
  </property>
</Properties>
</file>