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A73" w:rsidRDefault="001A4A73" w:rsidP="00C63E58">
      <w:pPr>
        <w:pStyle w:val="Title"/>
      </w:pPr>
      <w:r>
        <w:t>AUSTRAL</w:t>
      </w:r>
      <w:bookmarkStart w:id="0" w:name="_GoBack"/>
      <w:r>
        <w:t>I</w:t>
      </w:r>
      <w:bookmarkEnd w:id="0"/>
      <w:r>
        <w:t xml:space="preserve">A </w:t>
      </w:r>
    </w:p>
    <w:p w:rsidR="001A4A73" w:rsidRDefault="001A4A73" w:rsidP="001A4A73">
      <w:r>
        <w:t>General competition law provisions applicable to aviation</w:t>
      </w:r>
      <w:r w:rsidR="00C63E58">
        <w:t>.</w:t>
      </w:r>
      <w:r>
        <w:t xml:space="preserve"> </w:t>
      </w:r>
    </w:p>
    <w:p w:rsidR="00001E0F" w:rsidRDefault="00001E0F" w:rsidP="001A4A73">
      <w:hyperlink r:id="rId8" w:history="1">
        <w:r w:rsidRPr="00FC5411">
          <w:rPr>
            <w:rStyle w:val="Hyperlink"/>
          </w:rPr>
          <w:t>http://www.australiancompetitionlaw.org/overview.html</w:t>
        </w:r>
      </w:hyperlink>
      <w:r>
        <w:t xml:space="preserve"> </w:t>
      </w:r>
    </w:p>
    <w:p w:rsidR="001A4A73" w:rsidRDefault="00C63E58" w:rsidP="00C63E58">
      <w:r>
        <w:t>Competition and Consumer Act 2010 - C2013C00004</w:t>
      </w:r>
    </w:p>
    <w:p w:rsidR="00C63E58" w:rsidRDefault="001F16DC" w:rsidP="00C63E58">
      <w:hyperlink r:id="rId9" w:history="1">
        <w:r w:rsidR="00C63E58" w:rsidRPr="00D37213">
          <w:rPr>
            <w:rStyle w:val="Hyperlink"/>
          </w:rPr>
          <w:t>http://www.comlaw.gov.au/Details/C2013C00004</w:t>
        </w:r>
      </w:hyperlink>
      <w:r w:rsidR="00C63E58">
        <w:t xml:space="preserve"> </w:t>
      </w:r>
    </w:p>
    <w:p w:rsidR="001A4A73" w:rsidRPr="00C63E58" w:rsidRDefault="001A4A73" w:rsidP="001A4A73">
      <w:pPr>
        <w:pStyle w:val="ListParagraph"/>
        <w:numPr>
          <w:ilvl w:val="0"/>
          <w:numId w:val="1"/>
        </w:numPr>
        <w:rPr>
          <w:highlight w:val="yellow"/>
        </w:rPr>
      </w:pPr>
      <w:r w:rsidRPr="00C63E58">
        <w:rPr>
          <w:highlight w:val="yellow"/>
        </w:rPr>
        <w:t>Anti-competitive behavior</w:t>
      </w:r>
    </w:p>
    <w:p w:rsidR="001C3B1E" w:rsidRDefault="001A4A73" w:rsidP="001A4A73">
      <w:r>
        <w:t xml:space="preserve">Section 45 of the Competition and Consumer Act prohibits contracts, arrangements or understandings that are likely to substantially lessen competition in a market, even if that conduct does not meet the stricter definitions of other anti-competitive conduct such as cartels. </w:t>
      </w:r>
    </w:p>
    <w:p w:rsidR="001A4A73" w:rsidRPr="00E44F0B" w:rsidRDefault="001A4A73" w:rsidP="001A4A73">
      <w:pPr>
        <w:pStyle w:val="ListParagraph"/>
        <w:numPr>
          <w:ilvl w:val="0"/>
          <w:numId w:val="2"/>
        </w:numPr>
        <w:rPr>
          <w:color w:val="FF0000"/>
        </w:rPr>
      </w:pPr>
      <w:r w:rsidRPr="00E44F0B">
        <w:rPr>
          <w:color w:val="FF0000"/>
        </w:rPr>
        <w:t xml:space="preserve">Anti-competitive agreements </w:t>
      </w:r>
    </w:p>
    <w:p w:rsidR="001A4A73" w:rsidRPr="00E44F0B" w:rsidRDefault="001A4A73" w:rsidP="001A4A73">
      <w:pPr>
        <w:pStyle w:val="ListParagraph"/>
        <w:numPr>
          <w:ilvl w:val="0"/>
          <w:numId w:val="2"/>
        </w:numPr>
        <w:rPr>
          <w:color w:val="FF0000"/>
        </w:rPr>
      </w:pPr>
      <w:r w:rsidRPr="00E44F0B">
        <w:rPr>
          <w:color w:val="FF0000"/>
        </w:rPr>
        <w:t>Cartels</w:t>
      </w:r>
    </w:p>
    <w:p w:rsidR="001A4A73" w:rsidRDefault="001A4A73" w:rsidP="001A4A73">
      <w:r w:rsidRPr="001A4A73">
        <w:t>Businesses that make agreements with their competitors to fix prices, rig bids, share markets or restrict outputs are breaking laws and stealing from consumers and businesses by inflating prices, reducing choices and damaging the economy.</w:t>
      </w:r>
    </w:p>
    <w:p w:rsidR="001A4A73" w:rsidRDefault="001A4A73" w:rsidP="001A4A73">
      <w:pPr>
        <w:pStyle w:val="ListParagraph"/>
        <w:numPr>
          <w:ilvl w:val="0"/>
          <w:numId w:val="2"/>
        </w:numPr>
      </w:pPr>
      <w:r>
        <w:t>Collective bargaining &amp; boycotts</w:t>
      </w:r>
    </w:p>
    <w:p w:rsidR="001A4A73" w:rsidRDefault="001A4A73" w:rsidP="001A4A73">
      <w:pPr>
        <w:pStyle w:val="ListParagraph"/>
        <w:numPr>
          <w:ilvl w:val="0"/>
          <w:numId w:val="2"/>
        </w:numPr>
      </w:pPr>
      <w:r>
        <w:t>Exclusive dealing</w:t>
      </w:r>
    </w:p>
    <w:p w:rsidR="001A4A73" w:rsidRDefault="001A4A73" w:rsidP="001A4A73">
      <w:pPr>
        <w:pStyle w:val="ListParagraph"/>
        <w:numPr>
          <w:ilvl w:val="0"/>
          <w:numId w:val="2"/>
        </w:numPr>
      </w:pPr>
      <w:r>
        <w:t>Imposing minimum resale prices</w:t>
      </w:r>
    </w:p>
    <w:p w:rsidR="00E44F0B" w:rsidRDefault="00E44F0B" w:rsidP="00E44F0B">
      <w:pPr>
        <w:pStyle w:val="ListParagraph"/>
      </w:pPr>
    </w:p>
    <w:p w:rsidR="001A4A73" w:rsidRPr="00E44F0B" w:rsidRDefault="001A4A73" w:rsidP="001A4A73">
      <w:pPr>
        <w:pStyle w:val="ListParagraph"/>
        <w:numPr>
          <w:ilvl w:val="0"/>
          <w:numId w:val="2"/>
        </w:numPr>
        <w:rPr>
          <w:color w:val="FF0000"/>
        </w:rPr>
      </w:pPr>
      <w:r w:rsidRPr="00E44F0B">
        <w:rPr>
          <w:color w:val="FF0000"/>
        </w:rPr>
        <w:t>Misuse of market power</w:t>
      </w:r>
    </w:p>
    <w:p w:rsidR="00E44F0B" w:rsidRDefault="00E44F0B" w:rsidP="00E44F0B">
      <w:pPr>
        <w:pStyle w:val="ListParagraph"/>
      </w:pPr>
      <w:hyperlink r:id="rId10" w:history="1">
        <w:r w:rsidRPr="00FC5411">
          <w:rPr>
            <w:rStyle w:val="Hyperlink"/>
          </w:rPr>
          <w:t>http://www.australiancompetitionlaw.org/law/mmp.html</w:t>
        </w:r>
      </w:hyperlink>
    </w:p>
    <w:p w:rsidR="00E44F0B" w:rsidRDefault="00E44F0B" w:rsidP="00E44F0B">
      <w:pPr>
        <w:pStyle w:val="ListParagraph"/>
      </w:pPr>
    </w:p>
    <w:p w:rsidR="001A4A73" w:rsidRDefault="001A4A73" w:rsidP="001A4A73">
      <w:pPr>
        <w:pStyle w:val="ListParagraph"/>
        <w:numPr>
          <w:ilvl w:val="0"/>
          <w:numId w:val="2"/>
        </w:numPr>
      </w:pPr>
      <w:r>
        <w:t>Predatory pricing</w:t>
      </w:r>
    </w:p>
    <w:p w:rsidR="001A4A73" w:rsidRDefault="001A4A73" w:rsidP="001A4A73">
      <w:pPr>
        <w:pStyle w:val="ListParagraph"/>
        <w:numPr>
          <w:ilvl w:val="0"/>
          <w:numId w:val="2"/>
        </w:numPr>
      </w:pPr>
      <w:r>
        <w:t xml:space="preserve"> Price signalling</w:t>
      </w:r>
    </w:p>
    <w:p w:rsidR="001A4A73" w:rsidRDefault="001A4A73" w:rsidP="001A4A73">
      <w:pPr>
        <w:pStyle w:val="ListParagraph"/>
        <w:numPr>
          <w:ilvl w:val="0"/>
          <w:numId w:val="2"/>
        </w:numPr>
      </w:pPr>
      <w:r>
        <w:t xml:space="preserve"> Refusal to supply products or services</w:t>
      </w:r>
    </w:p>
    <w:p w:rsidR="001A4A73" w:rsidRDefault="001A4A73" w:rsidP="001A4A73">
      <w:pPr>
        <w:pStyle w:val="ListParagraph"/>
        <w:numPr>
          <w:ilvl w:val="0"/>
          <w:numId w:val="2"/>
        </w:numPr>
      </w:pPr>
      <w:r>
        <w:t>Unconscionable conduct</w:t>
      </w:r>
    </w:p>
    <w:p w:rsidR="00E44F0B" w:rsidRDefault="00E44F0B" w:rsidP="00E44F0B"/>
    <w:p w:rsidR="001A4A73" w:rsidRDefault="001A4A73" w:rsidP="001A4A73"/>
    <w:p w:rsidR="001A4A73" w:rsidRPr="00C63E58" w:rsidRDefault="001A4A73" w:rsidP="001A4A73">
      <w:pPr>
        <w:pStyle w:val="ListParagraph"/>
        <w:numPr>
          <w:ilvl w:val="0"/>
          <w:numId w:val="1"/>
        </w:numPr>
        <w:rPr>
          <w:highlight w:val="yellow"/>
        </w:rPr>
      </w:pPr>
      <w:r w:rsidRPr="00C63E58">
        <w:rPr>
          <w:highlight w:val="yellow"/>
        </w:rPr>
        <w:t>Mergers</w:t>
      </w:r>
    </w:p>
    <w:p w:rsidR="00C63E58" w:rsidRDefault="00C63E58" w:rsidP="001A4A73">
      <w:r>
        <w:t xml:space="preserve">Section </w:t>
      </w:r>
      <w:r w:rsidRPr="00C63E58">
        <w:t>50 of the Competition and Consumer Act</w:t>
      </w:r>
    </w:p>
    <w:p w:rsidR="001A4A73" w:rsidRDefault="001A4A73" w:rsidP="001A4A73">
      <w:r>
        <w:t>Mergers and acquisitions are important for the efficient functioning of the economy. They allow firms to achieve efficiencies and diversify risk across a range of activities. However, the Competition and Consumer Act prohibits mergers that would have the effect, or be likely to have the effect, of substantially lessening competition in a market. The public merger registers are currently located on our transition site.</w:t>
      </w:r>
    </w:p>
    <w:p w:rsidR="001A4A73" w:rsidRDefault="001A4A73" w:rsidP="001A4A73"/>
    <w:p w:rsidR="001A4A73" w:rsidRPr="00C63E58" w:rsidRDefault="001A4A73" w:rsidP="001A4A73">
      <w:pPr>
        <w:pStyle w:val="ListParagraph"/>
        <w:numPr>
          <w:ilvl w:val="0"/>
          <w:numId w:val="1"/>
        </w:numPr>
        <w:rPr>
          <w:highlight w:val="yellow"/>
        </w:rPr>
      </w:pPr>
      <w:r w:rsidRPr="00C63E58">
        <w:rPr>
          <w:highlight w:val="yellow"/>
        </w:rPr>
        <w:t>Authorisations</w:t>
      </w:r>
    </w:p>
    <w:p w:rsidR="001A4A73" w:rsidRDefault="001A4A73" w:rsidP="001A4A73">
      <w:r>
        <w:lastRenderedPageBreak/>
        <w:t xml:space="preserve">The ACCC can ‘authorise’ businesses to engage in anti-competitive arrangements or conduct when it is satisfied that the public benefit from the arrangements or conduct outweighs any public detriment. </w:t>
      </w:r>
      <w:r w:rsidRPr="001A4A73">
        <w:rPr>
          <w:b/>
          <w:bCs/>
        </w:rPr>
        <w:t xml:space="preserve">Authorisation provides </w:t>
      </w:r>
      <w:r w:rsidRPr="001A4A73">
        <w:rPr>
          <w:b/>
          <w:bCs/>
          <w:color w:val="FF0000"/>
        </w:rPr>
        <w:t xml:space="preserve">protection from legal action </w:t>
      </w:r>
      <w:r w:rsidRPr="001A4A73">
        <w:rPr>
          <w:b/>
          <w:bCs/>
        </w:rPr>
        <w:t>under the Competition and Consumer Act</w:t>
      </w:r>
      <w:r>
        <w:t>.</w:t>
      </w:r>
    </w:p>
    <w:p w:rsidR="00C63E58" w:rsidRDefault="00C63E58" w:rsidP="00C63E58">
      <w:r>
        <w:t>What can the ACCC authorise?</w:t>
      </w:r>
    </w:p>
    <w:p w:rsidR="00C63E58" w:rsidRDefault="00C63E58" w:rsidP="00C63E58">
      <w:r>
        <w:t xml:space="preserve"> </w:t>
      </w:r>
    </w:p>
    <w:p w:rsidR="00C63E58" w:rsidRDefault="00C63E58" w:rsidP="00C63E58">
      <w:r>
        <w:t xml:space="preserve">The ACCC may, if the </w:t>
      </w:r>
      <w:r w:rsidRPr="00C63E58">
        <w:rPr>
          <w:b/>
          <w:bCs/>
          <w:color w:val="FF0000"/>
          <w:highlight w:val="yellow"/>
        </w:rPr>
        <w:t>relevant public benefit test</w:t>
      </w:r>
      <w:r w:rsidRPr="00C63E58">
        <w:rPr>
          <w:color w:val="FF0000"/>
        </w:rPr>
        <w:t xml:space="preserve"> </w:t>
      </w:r>
      <w:r>
        <w:t>is met, authorise conduct that might constitute:</w:t>
      </w:r>
    </w:p>
    <w:p w:rsidR="00C63E58" w:rsidRDefault="00C63E58" w:rsidP="00C63E58">
      <w:pPr>
        <w:pStyle w:val="ListParagraph"/>
        <w:numPr>
          <w:ilvl w:val="0"/>
          <w:numId w:val="2"/>
        </w:numPr>
      </w:pPr>
      <w:r>
        <w:t>a cartel provision</w:t>
      </w:r>
    </w:p>
    <w:p w:rsidR="00C63E58" w:rsidRDefault="00C63E58" w:rsidP="00C63E58">
      <w:pPr>
        <w:pStyle w:val="ListParagraph"/>
        <w:numPr>
          <w:ilvl w:val="0"/>
          <w:numId w:val="2"/>
        </w:numPr>
      </w:pPr>
      <w:r>
        <w:t>an exclusionary provision (primary boycott)</w:t>
      </w:r>
    </w:p>
    <w:p w:rsidR="00C63E58" w:rsidRDefault="00C63E58" w:rsidP="00C63E58">
      <w:pPr>
        <w:pStyle w:val="ListParagraph"/>
        <w:numPr>
          <w:ilvl w:val="0"/>
          <w:numId w:val="2"/>
        </w:numPr>
      </w:pPr>
      <w:r>
        <w:t>an anti-competitive agreement</w:t>
      </w:r>
    </w:p>
    <w:p w:rsidR="00C63E58" w:rsidRDefault="00C63E58" w:rsidP="00C63E58">
      <w:pPr>
        <w:pStyle w:val="ListParagraph"/>
        <w:numPr>
          <w:ilvl w:val="0"/>
          <w:numId w:val="2"/>
        </w:numPr>
      </w:pPr>
      <w:r>
        <w:t>a secondary boycott</w:t>
      </w:r>
    </w:p>
    <w:p w:rsidR="00C63E58" w:rsidRDefault="00C63E58" w:rsidP="00C63E58">
      <w:pPr>
        <w:pStyle w:val="ListParagraph"/>
        <w:numPr>
          <w:ilvl w:val="0"/>
          <w:numId w:val="2"/>
        </w:numPr>
      </w:pPr>
      <w:r>
        <w:t>exclusive dealing</w:t>
      </w:r>
    </w:p>
    <w:p w:rsidR="00C63E58" w:rsidRDefault="00C63E58" w:rsidP="00C63E58">
      <w:pPr>
        <w:pStyle w:val="ListParagraph"/>
        <w:numPr>
          <w:ilvl w:val="0"/>
          <w:numId w:val="2"/>
        </w:numPr>
      </w:pPr>
      <w:r>
        <w:t>resale price maintenance</w:t>
      </w:r>
    </w:p>
    <w:p w:rsidR="00C63E58" w:rsidRDefault="00C63E58" w:rsidP="00C63E58">
      <w:pPr>
        <w:pStyle w:val="ListParagraph"/>
        <w:numPr>
          <w:ilvl w:val="0"/>
          <w:numId w:val="2"/>
        </w:numPr>
      </w:pPr>
      <w:r>
        <w:t>anti-competitive disclosures of pricing and other information</w:t>
      </w:r>
    </w:p>
    <w:p w:rsidR="00C63E58" w:rsidRDefault="00C63E58" w:rsidP="00C63E58">
      <w:pPr>
        <w:pStyle w:val="ListParagraph"/>
        <w:numPr>
          <w:ilvl w:val="0"/>
          <w:numId w:val="2"/>
        </w:numPr>
      </w:pPr>
      <w:r>
        <w:t>an acquisition that occurs outside of Australia</w:t>
      </w:r>
    </w:p>
    <w:p w:rsidR="00C63E58" w:rsidRDefault="00C63E58" w:rsidP="00C63E58">
      <w:pPr>
        <w:pStyle w:val="ListParagraph"/>
        <w:numPr>
          <w:ilvl w:val="0"/>
          <w:numId w:val="2"/>
        </w:numPr>
      </w:pPr>
      <w:r>
        <w:t>dual listed company arrangements that affect competition.</w:t>
      </w:r>
    </w:p>
    <w:p w:rsidR="00C63E58" w:rsidRDefault="00C63E58" w:rsidP="00C63E58">
      <w:r>
        <w:t xml:space="preserve"> </w:t>
      </w:r>
    </w:p>
    <w:p w:rsidR="00C63E58" w:rsidRDefault="00C63E58" w:rsidP="00C63E58">
      <w:r>
        <w:t>Applications for merger authorisations are made to the Australian Competition Tribunal.</w:t>
      </w:r>
    </w:p>
    <w:p w:rsidR="00C63E58" w:rsidRDefault="00C63E58" w:rsidP="00C63E58">
      <w:r>
        <w:t xml:space="preserve"> Steps in the authorisation process</w:t>
      </w:r>
    </w:p>
    <w:p w:rsidR="00C63E58" w:rsidRDefault="00C63E58" w:rsidP="00C63E58">
      <w:r>
        <w:t xml:space="preserve"> 1.The authorisation process begins once a valid application is received, which includes receipt of the appropriate forms and lodgement fee.</w:t>
      </w:r>
    </w:p>
    <w:p w:rsidR="00C63E58" w:rsidRDefault="00C63E58" w:rsidP="00C63E58">
      <w:r>
        <w:t xml:space="preserve"> 2.The ACCC will generally conduct a public consultation process inviting submissions on the application from interested parties.</w:t>
      </w:r>
    </w:p>
    <w:p w:rsidR="00C63E58" w:rsidRDefault="00C63E58" w:rsidP="00C63E58">
      <w:r>
        <w:t xml:space="preserve"> 3.Before issuing its final decision the ACCC must issue a draft determination stating whether it proposes to grant or deny authorisation, whether any conditions are proposed and setting out the reasons for its proposed decision.</w:t>
      </w:r>
    </w:p>
    <w:p w:rsidR="00C63E58" w:rsidRDefault="00C63E58" w:rsidP="00C63E58">
      <w:r>
        <w:t xml:space="preserve"> 4.The applicant for authorisation and interested parties are invited to respond to the draft determination, either by providing written submissions or by calling a pre-decision conference. A pre-decision conference gives the applicant or interested parties an opportunity to discuss the draft decision and to put their views directly to an ACCC commissioner.</w:t>
      </w:r>
    </w:p>
    <w:p w:rsidR="00C63E58" w:rsidRDefault="00C63E58" w:rsidP="00C63E58">
      <w:r>
        <w:t xml:space="preserve"> 5.The ACCC then makes a final determination, which may grant authorisation, grant authorisation subject to conditions or deny authorisation.</w:t>
      </w:r>
    </w:p>
    <w:p w:rsidR="00EA28F6" w:rsidRDefault="00EA28F6" w:rsidP="00C63E58"/>
    <w:p w:rsidR="00EA28F6" w:rsidRDefault="00EA28F6" w:rsidP="00EA28F6">
      <w:pPr>
        <w:pStyle w:val="Title"/>
      </w:pPr>
      <w:r>
        <w:lastRenderedPageBreak/>
        <w:t xml:space="preserve">New Zealand </w:t>
      </w:r>
    </w:p>
    <w:p w:rsidR="00EA28F6" w:rsidRDefault="00EA28F6" w:rsidP="00EA28F6">
      <w:r>
        <w:t>New Zealand's competition laws</w:t>
      </w:r>
    </w:p>
    <w:p w:rsidR="00EA28F6" w:rsidRDefault="00EA28F6" w:rsidP="00EA28F6">
      <w:r>
        <w:t>The Commerce Act 1986 contains New Zealand's competition laws, which are enforced by the Commerce Commission.</w:t>
      </w:r>
    </w:p>
    <w:p w:rsidR="00EA28F6" w:rsidRDefault="00EA28F6" w:rsidP="00EA28F6">
      <w:r>
        <w:t>The Commerce Act promotes competition by prohibiting 'anti-competitive' conduct, including:</w:t>
      </w:r>
    </w:p>
    <w:p w:rsidR="00EA28F6" w:rsidRDefault="00EA28F6" w:rsidP="00EA28F6">
      <w:r>
        <w:t xml:space="preserve"> •contracts, arrangements or understandings ('agreements') that have the purpose, effect or likely effect of 'substantially lessening competition' in a New Zealand market</w:t>
      </w:r>
    </w:p>
    <w:p w:rsidR="00EA28F6" w:rsidRDefault="00EA28F6" w:rsidP="00EA28F6">
      <w:r>
        <w:t xml:space="preserve"> •price fixing agreements - these are agreements between competitors that interfere with the competitive determination of price, discounts, credit </w:t>
      </w:r>
      <w:proofErr w:type="spellStart"/>
      <w:r>
        <w:t>etc</w:t>
      </w:r>
      <w:proofErr w:type="spellEnd"/>
      <w:r>
        <w:t xml:space="preserve"> of goods and services they supply in a New Zealand market</w:t>
      </w:r>
    </w:p>
    <w:p w:rsidR="00EA28F6" w:rsidRDefault="00EA28F6" w:rsidP="00EA28F6">
      <w:r>
        <w:t xml:space="preserve"> •resale price maintenance - this occurs where a supplier encourages (whether by threats or incentives) a reseller to sell goods at or above a certain price</w:t>
      </w:r>
    </w:p>
    <w:p w:rsidR="00EA28F6" w:rsidRDefault="00EA28F6" w:rsidP="00EA28F6">
      <w:r>
        <w:t xml:space="preserve"> •prohibiting a person with 'substantial market power' from taking advantage of that substantial market power for an anti-competitive purpose.</w:t>
      </w:r>
    </w:p>
    <w:p w:rsidR="00EA28F6" w:rsidRDefault="00EA28F6" w:rsidP="00EA28F6">
      <w:r>
        <w:t xml:space="preserve"> If your business engages in any of these practices, it runs the risk of being prosecuted by the Commerce Commission. This conduct may also be prohibited by overseas competition laws. </w:t>
      </w:r>
    </w:p>
    <w:p w:rsidR="00EA28F6" w:rsidRDefault="00EA28F6" w:rsidP="00EA28F6">
      <w:r>
        <w:t xml:space="preserve"> When does the Commerce Act apply to my conduct?</w:t>
      </w:r>
    </w:p>
    <w:p w:rsidR="00EA28F6" w:rsidRDefault="00EA28F6" w:rsidP="00EA28F6">
      <w:r>
        <w:t xml:space="preserve"> The Commerce Act applies to all practices that affect the buying and selling of products in a market in New Zealand.</w:t>
      </w:r>
    </w:p>
    <w:p w:rsidR="00EA28F6" w:rsidRDefault="00EA28F6" w:rsidP="00EA28F6">
      <w:r>
        <w:t xml:space="preserve"> A good rule of thumb is that the Commerce Act will apply to you if:</w:t>
      </w:r>
    </w:p>
    <w:p w:rsidR="00EA28F6" w:rsidRDefault="00EA28F6" w:rsidP="00EA28F6">
      <w:r>
        <w:t xml:space="preserve"> •you supply product and title passes in New Zealand. This is true regardless of whether the end user of is based in New Zealand or overseas. For example, if you sell goods to a distributor in New Zealand and that distributor then sells the goods in the US, a sale has been made in New Zealand. </w:t>
      </w:r>
    </w:p>
    <w:p w:rsidR="00650432" w:rsidRDefault="00EA28F6" w:rsidP="00EA28F6">
      <w:r>
        <w:t xml:space="preserve"> </w:t>
      </w:r>
    </w:p>
    <w:p w:rsidR="00EA28F6" w:rsidRDefault="00EA28F6" w:rsidP="00EA28F6">
      <w:r>
        <w:t>The Commerce Act will not apply to you when:</w:t>
      </w:r>
    </w:p>
    <w:p w:rsidR="00EA28F6" w:rsidRDefault="00EA28F6" w:rsidP="00EA28F6">
      <w:r>
        <w:t xml:space="preserve"> •a practice or agreement does not affect in any way the supply of product in New Zealand </w:t>
      </w:r>
    </w:p>
    <w:p w:rsidR="00C63E58" w:rsidRDefault="00EA28F6" w:rsidP="00EA28F6">
      <w:r>
        <w:t xml:space="preserve"> •an agreement relates exclusively to the export of goods provided you give the Commission full details within 15 working days of the agreement being reached.</w:t>
      </w:r>
    </w:p>
    <w:p w:rsidR="00C63E58" w:rsidRDefault="00C63E58" w:rsidP="00C63E58"/>
    <w:p w:rsidR="00C63E58" w:rsidRPr="00C63E58" w:rsidRDefault="00C63E58" w:rsidP="00C63E58">
      <w:pPr>
        <w:rPr>
          <w:b/>
          <w:bCs/>
          <w:color w:val="FF0000"/>
        </w:rPr>
      </w:pPr>
      <w:r w:rsidRPr="00C63E58">
        <w:rPr>
          <w:b/>
          <w:bCs/>
          <w:highlight w:val="yellow"/>
        </w:rPr>
        <w:t xml:space="preserve">Air service agreement Australia – New </w:t>
      </w:r>
      <w:proofErr w:type="spellStart"/>
      <w:r w:rsidRPr="00C63E58">
        <w:rPr>
          <w:b/>
          <w:bCs/>
          <w:highlight w:val="yellow"/>
        </w:rPr>
        <w:t>Zeland</w:t>
      </w:r>
      <w:proofErr w:type="spellEnd"/>
    </w:p>
    <w:p w:rsidR="00A4689D" w:rsidRDefault="00C63E58" w:rsidP="00A4689D">
      <w:pPr>
        <w:rPr>
          <w:b/>
          <w:bCs/>
          <w:color w:val="FF0000"/>
        </w:rPr>
      </w:pPr>
      <w:r w:rsidRPr="00C63E58">
        <w:rPr>
          <w:b/>
          <w:bCs/>
          <w:color w:val="FF0000"/>
          <w:highlight w:val="yellow"/>
        </w:rPr>
        <w:t>Art 14 Competition</w:t>
      </w:r>
    </w:p>
    <w:p w:rsidR="00A4689D" w:rsidRPr="00A4689D" w:rsidRDefault="00C63E58" w:rsidP="00A4689D">
      <w:pPr>
        <w:pStyle w:val="ListParagraph"/>
        <w:numPr>
          <w:ilvl w:val="0"/>
          <w:numId w:val="3"/>
        </w:numPr>
        <w:rPr>
          <w:b/>
          <w:bCs/>
          <w:color w:val="FF0000"/>
        </w:rPr>
      </w:pPr>
      <w:r w:rsidRPr="00C63E58">
        <w:t>The competition laws of each Party, as amended from time to time, shall apply to</w:t>
      </w:r>
      <w:r w:rsidR="00A4689D">
        <w:t xml:space="preserve"> the o</w:t>
      </w:r>
      <w:r w:rsidRPr="00C63E58">
        <w:t>peration of the airlines of both Parties. Where permitted under those laws, a Party or</w:t>
      </w:r>
      <w:r w:rsidR="00A4689D">
        <w:t xml:space="preserve"> its competition </w:t>
      </w:r>
      <w:r w:rsidRPr="00C63E58">
        <w:t>authority may, however, unilaterally exempt commercial agreements</w:t>
      </w:r>
      <w:r w:rsidR="00A4689D">
        <w:t xml:space="preserve"> between airlines </w:t>
      </w:r>
      <w:r w:rsidRPr="00C63E58">
        <w:t>(including block-space, code-share and other joint service agreements)</w:t>
      </w:r>
      <w:r w:rsidR="00A4689D">
        <w:t xml:space="preserve"> </w:t>
      </w:r>
      <w:r w:rsidRPr="00C63E58">
        <w:t>the application of its domestic competition law. This does not obligate a Party or its</w:t>
      </w:r>
      <w:r w:rsidR="00A4689D">
        <w:t xml:space="preserve"> c</w:t>
      </w:r>
      <w:r w:rsidRPr="00C63E58">
        <w:t>ompetition authority to provide a reciprocal exemption.</w:t>
      </w:r>
    </w:p>
    <w:p w:rsidR="00A4689D" w:rsidRPr="00A4689D" w:rsidRDefault="00C63E58" w:rsidP="00A4689D">
      <w:pPr>
        <w:pStyle w:val="ListParagraph"/>
        <w:numPr>
          <w:ilvl w:val="0"/>
          <w:numId w:val="3"/>
        </w:numPr>
        <w:rPr>
          <w:b/>
          <w:bCs/>
          <w:color w:val="FF0000"/>
        </w:rPr>
      </w:pPr>
      <w:r w:rsidRPr="00C63E58">
        <w:t>Without limiting the application of competition and consumer law by either Party,</w:t>
      </w:r>
      <w:r w:rsidR="00A4689D">
        <w:t xml:space="preserve"> if </w:t>
      </w:r>
      <w:r w:rsidRPr="00C63E58">
        <w:t>the aeronautical authorities of either Party consider that the airlines of either Party are</w:t>
      </w:r>
      <w:r w:rsidR="00A4689D">
        <w:t xml:space="preserve"> be</w:t>
      </w:r>
      <w:r w:rsidRPr="00C63E58">
        <w:t>ing subjected to discrimination or unfair practices in the territory of either Party, they</w:t>
      </w:r>
      <w:r w:rsidR="00A4689D">
        <w:t xml:space="preserve"> m</w:t>
      </w:r>
      <w:r w:rsidRPr="00C63E58">
        <w:t>ay give notice to this effect to the aeronautical authorities of the other Party.</w:t>
      </w:r>
      <w:r w:rsidR="00A4689D">
        <w:t xml:space="preserve"> Co</w:t>
      </w:r>
      <w:r w:rsidRPr="00C63E58">
        <w:t>nsultations between the aeronautical authorities shall be entered into as soon as</w:t>
      </w:r>
      <w:r w:rsidR="00A4689D">
        <w:t xml:space="preserve"> po</w:t>
      </w:r>
      <w:r w:rsidRPr="00C63E58">
        <w:t>ssible after notice is given unless the first Party is satisfied that the matter has been</w:t>
      </w:r>
      <w:r w:rsidR="00A4689D">
        <w:t xml:space="preserve"> res</w:t>
      </w:r>
      <w:r w:rsidRPr="00C63E58">
        <w:t>olved in the meantime.</w:t>
      </w:r>
    </w:p>
    <w:p w:rsidR="00C63E58" w:rsidRPr="00A4689D" w:rsidRDefault="00A4689D" w:rsidP="00A4689D">
      <w:pPr>
        <w:pStyle w:val="ListParagraph"/>
        <w:numPr>
          <w:ilvl w:val="0"/>
          <w:numId w:val="3"/>
        </w:numPr>
        <w:rPr>
          <w:b/>
          <w:bCs/>
          <w:color w:val="FF0000"/>
        </w:rPr>
      </w:pPr>
      <w:r>
        <w:t xml:space="preserve"> </w:t>
      </w:r>
      <w:r w:rsidR="00C63E58" w:rsidRPr="00C63E58">
        <w:t>In undertaking the consultations outlined in this Article the Parties shall:</w:t>
      </w:r>
    </w:p>
    <w:p w:rsidR="00A4689D" w:rsidRPr="00A4689D" w:rsidRDefault="00A4689D" w:rsidP="00A4689D">
      <w:pPr>
        <w:pStyle w:val="ListParagraph"/>
        <w:rPr>
          <w:b/>
          <w:bCs/>
          <w:color w:val="FF0000"/>
        </w:rPr>
      </w:pPr>
      <w:r w:rsidRPr="00A4689D">
        <w:rPr>
          <w:b/>
          <w:bCs/>
          <w:color w:val="FF0000"/>
        </w:rPr>
        <w:t>(a) coordinate their actions with the relevant authorities;</w:t>
      </w:r>
    </w:p>
    <w:p w:rsidR="00A4689D" w:rsidRPr="00A4689D" w:rsidRDefault="00A4689D" w:rsidP="00A4689D">
      <w:pPr>
        <w:pStyle w:val="ListParagraph"/>
        <w:rPr>
          <w:b/>
          <w:bCs/>
          <w:color w:val="FF0000"/>
        </w:rPr>
      </w:pPr>
      <w:r w:rsidRPr="00A4689D">
        <w:rPr>
          <w:b/>
          <w:bCs/>
          <w:color w:val="FF0000"/>
        </w:rPr>
        <w:t xml:space="preserve">(b) consider alternative means which might also achieve the objectives of action consistent with general competition and consumer law; and </w:t>
      </w:r>
    </w:p>
    <w:p w:rsidR="00A4689D" w:rsidRDefault="00A4689D" w:rsidP="00A4689D">
      <w:pPr>
        <w:pStyle w:val="ListParagraph"/>
        <w:rPr>
          <w:b/>
          <w:bCs/>
          <w:color w:val="FF0000"/>
        </w:rPr>
      </w:pPr>
      <w:r w:rsidRPr="00A4689D">
        <w:rPr>
          <w:b/>
          <w:bCs/>
          <w:color w:val="FF0000"/>
        </w:rPr>
        <w:t>(c) take into account the views of the other Party and the other Party's obligations under other international agreements.</w:t>
      </w:r>
    </w:p>
    <w:p w:rsidR="00A4689D" w:rsidRPr="00A4689D" w:rsidRDefault="00A4689D" w:rsidP="00A4689D">
      <w:pPr>
        <w:pStyle w:val="ListParagraph"/>
        <w:rPr>
          <w:b/>
          <w:bCs/>
          <w:color w:val="FF0000"/>
        </w:rPr>
      </w:pPr>
    </w:p>
    <w:p w:rsidR="00A4689D" w:rsidRPr="00A4689D" w:rsidRDefault="00A4689D" w:rsidP="00A4689D">
      <w:pPr>
        <w:pStyle w:val="ListParagraph"/>
        <w:numPr>
          <w:ilvl w:val="0"/>
          <w:numId w:val="3"/>
        </w:numPr>
        <w:rPr>
          <w:b/>
          <w:bCs/>
          <w:color w:val="FF0000"/>
        </w:rPr>
      </w:pPr>
      <w:r w:rsidRPr="00A4689D">
        <w:rPr>
          <w:b/>
          <w:bCs/>
          <w:color w:val="FF0000"/>
        </w:rPr>
        <w:t>Notwithstanding anything in paragraphs 1 to 3 above this Article does not include unilateral action by the airlines or the competition authorities of either Party.</w:t>
      </w:r>
    </w:p>
    <w:p w:rsidR="00A4689D" w:rsidRDefault="00A4689D" w:rsidP="00A4689D"/>
    <w:p w:rsidR="00A4689D" w:rsidRDefault="00A4689D" w:rsidP="00A4689D">
      <w:r w:rsidRPr="00A4689D">
        <w:rPr>
          <w:highlight w:val="yellow"/>
        </w:rPr>
        <w:t>Air Services Agreement between the Government of Australia and the Government of the Czech Republic (New York, 24 September 2010)</w:t>
      </w:r>
    </w:p>
    <w:p w:rsidR="00A4689D" w:rsidRDefault="00A4689D" w:rsidP="00A4689D">
      <w:r>
        <w:t xml:space="preserve"> 6.30</w:t>
      </w:r>
    </w:p>
    <w:p w:rsidR="00A4689D" w:rsidRDefault="00A4689D" w:rsidP="00A4689D">
      <w:r>
        <w:t>Article 17 confirms that each Party’s competition laws apply to the operation of airlines within their respective jurisdictions and that the aeronautical authorities of either Party may request consultations with the other Party if the Party considers that its airlines are being subjected to discrimination or unfair competitive practices.</w:t>
      </w:r>
    </w:p>
    <w:sectPr w:rsidR="00A4689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B94" w:rsidRDefault="00FA6B94" w:rsidP="00FA6B94">
      <w:pPr>
        <w:spacing w:after="0" w:line="240" w:lineRule="auto"/>
      </w:pPr>
      <w:r>
        <w:separator/>
      </w:r>
    </w:p>
  </w:endnote>
  <w:endnote w:type="continuationSeparator" w:id="0">
    <w:p w:rsidR="00FA6B94" w:rsidRDefault="00FA6B94" w:rsidP="00FA6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B94" w:rsidRDefault="00FA6B94" w:rsidP="00FA6B94">
      <w:pPr>
        <w:spacing w:after="0" w:line="240" w:lineRule="auto"/>
      </w:pPr>
      <w:r>
        <w:separator/>
      </w:r>
    </w:p>
  </w:footnote>
  <w:footnote w:type="continuationSeparator" w:id="0">
    <w:p w:rsidR="00FA6B94" w:rsidRDefault="00FA6B94" w:rsidP="00FA6B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D70EE"/>
    <w:multiLevelType w:val="hybridMultilevel"/>
    <w:tmpl w:val="841A7334"/>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3A5D4A44"/>
    <w:multiLevelType w:val="hybridMultilevel"/>
    <w:tmpl w:val="E49CBA8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76F2724E"/>
    <w:multiLevelType w:val="hybridMultilevel"/>
    <w:tmpl w:val="47E6BA24"/>
    <w:lvl w:ilvl="0" w:tplc="230E5770">
      <w:start w:val="45"/>
      <w:numFmt w:val="bullet"/>
      <w:lvlText w:val="-"/>
      <w:lvlJc w:val="left"/>
      <w:pPr>
        <w:ind w:left="720" w:hanging="360"/>
      </w:pPr>
      <w:rPr>
        <w:rFonts w:ascii="Calibri" w:eastAsiaTheme="minorEastAsia"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A73"/>
    <w:rsid w:val="00001E0F"/>
    <w:rsid w:val="001A4A73"/>
    <w:rsid w:val="001C3B1E"/>
    <w:rsid w:val="001F16DC"/>
    <w:rsid w:val="005840AA"/>
    <w:rsid w:val="00650432"/>
    <w:rsid w:val="00A4689D"/>
    <w:rsid w:val="00C63E58"/>
    <w:rsid w:val="00E44F0B"/>
    <w:rsid w:val="00EA28F6"/>
    <w:rsid w:val="00FA6B94"/>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4A73"/>
    <w:pPr>
      <w:ind w:left="720"/>
      <w:contextualSpacing/>
    </w:pPr>
  </w:style>
  <w:style w:type="character" w:styleId="Hyperlink">
    <w:name w:val="Hyperlink"/>
    <w:basedOn w:val="DefaultParagraphFont"/>
    <w:uiPriority w:val="99"/>
    <w:unhideWhenUsed/>
    <w:rsid w:val="00C63E58"/>
    <w:rPr>
      <w:color w:val="0000FF" w:themeColor="hyperlink"/>
      <w:u w:val="single"/>
    </w:rPr>
  </w:style>
  <w:style w:type="paragraph" w:styleId="Title">
    <w:name w:val="Title"/>
    <w:basedOn w:val="Normal"/>
    <w:next w:val="Normal"/>
    <w:link w:val="TitleChar"/>
    <w:uiPriority w:val="10"/>
    <w:qFormat/>
    <w:rsid w:val="00C63E5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63E58"/>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FA6B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B94"/>
  </w:style>
  <w:style w:type="paragraph" w:styleId="Footer">
    <w:name w:val="footer"/>
    <w:basedOn w:val="Normal"/>
    <w:link w:val="FooterChar"/>
    <w:uiPriority w:val="99"/>
    <w:unhideWhenUsed/>
    <w:rsid w:val="00FA6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B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4A73"/>
    <w:pPr>
      <w:ind w:left="720"/>
      <w:contextualSpacing/>
    </w:pPr>
  </w:style>
  <w:style w:type="character" w:styleId="Hyperlink">
    <w:name w:val="Hyperlink"/>
    <w:basedOn w:val="DefaultParagraphFont"/>
    <w:uiPriority w:val="99"/>
    <w:unhideWhenUsed/>
    <w:rsid w:val="00C63E58"/>
    <w:rPr>
      <w:color w:val="0000FF" w:themeColor="hyperlink"/>
      <w:u w:val="single"/>
    </w:rPr>
  </w:style>
  <w:style w:type="paragraph" w:styleId="Title">
    <w:name w:val="Title"/>
    <w:basedOn w:val="Normal"/>
    <w:next w:val="Normal"/>
    <w:link w:val="TitleChar"/>
    <w:uiPriority w:val="10"/>
    <w:qFormat/>
    <w:rsid w:val="00C63E5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63E58"/>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FA6B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B94"/>
  </w:style>
  <w:style w:type="paragraph" w:styleId="Footer">
    <w:name w:val="footer"/>
    <w:basedOn w:val="Normal"/>
    <w:link w:val="FooterChar"/>
    <w:uiPriority w:val="99"/>
    <w:unhideWhenUsed/>
    <w:rsid w:val="00FA6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B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straliancompetitionlaw.org/overview.html" TargetMode="Externa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www.australiancompetitionlaw.org/law/mmp.html" TargetMode="External"/><Relationship Id="rId4" Type="http://schemas.openxmlformats.org/officeDocument/2006/relationships/settings" Target="settings.xml"/><Relationship Id="rId9" Type="http://schemas.openxmlformats.org/officeDocument/2006/relationships/hyperlink" Target="http://www.comlaw.gov.au/Details/C2013C00004"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etings xmlns="0398b90b-68f4-4d17-b8e5-fb5b03fe9925" xsi:nil="true"/>
    <PublishingExpirationDate xmlns="http://schemas.microsoft.com/sharepoint/v3" xsi:nil="true"/>
    <PublishingStartDate xmlns="http://schemas.microsoft.com/sharepoint/v3" xsi:nil="true"/>
    <JointFinancing xmlns="0398b90b-68f4-4d17-b8e5-fb5b03fe992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5EBD8931297047A4AD05CB5DE3F76F" ma:contentTypeVersion="3" ma:contentTypeDescription="Create a new document." ma:contentTypeScope="" ma:versionID="37a66bac3fd89e1c1ddc2e530e4da030">
  <xsd:schema xmlns:xsd="http://www.w3.org/2001/XMLSchema" xmlns:xs="http://www.w3.org/2001/XMLSchema" xmlns:p="http://schemas.microsoft.com/office/2006/metadata/properties" xmlns:ns1="http://schemas.microsoft.com/sharepoint/v3" xmlns:ns2="0398b90b-68f4-4d17-b8e5-fb5b03fe9925" targetNamespace="http://schemas.microsoft.com/office/2006/metadata/properties" ma:root="true" ma:fieldsID="6c3b2e0e8d880117f6fd3edb2cb183b7" ns1:_="" ns2:_="">
    <xsd:import namespace="http://schemas.microsoft.com/sharepoint/v3"/>
    <xsd:import namespace="0398b90b-68f4-4d17-b8e5-fb5b03fe9925"/>
    <xsd:element name="properties">
      <xsd:complexType>
        <xsd:sequence>
          <xsd:element name="documentManagement">
            <xsd:complexType>
              <xsd:all>
                <xsd:element ref="ns1:PublishingStartDate" minOccurs="0"/>
                <xsd:element ref="ns1:PublishingExpirationDate" minOccurs="0"/>
                <xsd:element ref="ns2:JointFinancing" minOccurs="0"/>
                <xsd:element ref="ns2:Meetin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98b90b-68f4-4d17-b8e5-fb5b03fe9925" elementFormDefault="qualified">
    <xsd:import namespace="http://schemas.microsoft.com/office/2006/documentManagement/types"/>
    <xsd:import namespace="http://schemas.microsoft.com/office/infopath/2007/PartnerControls"/>
    <xsd:element name="JointFinancing" ma:index="10" nillable="true" ma:displayName="JointFinancing" ma:format="Dropdown" ma:internalName="JointFinancing">
      <xsd:simpleType>
        <xsd:restriction base="dms:Choice">
          <xsd:enumeration value="General"/>
          <xsd:enumeration value="Memos"/>
          <xsd:enumeration value="Reports"/>
          <xsd:enumeration value="Meetings"/>
        </xsd:restriction>
      </xsd:simpleType>
    </xsd:element>
    <xsd:element name="Meetings" ma:index="11" nillable="true" ma:displayName="Meetings" ma:format="Dropdown" ma:internalName="Meetings">
      <xsd:simpleType>
        <xsd:restriction base="dms:Choice">
          <xsd:enumeration value="Scrag1"/>
          <xsd:enumeration value="Scrag2"/>
          <xsd:enumeration value="Scrag3"/>
          <xsd:enumeration value="Scrag4"/>
          <xsd:enumeration value="Scrag5"/>
          <xsd:enumeration value="Scrag6"/>
          <xsd:enumeration value="Scrag7"/>
          <xsd:enumeration value="Scrag8"/>
          <xsd:enumeration value="Scrag9"/>
          <xsd:enumeration value="Scrag10"/>
          <xsd:enumeration value="Scrag11"/>
          <xsd:enumeration value="Scrag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5421EF-3166-4564-A811-E3B80C2BCD8E}"/>
</file>

<file path=customXml/itemProps2.xml><?xml version="1.0" encoding="utf-8"?>
<ds:datastoreItem xmlns:ds="http://schemas.openxmlformats.org/officeDocument/2006/customXml" ds:itemID="{1C616F12-63AE-4AA0-A24A-A25968570F76}"/>
</file>

<file path=customXml/itemProps3.xml><?xml version="1.0" encoding="utf-8"?>
<ds:datastoreItem xmlns:ds="http://schemas.openxmlformats.org/officeDocument/2006/customXml" ds:itemID="{EEE9AAAE-0D9C-4A37-87DB-0D8E57930626}"/>
</file>

<file path=docProps/app.xml><?xml version="1.0" encoding="utf-8"?>
<Properties xmlns="http://schemas.openxmlformats.org/officeDocument/2006/extended-properties" xmlns:vt="http://schemas.openxmlformats.org/officeDocument/2006/docPropsVTypes">
  <Template>Normal.dotm</Template>
  <TotalTime>262</TotalTime>
  <Pages>5</Pages>
  <Words>1118</Words>
  <Characters>6409</Characters>
  <Application>Microsoft Office Word</Application>
  <DocSecurity>0</DocSecurity>
  <Lines>128</Lines>
  <Paragraphs>70</Paragraphs>
  <ScaleCrop>false</ScaleCrop>
  <HeadingPairs>
    <vt:vector size="2" baseType="variant">
      <vt:variant>
        <vt:lpstr>Title</vt:lpstr>
      </vt:variant>
      <vt:variant>
        <vt:i4>1</vt:i4>
      </vt:variant>
    </vt:vector>
  </HeadingPairs>
  <TitlesOfParts>
    <vt:vector size="1" baseType="lpstr">
      <vt:lpstr/>
    </vt:vector>
  </TitlesOfParts>
  <Company>I.C.A.O</Company>
  <LinksUpToDate>false</LinksUpToDate>
  <CharactersWithSpaces>7493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Hiriart, Marion</dc:creator>
  <cp:lastModifiedBy>Hiriart, Marion</cp:lastModifiedBy>
  <cp:revision>2</cp:revision>
  <dcterms:created xsi:type="dcterms:W3CDTF">2014-01-14T17:27:00Z</dcterms:created>
  <dcterms:modified xsi:type="dcterms:W3CDTF">2014-01-22T16:31:00Z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0x010100225EBD8931297047A4AD05CB5DE3F76F</vt:lpwstr>
  </property>
</Properties>
</file>