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bottom w:val="double" w:sz="4" w:space="0" w:color="auto"/>
        </w:tblBorders>
        <w:tblLook w:val="01E0" w:firstRow="1" w:lastRow="1" w:firstColumn="1" w:lastColumn="1" w:noHBand="0" w:noVBand="0"/>
      </w:tblPr>
      <w:tblGrid>
        <w:gridCol w:w="5595"/>
        <w:gridCol w:w="3765"/>
      </w:tblGrid>
      <w:tr w:rsidR="00F3409C" w:rsidRPr="003F4F43" w14:paraId="6AB51362" w14:textId="77777777" w:rsidTr="003D0244">
        <w:tc>
          <w:tcPr>
            <w:tcW w:w="2989" w:type="pct"/>
          </w:tcPr>
          <w:p w14:paraId="32997B7C" w14:textId="77777777" w:rsidR="00F3409C" w:rsidRPr="003F4F43" w:rsidRDefault="00F3409C" w:rsidP="001F0044">
            <w:pPr>
              <w:rPr>
                <w:rFonts w:asciiTheme="minorHAnsi" w:hAnsiTheme="minorHAnsi"/>
                <w:lang w:val="es-ES_tradnl"/>
              </w:rPr>
            </w:pPr>
          </w:p>
        </w:tc>
        <w:tc>
          <w:tcPr>
            <w:tcW w:w="2011" w:type="pct"/>
          </w:tcPr>
          <w:p w14:paraId="4522FF9D" w14:textId="77777777" w:rsidR="00F3409C" w:rsidRPr="003F4F43" w:rsidRDefault="008D4885" w:rsidP="003D0244">
            <w:pPr>
              <w:jc w:val="right"/>
              <w:rPr>
                <w:rFonts w:asciiTheme="minorHAnsi" w:hAnsiTheme="minorHAnsi"/>
                <w:lang w:val="es-ES_tradnl"/>
              </w:rPr>
            </w:pPr>
            <w:r>
              <w:rPr>
                <w:rFonts w:asciiTheme="minorHAnsi" w:hAnsiTheme="minorHAnsi"/>
                <w:lang w:val="es-ES_tradnl"/>
              </w:rPr>
              <w:t>RASG-PA/1</w:t>
            </w:r>
            <w:r w:rsidR="003D0244">
              <w:rPr>
                <w:rFonts w:asciiTheme="minorHAnsi" w:hAnsiTheme="minorHAnsi"/>
                <w:lang w:val="es-ES_tradnl"/>
              </w:rPr>
              <w:t>2</w:t>
            </w:r>
            <w:r w:rsidR="00F3409C" w:rsidRPr="003F4F43">
              <w:rPr>
                <w:rFonts w:asciiTheme="minorHAnsi" w:hAnsiTheme="minorHAnsi"/>
                <w:lang w:val="es-ES_tradnl"/>
              </w:rPr>
              <w:t xml:space="preserve"> — </w:t>
            </w:r>
            <w:r w:rsidR="00112788" w:rsidRPr="003F4F43">
              <w:rPr>
                <w:rFonts w:asciiTheme="minorHAnsi" w:hAnsiTheme="minorHAnsi"/>
                <w:lang w:val="es-ES_tradnl"/>
              </w:rPr>
              <w:t>NE/</w:t>
            </w:r>
            <w:r w:rsidR="0005177D">
              <w:rPr>
                <w:rFonts w:asciiTheme="minorHAnsi" w:hAnsiTheme="minorHAnsi"/>
                <w:lang w:val="es-ES_tradnl"/>
              </w:rPr>
              <w:t>06</w:t>
            </w:r>
          </w:p>
        </w:tc>
      </w:tr>
      <w:tr w:rsidR="00F3409C" w:rsidRPr="003F4F43" w14:paraId="5AB9BDF4" w14:textId="77777777" w:rsidTr="003D0244">
        <w:tc>
          <w:tcPr>
            <w:tcW w:w="2989" w:type="pct"/>
          </w:tcPr>
          <w:p w14:paraId="3FB57F47" w14:textId="77777777" w:rsidR="00F3409C" w:rsidRPr="003F4F43" w:rsidRDefault="00F3409C" w:rsidP="001F0044">
            <w:pPr>
              <w:rPr>
                <w:rFonts w:asciiTheme="minorHAnsi" w:hAnsiTheme="minorHAnsi"/>
                <w:lang w:val="es-ES_tradnl"/>
              </w:rPr>
            </w:pPr>
          </w:p>
        </w:tc>
        <w:tc>
          <w:tcPr>
            <w:tcW w:w="2011" w:type="pct"/>
          </w:tcPr>
          <w:p w14:paraId="30E0971E" w14:textId="77777777" w:rsidR="00F3409C" w:rsidRDefault="00D149B4" w:rsidP="003D0244">
            <w:pPr>
              <w:jc w:val="right"/>
              <w:rPr>
                <w:rFonts w:asciiTheme="minorHAnsi" w:hAnsiTheme="minorHAnsi"/>
                <w:lang w:val="es-ES_tradnl"/>
              </w:rPr>
            </w:pPr>
            <w:r>
              <w:rPr>
                <w:rFonts w:asciiTheme="minorHAnsi" w:hAnsiTheme="minorHAnsi"/>
                <w:lang w:val="es-ES_tradnl"/>
              </w:rPr>
              <w:t>26/10</w:t>
            </w:r>
            <w:r w:rsidR="00F3409C" w:rsidRPr="003F4F43">
              <w:rPr>
                <w:rFonts w:asciiTheme="minorHAnsi" w:hAnsiTheme="minorHAnsi"/>
                <w:lang w:val="es-ES_tradnl"/>
              </w:rPr>
              <w:t>/</w:t>
            </w:r>
            <w:r w:rsidR="00B421A3">
              <w:rPr>
                <w:rFonts w:asciiTheme="minorHAnsi" w:hAnsiTheme="minorHAnsi"/>
                <w:lang w:val="es-ES_tradnl"/>
              </w:rPr>
              <w:t>2</w:t>
            </w:r>
            <w:r w:rsidR="003D0244">
              <w:rPr>
                <w:rFonts w:asciiTheme="minorHAnsi" w:hAnsiTheme="minorHAnsi"/>
                <w:lang w:val="es-ES_tradnl"/>
              </w:rPr>
              <w:t>2</w:t>
            </w:r>
          </w:p>
          <w:p w14:paraId="331228F3" w14:textId="77777777" w:rsidR="00130FA3" w:rsidRPr="003F4F43" w:rsidRDefault="00130FA3" w:rsidP="003D0244">
            <w:pPr>
              <w:jc w:val="right"/>
              <w:rPr>
                <w:rFonts w:asciiTheme="minorHAnsi" w:hAnsiTheme="minorHAnsi"/>
                <w:lang w:val="es-ES_tradnl"/>
              </w:rPr>
            </w:pPr>
          </w:p>
        </w:tc>
      </w:tr>
      <w:tr w:rsidR="003D0244" w:rsidRPr="008A682E" w14:paraId="33CDC918" w14:textId="77777777" w:rsidTr="003D0244">
        <w:tc>
          <w:tcPr>
            <w:tcW w:w="5000" w:type="pct"/>
            <w:gridSpan w:val="2"/>
          </w:tcPr>
          <w:p w14:paraId="22B92504" w14:textId="77777777" w:rsidR="003D0244" w:rsidRPr="003F4F43" w:rsidRDefault="003D0244" w:rsidP="003D0244">
            <w:pPr>
              <w:jc w:val="center"/>
              <w:rPr>
                <w:rFonts w:asciiTheme="minorHAnsi" w:hAnsiTheme="minorHAnsi"/>
                <w:b/>
                <w:lang w:val="es-ES_tradnl"/>
              </w:rPr>
            </w:pPr>
            <w:r w:rsidRPr="003D0244">
              <w:rPr>
                <w:rFonts w:asciiTheme="minorHAnsi" w:hAnsiTheme="minorHAnsi"/>
                <w:b/>
                <w:lang w:val="es-ES_tradnl"/>
              </w:rPr>
              <w:t xml:space="preserve">Decimosegunda Reunión Plenaria del Grupo Regional de Seguridad Operacional de la Aviación – </w:t>
            </w:r>
            <w:proofErr w:type="spellStart"/>
            <w:r w:rsidRPr="003D0244">
              <w:rPr>
                <w:rFonts w:asciiTheme="minorHAnsi" w:hAnsiTheme="minorHAnsi"/>
                <w:b/>
                <w:lang w:val="es-ES_tradnl"/>
              </w:rPr>
              <w:t>Panamérica</w:t>
            </w:r>
            <w:proofErr w:type="spellEnd"/>
            <w:r w:rsidRPr="003D0244">
              <w:rPr>
                <w:rFonts w:asciiTheme="minorHAnsi" w:hAnsiTheme="minorHAnsi"/>
                <w:b/>
                <w:lang w:val="es-ES_tradnl"/>
              </w:rPr>
              <w:t xml:space="preserve"> (RASG-PA/12)</w:t>
            </w:r>
          </w:p>
        </w:tc>
      </w:tr>
      <w:tr w:rsidR="003D0244" w:rsidRPr="008A682E" w14:paraId="51D4D5CC" w14:textId="77777777" w:rsidTr="003D0244">
        <w:tc>
          <w:tcPr>
            <w:tcW w:w="5000" w:type="pct"/>
            <w:gridSpan w:val="2"/>
          </w:tcPr>
          <w:p w14:paraId="78A871DC" w14:textId="77777777" w:rsidR="003D0244" w:rsidRPr="00F13688" w:rsidRDefault="003D0244" w:rsidP="003D0244">
            <w:pPr>
              <w:jc w:val="center"/>
              <w:rPr>
                <w:rFonts w:asciiTheme="minorHAnsi" w:hAnsiTheme="minorHAnsi"/>
                <w:lang w:val="es-ES_tradnl"/>
              </w:rPr>
            </w:pPr>
            <w:r w:rsidRPr="00F13688">
              <w:rPr>
                <w:rFonts w:asciiTheme="minorHAnsi" w:hAnsiTheme="minorHAnsi"/>
                <w:lang w:val="es-ES_tradnl"/>
              </w:rPr>
              <w:t>Salvador, Bahía, Brasil, 14 – 15 de noviembre de 2022</w:t>
            </w:r>
          </w:p>
          <w:p w14:paraId="71250472" w14:textId="77777777" w:rsidR="003D0244" w:rsidRDefault="003D0244" w:rsidP="003D0244">
            <w:pPr>
              <w:jc w:val="center"/>
              <w:rPr>
                <w:rFonts w:asciiTheme="minorHAnsi" w:hAnsiTheme="minorHAnsi"/>
                <w:b/>
                <w:lang w:val="es-ES_tradnl"/>
              </w:rPr>
            </w:pPr>
          </w:p>
          <w:p w14:paraId="34288F9D" w14:textId="77777777" w:rsidR="003D0244" w:rsidRPr="003D0244" w:rsidRDefault="003D0244" w:rsidP="003D0244">
            <w:pPr>
              <w:ind w:left="720" w:right="-155" w:hanging="686"/>
              <w:jc w:val="center"/>
              <w:rPr>
                <w:rFonts w:asciiTheme="minorHAnsi" w:hAnsiTheme="minorHAnsi"/>
                <w:b/>
                <w:lang w:val="es-ES_tradnl"/>
              </w:rPr>
            </w:pPr>
            <w:r w:rsidRPr="003D0244">
              <w:rPr>
                <w:rFonts w:asciiTheme="minorHAnsi" w:hAnsiTheme="minorHAnsi"/>
                <w:b/>
                <w:lang w:val="es-ES_tradnl"/>
              </w:rPr>
              <w:t>Segunda Reunión Conjunta GREPECAS–RASG-PA</w:t>
            </w:r>
          </w:p>
          <w:p w14:paraId="131A39CD" w14:textId="77777777" w:rsidR="003D0244" w:rsidRPr="00F13688" w:rsidRDefault="003D0244" w:rsidP="003D0244">
            <w:pPr>
              <w:ind w:left="720" w:right="-155" w:firstLine="720"/>
              <w:jc w:val="both"/>
              <w:rPr>
                <w:rFonts w:asciiTheme="minorHAnsi" w:hAnsiTheme="minorHAnsi"/>
                <w:lang w:val="es-ES_tradnl"/>
              </w:rPr>
            </w:pPr>
            <w:r w:rsidRPr="00F13688">
              <w:rPr>
                <w:rFonts w:asciiTheme="minorHAnsi" w:hAnsiTheme="minorHAnsi"/>
                <w:lang w:val="es-ES_tradnl"/>
              </w:rPr>
              <w:t xml:space="preserve">Salvador, Bahía, Brasil, 15 de noviembre de 2022 (13h00 hora local) </w:t>
            </w:r>
          </w:p>
          <w:p w14:paraId="7028370D" w14:textId="77777777" w:rsidR="003D0244" w:rsidRPr="003D0244" w:rsidRDefault="003D0244" w:rsidP="003D0244">
            <w:pPr>
              <w:jc w:val="center"/>
              <w:rPr>
                <w:rFonts w:asciiTheme="minorHAnsi" w:hAnsiTheme="minorHAnsi"/>
                <w:b/>
                <w:lang w:val="es-ES_tradnl"/>
              </w:rPr>
            </w:pPr>
          </w:p>
        </w:tc>
      </w:tr>
    </w:tbl>
    <w:p w14:paraId="6D1AD87C" w14:textId="77777777" w:rsidR="00F3409C" w:rsidRPr="003F4F43" w:rsidRDefault="00F3409C" w:rsidP="00F3409C">
      <w:pPr>
        <w:rPr>
          <w:rFonts w:asciiTheme="minorHAnsi" w:hAnsiTheme="minorHAnsi"/>
          <w:lang w:val="es-ES_tradnl"/>
        </w:rPr>
      </w:pPr>
    </w:p>
    <w:p w14:paraId="39F00409" w14:textId="77777777" w:rsidR="008C1749" w:rsidRPr="003F4F43" w:rsidRDefault="008C1749" w:rsidP="00F3409C">
      <w:pPr>
        <w:ind w:left="2160" w:hanging="2160"/>
        <w:rPr>
          <w:rFonts w:asciiTheme="minorHAnsi" w:hAnsiTheme="minorHAnsi"/>
          <w:b/>
          <w:lang w:val="es-ES_tradnl"/>
        </w:rPr>
      </w:pPr>
      <w:r w:rsidRPr="003F4F43">
        <w:rPr>
          <w:rFonts w:asciiTheme="minorHAnsi" w:hAnsiTheme="minorHAnsi"/>
          <w:b/>
          <w:lang w:val="es-ES_tradnl"/>
        </w:rPr>
        <w:t>Cuestión</w:t>
      </w:r>
      <w:r w:rsidR="002A48F8">
        <w:rPr>
          <w:rFonts w:asciiTheme="minorHAnsi" w:hAnsiTheme="minorHAnsi"/>
          <w:b/>
          <w:lang w:val="es-ES_tradnl"/>
        </w:rPr>
        <w:t xml:space="preserve"> 5</w:t>
      </w:r>
      <w:r w:rsidRPr="003F4F43">
        <w:rPr>
          <w:rFonts w:asciiTheme="minorHAnsi" w:hAnsiTheme="minorHAnsi"/>
          <w:b/>
          <w:lang w:val="es-ES_tradnl"/>
        </w:rPr>
        <w:t xml:space="preserve"> del</w:t>
      </w:r>
    </w:p>
    <w:p w14:paraId="47D791D4" w14:textId="29B4FE86" w:rsidR="00F3409C" w:rsidRPr="003F4F43" w:rsidRDefault="008C1749" w:rsidP="00F3409C">
      <w:pPr>
        <w:ind w:left="2160" w:hanging="2160"/>
        <w:rPr>
          <w:rFonts w:asciiTheme="minorHAnsi" w:hAnsiTheme="minorHAnsi"/>
          <w:b/>
          <w:lang w:val="es-ES_tradnl"/>
        </w:rPr>
      </w:pPr>
      <w:r w:rsidRPr="003F4F43">
        <w:rPr>
          <w:rFonts w:asciiTheme="minorHAnsi" w:hAnsiTheme="minorHAnsi"/>
          <w:b/>
          <w:lang w:val="es-ES_tradnl"/>
        </w:rPr>
        <w:t>Orden del Día</w:t>
      </w:r>
      <w:r w:rsidR="00F3409C" w:rsidRPr="003F4F43">
        <w:rPr>
          <w:rFonts w:asciiTheme="minorHAnsi" w:hAnsiTheme="minorHAnsi"/>
          <w:b/>
          <w:lang w:val="es-ES_tradnl"/>
        </w:rPr>
        <w:t>:</w:t>
      </w:r>
      <w:r w:rsidR="00D149B4">
        <w:rPr>
          <w:rFonts w:asciiTheme="minorHAnsi" w:hAnsiTheme="minorHAnsi"/>
          <w:b/>
          <w:lang w:val="es-ES_tradnl"/>
        </w:rPr>
        <w:tab/>
      </w:r>
      <w:r w:rsidR="002A48F8" w:rsidRPr="002A48F8">
        <w:rPr>
          <w:rFonts w:asciiTheme="minorHAnsi" w:hAnsiTheme="minorHAnsi"/>
          <w:b/>
          <w:lang w:val="es-ES_tradnl"/>
        </w:rPr>
        <w:t>Medidas específicas y mejoras que requieren consideración de la ANC y del Consejo</w:t>
      </w:r>
    </w:p>
    <w:p w14:paraId="34025393" w14:textId="77777777" w:rsidR="00F3409C" w:rsidRPr="003F4F43" w:rsidRDefault="00F3409C" w:rsidP="00F3409C">
      <w:pPr>
        <w:ind w:left="2160" w:hanging="2160"/>
        <w:rPr>
          <w:rFonts w:asciiTheme="minorHAnsi" w:hAnsiTheme="minorHAnsi"/>
          <w:b/>
          <w:lang w:val="es-ES_tradnl"/>
        </w:rPr>
      </w:pPr>
    </w:p>
    <w:p w14:paraId="584CF4E9" w14:textId="77777777" w:rsidR="00F3409C" w:rsidRPr="002A48F8" w:rsidRDefault="002A48F8" w:rsidP="00F3409C">
      <w:pPr>
        <w:jc w:val="center"/>
        <w:rPr>
          <w:rFonts w:asciiTheme="minorHAnsi" w:hAnsiTheme="minorHAnsi"/>
          <w:lang w:val="es-ES_tradnl"/>
        </w:rPr>
      </w:pPr>
      <w:r w:rsidRPr="002A48F8">
        <w:rPr>
          <w:rFonts w:asciiTheme="minorHAnsi" w:hAnsiTheme="minorHAnsi"/>
          <w:b/>
          <w:lang w:val="es-ES_tradnl"/>
        </w:rPr>
        <w:t xml:space="preserve">MEDIDAS ESPECÍFICAS Y MEJORAS QUE REQUIEREN CONSIDERACIÓN DE LA </w:t>
      </w:r>
      <w:r w:rsidR="005670C9">
        <w:rPr>
          <w:rFonts w:asciiTheme="minorHAnsi" w:hAnsiTheme="minorHAnsi"/>
          <w:b/>
          <w:lang w:val="es-ES_tradnl"/>
        </w:rPr>
        <w:t>COMISION DE NAVEGACION AEREA (</w:t>
      </w:r>
      <w:r>
        <w:rPr>
          <w:rFonts w:asciiTheme="minorHAnsi" w:hAnsiTheme="minorHAnsi"/>
          <w:b/>
          <w:lang w:val="es-ES_tradnl"/>
        </w:rPr>
        <w:t>ANC</w:t>
      </w:r>
      <w:r w:rsidR="005670C9">
        <w:rPr>
          <w:rFonts w:asciiTheme="minorHAnsi" w:hAnsiTheme="minorHAnsi"/>
          <w:b/>
          <w:lang w:val="es-ES_tradnl"/>
        </w:rPr>
        <w:t>)</w:t>
      </w:r>
      <w:r>
        <w:rPr>
          <w:rFonts w:asciiTheme="minorHAnsi" w:hAnsiTheme="minorHAnsi"/>
          <w:b/>
          <w:lang w:val="es-ES_tradnl"/>
        </w:rPr>
        <w:t xml:space="preserve"> Y DEL CONSEJO</w:t>
      </w:r>
      <w:r w:rsidR="005670C9">
        <w:rPr>
          <w:rFonts w:asciiTheme="minorHAnsi" w:hAnsiTheme="minorHAnsi"/>
          <w:b/>
          <w:lang w:val="es-ES_tradnl"/>
        </w:rPr>
        <w:t xml:space="preserve"> DE LA OACI</w:t>
      </w:r>
    </w:p>
    <w:p w14:paraId="73AC7829" w14:textId="77777777" w:rsidR="008A682E" w:rsidRDefault="008A682E" w:rsidP="00F3409C">
      <w:pPr>
        <w:jc w:val="center"/>
        <w:rPr>
          <w:rFonts w:asciiTheme="minorHAnsi" w:hAnsiTheme="minorHAnsi"/>
          <w:lang w:val="es-ES_tradnl"/>
        </w:rPr>
      </w:pPr>
    </w:p>
    <w:p w14:paraId="1B5C6590" w14:textId="50E81CFA" w:rsidR="00F3409C" w:rsidRPr="003F4F43" w:rsidRDefault="00F3409C" w:rsidP="00F3409C">
      <w:pPr>
        <w:jc w:val="center"/>
        <w:rPr>
          <w:rFonts w:asciiTheme="minorHAnsi" w:hAnsiTheme="minorHAnsi"/>
          <w:lang w:val="es-ES_tradnl"/>
        </w:rPr>
      </w:pPr>
      <w:r w:rsidRPr="003F4F43">
        <w:rPr>
          <w:rFonts w:asciiTheme="minorHAnsi" w:hAnsiTheme="minorHAnsi"/>
          <w:lang w:val="es-ES_tradnl"/>
        </w:rPr>
        <w:t>(Present</w:t>
      </w:r>
      <w:r w:rsidR="008C1749" w:rsidRPr="003F4F43">
        <w:rPr>
          <w:rFonts w:asciiTheme="minorHAnsi" w:hAnsiTheme="minorHAnsi"/>
          <w:lang w:val="es-ES_tradnl"/>
        </w:rPr>
        <w:t>ada</w:t>
      </w:r>
      <w:r w:rsidRPr="003F4F43">
        <w:rPr>
          <w:rFonts w:asciiTheme="minorHAnsi" w:hAnsiTheme="minorHAnsi"/>
          <w:lang w:val="es-ES_tradnl"/>
        </w:rPr>
        <w:t xml:space="preserve"> </w:t>
      </w:r>
      <w:r w:rsidR="008C1749" w:rsidRPr="003F4F43">
        <w:rPr>
          <w:rFonts w:asciiTheme="minorHAnsi" w:hAnsiTheme="minorHAnsi"/>
          <w:lang w:val="es-ES_tradnl"/>
        </w:rPr>
        <w:t>por</w:t>
      </w:r>
      <w:r w:rsidR="00D149B4">
        <w:rPr>
          <w:rFonts w:asciiTheme="minorHAnsi" w:hAnsiTheme="minorHAnsi"/>
          <w:lang w:val="es-ES_tradnl"/>
        </w:rPr>
        <w:t xml:space="preserve"> Secretaría</w:t>
      </w:r>
      <w:r w:rsidRPr="003F4F43">
        <w:rPr>
          <w:rFonts w:asciiTheme="minorHAnsi" w:hAnsiTheme="minorHAnsi"/>
          <w:lang w:val="es-ES_tradnl"/>
        </w:rPr>
        <w:t>)</w:t>
      </w:r>
    </w:p>
    <w:p w14:paraId="42B113C3" w14:textId="77777777" w:rsidR="00F3409C" w:rsidRPr="003F4F43" w:rsidRDefault="00F3409C" w:rsidP="00F3409C">
      <w:pPr>
        <w:jc w:val="center"/>
        <w:rPr>
          <w:rFonts w:asciiTheme="minorHAnsi" w:hAnsiTheme="minorHAnsi"/>
          <w:lang w:val="es-ES_tradnl"/>
        </w:rPr>
      </w:pPr>
    </w:p>
    <w:tbl>
      <w:tblPr>
        <w:tblStyle w:val="TableGrid"/>
        <w:tblW w:w="0" w:type="auto"/>
        <w:jc w:val="center"/>
        <w:tblLook w:val="04A0" w:firstRow="1" w:lastRow="0" w:firstColumn="1" w:lastColumn="0" w:noHBand="0" w:noVBand="1"/>
      </w:tblPr>
      <w:tblGrid>
        <w:gridCol w:w="1854"/>
        <w:gridCol w:w="6174"/>
      </w:tblGrid>
      <w:tr w:rsidR="00F3409C" w:rsidRPr="008A682E" w14:paraId="0FCEB08B" w14:textId="77777777" w:rsidTr="001F0044">
        <w:trPr>
          <w:jc w:val="center"/>
        </w:trPr>
        <w:tc>
          <w:tcPr>
            <w:tcW w:w="8028" w:type="dxa"/>
            <w:gridSpan w:val="2"/>
          </w:tcPr>
          <w:p w14:paraId="1E500080" w14:textId="77777777" w:rsidR="00F3409C" w:rsidRPr="00D149B4" w:rsidRDefault="008C1749" w:rsidP="00D149B4">
            <w:pPr>
              <w:spacing w:after="120"/>
              <w:jc w:val="center"/>
              <w:rPr>
                <w:rFonts w:asciiTheme="minorHAnsi" w:hAnsiTheme="minorHAnsi"/>
                <w:b/>
                <w:lang w:val="es-ES_tradnl"/>
              </w:rPr>
            </w:pPr>
            <w:r w:rsidRPr="003F4F43">
              <w:rPr>
                <w:rFonts w:asciiTheme="minorHAnsi" w:hAnsiTheme="minorHAnsi"/>
                <w:b/>
                <w:lang w:val="es-ES_tradnl"/>
              </w:rPr>
              <w:t>RESUMEN EJECUTIVO</w:t>
            </w:r>
          </w:p>
          <w:p w14:paraId="7E2FEE1C" w14:textId="77777777" w:rsidR="00F3409C" w:rsidRPr="003F4F43" w:rsidRDefault="005D37A5" w:rsidP="00B43553">
            <w:pPr>
              <w:spacing w:after="120"/>
              <w:jc w:val="both"/>
              <w:rPr>
                <w:rFonts w:asciiTheme="minorHAnsi" w:hAnsiTheme="minorHAnsi"/>
                <w:lang w:val="es-ES_tradnl"/>
              </w:rPr>
            </w:pPr>
            <w:r>
              <w:rPr>
                <w:rFonts w:asciiTheme="minorHAnsi" w:hAnsiTheme="minorHAnsi"/>
                <w:lang w:val="es-ES_tradnl"/>
              </w:rPr>
              <w:t>La presente Nota de Estudio</w:t>
            </w:r>
            <w:r w:rsidR="00D149B4">
              <w:rPr>
                <w:rFonts w:asciiTheme="minorHAnsi" w:hAnsiTheme="minorHAnsi"/>
                <w:lang w:val="es-ES_tradnl"/>
              </w:rPr>
              <w:t xml:space="preserve"> presenta </w:t>
            </w:r>
            <w:r w:rsidR="00711F44">
              <w:rPr>
                <w:rFonts w:asciiTheme="minorHAnsi" w:hAnsiTheme="minorHAnsi"/>
                <w:lang w:val="es-ES_tradnl"/>
              </w:rPr>
              <w:t xml:space="preserve">las </w:t>
            </w:r>
            <w:r w:rsidR="002A48F8">
              <w:rPr>
                <w:rFonts w:asciiTheme="minorHAnsi" w:hAnsiTheme="minorHAnsi"/>
                <w:lang w:val="es-ES_tradnl"/>
              </w:rPr>
              <w:t>m</w:t>
            </w:r>
            <w:r w:rsidR="002A48F8" w:rsidRPr="002A48F8">
              <w:rPr>
                <w:rFonts w:asciiTheme="minorHAnsi" w:hAnsiTheme="minorHAnsi"/>
                <w:lang w:val="es-ES_tradnl"/>
              </w:rPr>
              <w:t>edidas específicas y mejoras</w:t>
            </w:r>
            <w:r w:rsidR="00B43553">
              <w:rPr>
                <w:rFonts w:asciiTheme="minorHAnsi" w:hAnsiTheme="minorHAnsi"/>
                <w:lang w:val="es-ES_tradnl"/>
              </w:rPr>
              <w:t>,</w:t>
            </w:r>
            <w:r w:rsidR="002A48F8" w:rsidRPr="002A48F8">
              <w:rPr>
                <w:rFonts w:asciiTheme="minorHAnsi" w:hAnsiTheme="minorHAnsi"/>
                <w:lang w:val="es-ES_tradnl"/>
              </w:rPr>
              <w:t xml:space="preserve"> </w:t>
            </w:r>
            <w:r w:rsidR="00B43553">
              <w:rPr>
                <w:rFonts w:asciiTheme="minorHAnsi" w:hAnsiTheme="minorHAnsi"/>
                <w:lang w:val="es-ES_tradnl"/>
              </w:rPr>
              <w:t>identificadas por el RASG-PA,</w:t>
            </w:r>
            <w:r w:rsidR="00B43553" w:rsidRPr="002A48F8">
              <w:rPr>
                <w:rFonts w:asciiTheme="minorHAnsi" w:hAnsiTheme="minorHAnsi"/>
                <w:lang w:val="es-ES_tradnl"/>
              </w:rPr>
              <w:t xml:space="preserve"> </w:t>
            </w:r>
            <w:r w:rsidR="002A48F8" w:rsidRPr="002A48F8">
              <w:rPr>
                <w:rFonts w:asciiTheme="minorHAnsi" w:hAnsiTheme="minorHAnsi"/>
                <w:lang w:val="es-ES_tradnl"/>
              </w:rPr>
              <w:t>que requieren consideración de la ANC y del Consejo</w:t>
            </w:r>
            <w:r w:rsidR="00B43553">
              <w:rPr>
                <w:rFonts w:asciiTheme="minorHAnsi" w:hAnsiTheme="minorHAnsi"/>
                <w:lang w:val="es-ES_tradnl"/>
              </w:rPr>
              <w:t xml:space="preserve">, para facilitar las actividades de implementación del GASP en la región. </w:t>
            </w:r>
            <w:r w:rsidR="002A48F8" w:rsidRPr="002A48F8">
              <w:rPr>
                <w:rFonts w:asciiTheme="minorHAnsi" w:hAnsiTheme="minorHAnsi"/>
                <w:lang w:val="es-ES_tradnl"/>
              </w:rPr>
              <w:t xml:space="preserve"> </w:t>
            </w:r>
          </w:p>
        </w:tc>
      </w:tr>
      <w:tr w:rsidR="00F3409C" w:rsidRPr="008A682E" w14:paraId="681ED2AE" w14:textId="77777777" w:rsidTr="001F0044">
        <w:trPr>
          <w:jc w:val="center"/>
        </w:trPr>
        <w:tc>
          <w:tcPr>
            <w:tcW w:w="1854" w:type="dxa"/>
          </w:tcPr>
          <w:p w14:paraId="07578E74" w14:textId="77777777" w:rsidR="00F3409C" w:rsidRPr="0005177D" w:rsidRDefault="00F3409C" w:rsidP="008C1749">
            <w:pPr>
              <w:jc w:val="both"/>
              <w:rPr>
                <w:rFonts w:asciiTheme="minorHAnsi" w:hAnsiTheme="minorHAnsi"/>
                <w:b/>
                <w:lang w:val="es-ES_tradnl"/>
              </w:rPr>
            </w:pPr>
            <w:r w:rsidRPr="0005177D">
              <w:rPr>
                <w:rFonts w:asciiTheme="minorHAnsi" w:hAnsiTheme="minorHAnsi"/>
                <w:b/>
                <w:lang w:val="es-ES_tradnl"/>
              </w:rPr>
              <w:t>Ac</w:t>
            </w:r>
            <w:r w:rsidR="008C1749" w:rsidRPr="0005177D">
              <w:rPr>
                <w:rFonts w:asciiTheme="minorHAnsi" w:hAnsiTheme="minorHAnsi"/>
                <w:b/>
                <w:lang w:val="es-ES_tradnl"/>
              </w:rPr>
              <w:t>ción</w:t>
            </w:r>
            <w:r w:rsidRPr="0005177D">
              <w:rPr>
                <w:rFonts w:asciiTheme="minorHAnsi" w:hAnsiTheme="minorHAnsi"/>
                <w:b/>
                <w:lang w:val="es-ES_tradnl"/>
              </w:rPr>
              <w:t>:</w:t>
            </w:r>
          </w:p>
        </w:tc>
        <w:tc>
          <w:tcPr>
            <w:tcW w:w="6174" w:type="dxa"/>
          </w:tcPr>
          <w:p w14:paraId="4500B655" w14:textId="77777777" w:rsidR="008C3DC9" w:rsidRPr="008C3DC9" w:rsidRDefault="008C3DC9" w:rsidP="008C3DC9">
            <w:pPr>
              <w:spacing w:after="120"/>
              <w:jc w:val="both"/>
              <w:rPr>
                <w:rFonts w:asciiTheme="minorHAnsi" w:hAnsiTheme="minorHAnsi"/>
                <w:lang w:val="es-ES_tradnl"/>
              </w:rPr>
            </w:pPr>
            <w:r w:rsidRPr="008C3DC9">
              <w:rPr>
                <w:rFonts w:asciiTheme="minorHAnsi" w:hAnsiTheme="minorHAnsi"/>
                <w:lang w:val="es-ES_tradnl"/>
              </w:rPr>
              <w:t>Se invita a la Reunión a:</w:t>
            </w:r>
          </w:p>
          <w:p w14:paraId="475FAB94" w14:textId="497359E1" w:rsidR="008C3DC9" w:rsidRPr="008C3DC9" w:rsidRDefault="008C3DC9" w:rsidP="008C3DC9">
            <w:pPr>
              <w:spacing w:after="120"/>
              <w:ind w:left="464" w:hanging="464"/>
              <w:jc w:val="both"/>
              <w:rPr>
                <w:rFonts w:asciiTheme="minorHAnsi" w:hAnsiTheme="minorHAnsi"/>
                <w:lang w:val="es-ES_tradnl"/>
              </w:rPr>
            </w:pPr>
            <w:r w:rsidRPr="008C3DC9">
              <w:rPr>
                <w:rFonts w:asciiTheme="minorHAnsi" w:hAnsiTheme="minorHAnsi"/>
                <w:lang w:val="es-ES_tradnl"/>
              </w:rPr>
              <w:t xml:space="preserve">a) </w:t>
            </w:r>
            <w:r w:rsidRPr="008C3DC9">
              <w:rPr>
                <w:rFonts w:asciiTheme="minorHAnsi" w:hAnsiTheme="minorHAnsi"/>
                <w:lang w:val="es-ES_tradnl"/>
              </w:rPr>
              <w:tab/>
              <w:t xml:space="preserve">Revisar el contenido de la presente </w:t>
            </w:r>
            <w:r w:rsidR="00385846">
              <w:rPr>
                <w:rFonts w:asciiTheme="minorHAnsi" w:hAnsiTheme="minorHAnsi"/>
                <w:lang w:val="es-ES_tradnl"/>
              </w:rPr>
              <w:t>no</w:t>
            </w:r>
            <w:r w:rsidRPr="008C3DC9">
              <w:rPr>
                <w:rFonts w:asciiTheme="minorHAnsi" w:hAnsiTheme="minorHAnsi"/>
                <w:lang w:val="es-ES_tradnl"/>
              </w:rPr>
              <w:t xml:space="preserve">ta de </w:t>
            </w:r>
            <w:r w:rsidR="00385846">
              <w:rPr>
                <w:rFonts w:asciiTheme="minorHAnsi" w:hAnsiTheme="minorHAnsi"/>
                <w:lang w:val="es-ES_tradnl"/>
              </w:rPr>
              <w:t>e</w:t>
            </w:r>
            <w:r w:rsidRPr="008C3DC9">
              <w:rPr>
                <w:rFonts w:asciiTheme="minorHAnsi" w:hAnsiTheme="minorHAnsi"/>
                <w:lang w:val="es-ES_tradnl"/>
              </w:rPr>
              <w:t>studio; y</w:t>
            </w:r>
          </w:p>
          <w:p w14:paraId="3C46184B" w14:textId="64EC8984" w:rsidR="00F13E1F" w:rsidRPr="0005177D" w:rsidRDefault="008C3DC9" w:rsidP="008C3DC9">
            <w:pPr>
              <w:tabs>
                <w:tab w:val="left" w:pos="1440"/>
              </w:tabs>
              <w:spacing w:after="120"/>
              <w:ind w:left="464" w:hanging="464"/>
              <w:jc w:val="both"/>
              <w:rPr>
                <w:rFonts w:asciiTheme="minorHAnsi" w:hAnsiTheme="minorHAnsi"/>
                <w:lang w:val="es-ES_tradnl"/>
              </w:rPr>
            </w:pPr>
            <w:r w:rsidRPr="008C3DC9">
              <w:rPr>
                <w:rFonts w:asciiTheme="minorHAnsi" w:hAnsiTheme="minorHAnsi"/>
                <w:lang w:val="es-ES_tradnl"/>
              </w:rPr>
              <w:t xml:space="preserve">b) </w:t>
            </w:r>
            <w:r w:rsidRPr="008C3DC9">
              <w:rPr>
                <w:rFonts w:asciiTheme="minorHAnsi" w:hAnsiTheme="minorHAnsi"/>
                <w:lang w:val="es-ES_tradnl"/>
              </w:rPr>
              <w:tab/>
              <w:t>Comentar y aprobar las Conclusiones propue</w:t>
            </w:r>
            <w:r w:rsidR="00385846">
              <w:rPr>
                <w:rFonts w:asciiTheme="minorHAnsi" w:hAnsiTheme="minorHAnsi"/>
                <w:lang w:val="es-ES_tradnl"/>
              </w:rPr>
              <w:t>stas en 3.1, 3.2 y 3.3 de esta nota</w:t>
            </w:r>
            <w:r w:rsidRPr="008C3DC9">
              <w:rPr>
                <w:rFonts w:asciiTheme="minorHAnsi" w:hAnsiTheme="minorHAnsi"/>
                <w:lang w:val="es-ES_tradnl"/>
              </w:rPr>
              <w:t xml:space="preserve">.  </w:t>
            </w:r>
          </w:p>
        </w:tc>
      </w:tr>
      <w:tr w:rsidR="00F3409C" w:rsidRPr="003F4F43" w14:paraId="42B5A6E9" w14:textId="77777777" w:rsidTr="001F0044">
        <w:trPr>
          <w:jc w:val="center"/>
        </w:trPr>
        <w:tc>
          <w:tcPr>
            <w:tcW w:w="1854" w:type="dxa"/>
          </w:tcPr>
          <w:p w14:paraId="01854A76" w14:textId="77777777" w:rsidR="008C1749" w:rsidRPr="008A682E" w:rsidRDefault="008C1749" w:rsidP="001F0044">
            <w:pPr>
              <w:jc w:val="both"/>
              <w:rPr>
                <w:rFonts w:asciiTheme="minorHAnsi" w:hAnsiTheme="minorHAnsi"/>
                <w:b/>
                <w:i/>
                <w:lang w:val="es-ES_tradnl"/>
              </w:rPr>
            </w:pPr>
            <w:r w:rsidRPr="008A682E">
              <w:rPr>
                <w:rFonts w:asciiTheme="minorHAnsi" w:hAnsiTheme="minorHAnsi"/>
                <w:b/>
                <w:i/>
                <w:lang w:val="es-ES_tradnl"/>
              </w:rPr>
              <w:t>Objetivos</w:t>
            </w:r>
          </w:p>
          <w:p w14:paraId="71863DE5" w14:textId="77777777" w:rsidR="00F3409C" w:rsidRPr="008A682E" w:rsidRDefault="008C1749" w:rsidP="008C1749">
            <w:pPr>
              <w:jc w:val="both"/>
              <w:rPr>
                <w:rFonts w:asciiTheme="minorHAnsi" w:hAnsiTheme="minorHAnsi"/>
                <w:b/>
                <w:i/>
                <w:lang w:val="es-ES_tradnl"/>
              </w:rPr>
            </w:pPr>
            <w:r w:rsidRPr="008A682E">
              <w:rPr>
                <w:rFonts w:asciiTheme="minorHAnsi" w:hAnsiTheme="minorHAnsi"/>
                <w:b/>
                <w:i/>
                <w:lang w:val="es-ES_tradnl"/>
              </w:rPr>
              <w:t>Estratégicos</w:t>
            </w:r>
            <w:r w:rsidR="00F3409C" w:rsidRPr="008A682E">
              <w:rPr>
                <w:rFonts w:asciiTheme="minorHAnsi" w:hAnsiTheme="minorHAnsi"/>
                <w:b/>
                <w:i/>
                <w:lang w:val="es-ES_tradnl"/>
              </w:rPr>
              <w:t>:</w:t>
            </w:r>
          </w:p>
        </w:tc>
        <w:tc>
          <w:tcPr>
            <w:tcW w:w="6174" w:type="dxa"/>
          </w:tcPr>
          <w:p w14:paraId="460180C4" w14:textId="77777777" w:rsidR="00F3409C" w:rsidRPr="00D149B4" w:rsidRDefault="00D149B4" w:rsidP="00D149B4">
            <w:pPr>
              <w:pStyle w:val="ListParagraph"/>
              <w:numPr>
                <w:ilvl w:val="0"/>
                <w:numId w:val="1"/>
              </w:numPr>
              <w:ind w:left="342"/>
              <w:jc w:val="both"/>
              <w:rPr>
                <w:rFonts w:asciiTheme="minorHAnsi" w:hAnsiTheme="minorHAnsi"/>
                <w:lang w:val="es-ES_tradnl"/>
              </w:rPr>
            </w:pPr>
            <w:r>
              <w:rPr>
                <w:rFonts w:asciiTheme="minorHAnsi" w:hAnsiTheme="minorHAnsi"/>
                <w:lang w:val="es-ES_tradnl"/>
              </w:rPr>
              <w:t>Seguridad Operacional</w:t>
            </w:r>
          </w:p>
        </w:tc>
      </w:tr>
      <w:tr w:rsidR="00F3409C" w:rsidRPr="008A682E" w14:paraId="1EF83662" w14:textId="77777777" w:rsidTr="001F0044">
        <w:trPr>
          <w:jc w:val="center"/>
        </w:trPr>
        <w:tc>
          <w:tcPr>
            <w:tcW w:w="1854" w:type="dxa"/>
          </w:tcPr>
          <w:p w14:paraId="4DD10BF7" w14:textId="77777777" w:rsidR="00F3409C" w:rsidRPr="008A682E" w:rsidRDefault="000F694F" w:rsidP="001F0044">
            <w:pPr>
              <w:jc w:val="both"/>
              <w:rPr>
                <w:rFonts w:asciiTheme="minorHAnsi" w:hAnsiTheme="minorHAnsi"/>
                <w:b/>
                <w:i/>
                <w:lang w:val="es-ES_tradnl"/>
              </w:rPr>
            </w:pPr>
            <w:r w:rsidRPr="008A682E">
              <w:rPr>
                <w:rFonts w:asciiTheme="minorHAnsi" w:hAnsiTheme="minorHAnsi"/>
                <w:b/>
                <w:i/>
                <w:lang w:val="es-ES_tradnl"/>
              </w:rPr>
              <w:t>Referencias</w:t>
            </w:r>
            <w:r w:rsidR="00F3409C" w:rsidRPr="008A682E">
              <w:rPr>
                <w:rFonts w:asciiTheme="minorHAnsi" w:hAnsiTheme="minorHAnsi"/>
                <w:b/>
                <w:i/>
                <w:lang w:val="es-ES_tradnl"/>
              </w:rPr>
              <w:t>:</w:t>
            </w:r>
          </w:p>
        </w:tc>
        <w:tc>
          <w:tcPr>
            <w:tcW w:w="6174" w:type="dxa"/>
          </w:tcPr>
          <w:p w14:paraId="67C4DBF8" w14:textId="77777777" w:rsidR="00D149B4" w:rsidRDefault="00D149B4" w:rsidP="00D149B4">
            <w:pPr>
              <w:pStyle w:val="ListParagraph"/>
              <w:numPr>
                <w:ilvl w:val="0"/>
                <w:numId w:val="1"/>
              </w:numPr>
              <w:ind w:left="342"/>
              <w:jc w:val="both"/>
              <w:rPr>
                <w:rFonts w:asciiTheme="minorHAnsi" w:hAnsiTheme="minorHAnsi"/>
                <w:lang w:val="es-ES_tradnl"/>
              </w:rPr>
            </w:pPr>
            <w:r>
              <w:rPr>
                <w:rFonts w:asciiTheme="minorHAnsi" w:hAnsiTheme="minorHAnsi"/>
                <w:lang w:val="es-ES_tradnl"/>
              </w:rPr>
              <w:t>Manual de procedimientos del RASG-PA</w:t>
            </w:r>
          </w:p>
          <w:p w14:paraId="06379FC0" w14:textId="77777777" w:rsidR="00F3409C" w:rsidRPr="0005177D" w:rsidRDefault="00D149B4" w:rsidP="0005177D">
            <w:pPr>
              <w:pStyle w:val="ListParagraph"/>
              <w:numPr>
                <w:ilvl w:val="0"/>
                <w:numId w:val="1"/>
              </w:numPr>
              <w:ind w:left="342"/>
              <w:jc w:val="both"/>
              <w:rPr>
                <w:rFonts w:asciiTheme="minorHAnsi" w:hAnsiTheme="minorHAnsi"/>
                <w:lang w:val="es-ES_tradnl"/>
              </w:rPr>
            </w:pPr>
            <w:r>
              <w:rPr>
                <w:rFonts w:asciiTheme="minorHAnsi" w:hAnsiTheme="minorHAnsi"/>
                <w:lang w:val="es-ES_tradnl"/>
              </w:rPr>
              <w:t xml:space="preserve">Términos de referencia para los </w:t>
            </w:r>
            <w:proofErr w:type="spellStart"/>
            <w:r>
              <w:rPr>
                <w:rFonts w:asciiTheme="minorHAnsi" w:hAnsiTheme="minorHAnsi"/>
                <w:lang w:val="es-ES_tradnl"/>
              </w:rPr>
              <w:t>RASGs</w:t>
            </w:r>
            <w:proofErr w:type="spellEnd"/>
            <w:r>
              <w:rPr>
                <w:rFonts w:asciiTheme="minorHAnsi" w:hAnsiTheme="minorHAnsi"/>
                <w:lang w:val="es-ES_tradnl"/>
              </w:rPr>
              <w:t xml:space="preserve"> </w:t>
            </w:r>
          </w:p>
        </w:tc>
      </w:tr>
    </w:tbl>
    <w:p w14:paraId="334B18D5" w14:textId="77777777" w:rsidR="00F3409C" w:rsidRPr="003F4F43" w:rsidRDefault="00F3409C" w:rsidP="00F3409C">
      <w:pPr>
        <w:jc w:val="both"/>
        <w:rPr>
          <w:rFonts w:asciiTheme="minorHAnsi" w:hAnsiTheme="minorHAnsi"/>
          <w:lang w:val="es-ES_tradnl"/>
        </w:rPr>
      </w:pPr>
    </w:p>
    <w:p w14:paraId="630464F0" w14:textId="77777777" w:rsidR="00F3409C" w:rsidRPr="003F4F43" w:rsidRDefault="00F3409C" w:rsidP="00F3409C">
      <w:pPr>
        <w:jc w:val="both"/>
        <w:rPr>
          <w:rFonts w:asciiTheme="minorHAnsi" w:hAnsiTheme="minorHAnsi"/>
          <w:lang w:val="es-ES_tradnl"/>
        </w:rPr>
      </w:pPr>
    </w:p>
    <w:p w14:paraId="3AA148EB" w14:textId="77777777" w:rsidR="00F3409C" w:rsidRPr="003F4F43" w:rsidRDefault="00F3409C" w:rsidP="008A682E">
      <w:pPr>
        <w:tabs>
          <w:tab w:val="left" w:pos="1440"/>
        </w:tabs>
        <w:jc w:val="both"/>
        <w:rPr>
          <w:rFonts w:asciiTheme="minorHAnsi" w:hAnsiTheme="minorHAnsi"/>
          <w:b/>
          <w:lang w:val="es-ES_tradnl"/>
        </w:rPr>
      </w:pPr>
      <w:r w:rsidRPr="003F4F43">
        <w:rPr>
          <w:rFonts w:asciiTheme="minorHAnsi" w:hAnsiTheme="minorHAnsi"/>
          <w:b/>
          <w:lang w:val="es-ES_tradnl"/>
        </w:rPr>
        <w:t>1.</w:t>
      </w:r>
      <w:r w:rsidRPr="003F4F43">
        <w:rPr>
          <w:rFonts w:asciiTheme="minorHAnsi" w:hAnsiTheme="minorHAnsi"/>
          <w:b/>
          <w:lang w:val="es-ES_tradnl"/>
        </w:rPr>
        <w:tab/>
      </w:r>
      <w:r w:rsidR="000F694F" w:rsidRPr="003F4F43">
        <w:rPr>
          <w:rFonts w:asciiTheme="minorHAnsi" w:hAnsiTheme="minorHAnsi"/>
          <w:b/>
          <w:lang w:val="es-ES_tradnl"/>
        </w:rPr>
        <w:t>Introducción</w:t>
      </w:r>
    </w:p>
    <w:p w14:paraId="58773144" w14:textId="77777777" w:rsidR="00F3409C" w:rsidRPr="003F4F43" w:rsidRDefault="00F3409C" w:rsidP="008A682E">
      <w:pPr>
        <w:tabs>
          <w:tab w:val="left" w:pos="1440"/>
        </w:tabs>
        <w:jc w:val="both"/>
        <w:rPr>
          <w:rFonts w:asciiTheme="minorHAnsi" w:hAnsiTheme="minorHAnsi"/>
          <w:lang w:val="es-ES_tradnl"/>
        </w:rPr>
      </w:pPr>
    </w:p>
    <w:p w14:paraId="6FA9EBFF" w14:textId="63403292" w:rsidR="00711F44" w:rsidRDefault="005D37A5" w:rsidP="008A682E">
      <w:pPr>
        <w:pStyle w:val="ListParagraph"/>
        <w:numPr>
          <w:ilvl w:val="1"/>
          <w:numId w:val="2"/>
        </w:numPr>
        <w:tabs>
          <w:tab w:val="left" w:pos="1440"/>
        </w:tabs>
        <w:ind w:left="0" w:firstLine="0"/>
        <w:contextualSpacing w:val="0"/>
        <w:jc w:val="both"/>
        <w:rPr>
          <w:rFonts w:asciiTheme="minorHAnsi" w:hAnsiTheme="minorHAnsi"/>
          <w:lang w:val="es-ES_tradnl"/>
        </w:rPr>
      </w:pPr>
      <w:r>
        <w:rPr>
          <w:rFonts w:asciiTheme="minorHAnsi" w:hAnsiTheme="minorHAnsi"/>
          <w:lang w:val="es-ES_tradnl"/>
        </w:rPr>
        <w:t>De acuerdo con las “Atribuciones Generales de l</w:t>
      </w:r>
      <w:r w:rsidRPr="005D37A5">
        <w:rPr>
          <w:rFonts w:asciiTheme="minorHAnsi" w:hAnsiTheme="minorHAnsi"/>
          <w:lang w:val="es-ES_tradnl"/>
        </w:rPr>
        <w:t>os Grupos Regionales De</w:t>
      </w:r>
      <w:r>
        <w:rPr>
          <w:rFonts w:asciiTheme="minorHAnsi" w:hAnsiTheme="minorHAnsi"/>
          <w:lang w:val="es-ES_tradnl"/>
        </w:rPr>
        <w:t xml:space="preserve"> Seguridad Operacional de la Aviación (RASG</w:t>
      </w:r>
      <w:r w:rsidRPr="005D37A5">
        <w:rPr>
          <w:rFonts w:asciiTheme="minorHAnsi" w:hAnsiTheme="minorHAnsi"/>
          <w:lang w:val="es-ES_tradnl"/>
        </w:rPr>
        <w:t>)</w:t>
      </w:r>
      <w:r>
        <w:rPr>
          <w:rFonts w:asciiTheme="minorHAnsi" w:hAnsiTheme="minorHAnsi"/>
          <w:lang w:val="es-ES_tradnl"/>
        </w:rPr>
        <w:t xml:space="preserve">” dispuestas por el Consejo de la OACI”, </w:t>
      </w:r>
      <w:r w:rsidR="006F1358">
        <w:rPr>
          <w:rFonts w:asciiTheme="minorHAnsi" w:hAnsiTheme="minorHAnsi"/>
          <w:lang w:val="es-ES_tradnl"/>
        </w:rPr>
        <w:t xml:space="preserve">se espera que los </w:t>
      </w:r>
      <w:proofErr w:type="spellStart"/>
      <w:r w:rsidR="006F1358">
        <w:rPr>
          <w:rFonts w:asciiTheme="minorHAnsi" w:hAnsiTheme="minorHAnsi"/>
          <w:lang w:val="es-ES_tradnl"/>
        </w:rPr>
        <w:t>RASGs</w:t>
      </w:r>
      <w:proofErr w:type="spellEnd"/>
      <w:r w:rsidR="006F1358">
        <w:rPr>
          <w:rFonts w:asciiTheme="minorHAnsi" w:hAnsiTheme="minorHAnsi"/>
          <w:lang w:val="es-ES_tradnl"/>
        </w:rPr>
        <w:t xml:space="preserve"> identifiquen las</w:t>
      </w:r>
      <w:r w:rsidR="006F1358" w:rsidRPr="006F1358">
        <w:rPr>
          <w:rFonts w:asciiTheme="minorHAnsi" w:hAnsiTheme="minorHAnsi"/>
          <w:lang w:val="es-ES_tradnl"/>
        </w:rPr>
        <w:t xml:space="preserve"> medidas o mej</w:t>
      </w:r>
      <w:r w:rsidR="006F1358">
        <w:rPr>
          <w:rFonts w:asciiTheme="minorHAnsi" w:hAnsiTheme="minorHAnsi"/>
          <w:lang w:val="es-ES_tradnl"/>
        </w:rPr>
        <w:t>oras específicas que requirieran</w:t>
      </w:r>
      <w:r w:rsidR="006F1358" w:rsidRPr="006F1358">
        <w:rPr>
          <w:rFonts w:asciiTheme="minorHAnsi" w:hAnsiTheme="minorHAnsi"/>
          <w:lang w:val="es-ES_tradnl"/>
        </w:rPr>
        <w:t xml:space="preserve"> el examen de la ANC</w:t>
      </w:r>
      <w:r w:rsidR="006F1358">
        <w:rPr>
          <w:rFonts w:asciiTheme="minorHAnsi" w:hAnsiTheme="minorHAnsi"/>
          <w:lang w:val="es-ES_tradnl"/>
        </w:rPr>
        <w:t xml:space="preserve"> </w:t>
      </w:r>
      <w:r w:rsidR="006F1358" w:rsidRPr="006F1358">
        <w:rPr>
          <w:rFonts w:asciiTheme="minorHAnsi" w:hAnsiTheme="minorHAnsi"/>
          <w:lang w:val="es-ES_tradnl"/>
        </w:rPr>
        <w:t xml:space="preserve">y el Consejo para solucionar problemas </w:t>
      </w:r>
      <w:r w:rsidR="00B46FED">
        <w:rPr>
          <w:rFonts w:asciiTheme="minorHAnsi" w:hAnsiTheme="minorHAnsi"/>
          <w:lang w:val="es-ES_tradnl"/>
        </w:rPr>
        <w:t>de implementación particulares.</w:t>
      </w:r>
    </w:p>
    <w:p w14:paraId="30E0F896" w14:textId="77777777" w:rsidR="008A682E" w:rsidRDefault="008A682E" w:rsidP="008A682E">
      <w:pPr>
        <w:pStyle w:val="ListParagraph"/>
        <w:tabs>
          <w:tab w:val="left" w:pos="1440"/>
        </w:tabs>
        <w:ind w:left="0"/>
        <w:contextualSpacing w:val="0"/>
        <w:jc w:val="both"/>
        <w:rPr>
          <w:rFonts w:asciiTheme="minorHAnsi" w:hAnsiTheme="minorHAnsi"/>
          <w:lang w:val="es-ES_tradnl"/>
        </w:rPr>
      </w:pPr>
    </w:p>
    <w:p w14:paraId="64CF7DDC" w14:textId="29F969CA" w:rsidR="00B46FED" w:rsidRDefault="00B46FED" w:rsidP="008A682E">
      <w:pPr>
        <w:pStyle w:val="ListParagraph"/>
        <w:numPr>
          <w:ilvl w:val="1"/>
          <w:numId w:val="2"/>
        </w:numPr>
        <w:tabs>
          <w:tab w:val="left" w:pos="1440"/>
        </w:tabs>
        <w:ind w:left="0" w:firstLine="0"/>
        <w:jc w:val="both"/>
        <w:rPr>
          <w:rFonts w:asciiTheme="minorHAnsi" w:hAnsiTheme="minorHAnsi"/>
          <w:lang w:val="es-ES_tradnl"/>
        </w:rPr>
      </w:pPr>
      <w:r>
        <w:rPr>
          <w:rFonts w:asciiTheme="minorHAnsi" w:hAnsiTheme="minorHAnsi"/>
          <w:lang w:val="es-ES_tradnl"/>
        </w:rPr>
        <w:t xml:space="preserve">Las medidas que se identifican en el párrafo 2.1 y siguientes, constituyen aquellos aspectos que el RASG-PA considera importantes para poder avanzar en la implementación de las Normas </w:t>
      </w:r>
      <w:r>
        <w:rPr>
          <w:rFonts w:asciiTheme="minorHAnsi" w:hAnsiTheme="minorHAnsi"/>
          <w:lang w:val="es-ES_tradnl"/>
        </w:rPr>
        <w:lastRenderedPageBreak/>
        <w:t>y Métodos Recomendados (</w:t>
      </w:r>
      <w:proofErr w:type="spellStart"/>
      <w:r>
        <w:rPr>
          <w:rFonts w:asciiTheme="minorHAnsi" w:hAnsiTheme="minorHAnsi"/>
          <w:lang w:val="es-ES_tradnl"/>
        </w:rPr>
        <w:t>SARPs</w:t>
      </w:r>
      <w:proofErr w:type="spellEnd"/>
      <w:r>
        <w:rPr>
          <w:rFonts w:asciiTheme="minorHAnsi" w:hAnsiTheme="minorHAnsi"/>
          <w:lang w:val="es-ES_tradnl"/>
        </w:rPr>
        <w:t xml:space="preserve">), así como los Planes Globales. Si bien estas medidas, y sus recomendaciones, reflejan las necesidades de la región </w:t>
      </w:r>
      <w:proofErr w:type="spellStart"/>
      <w:r>
        <w:rPr>
          <w:rFonts w:asciiTheme="minorHAnsi" w:hAnsiTheme="minorHAnsi"/>
          <w:lang w:val="es-ES_tradnl"/>
        </w:rPr>
        <w:t>Panamérica</w:t>
      </w:r>
      <w:proofErr w:type="spellEnd"/>
      <w:r>
        <w:rPr>
          <w:rFonts w:asciiTheme="minorHAnsi" w:hAnsiTheme="minorHAnsi"/>
          <w:lang w:val="es-ES_tradnl"/>
        </w:rPr>
        <w:t xml:space="preserve">, su atención oportuna por parte de la ANC y el Consejo será beneficiosa para las demás regiones. </w:t>
      </w:r>
    </w:p>
    <w:p w14:paraId="605C322A" w14:textId="60CFC326" w:rsidR="008A682E" w:rsidRPr="006F1358" w:rsidRDefault="008A682E" w:rsidP="008A682E">
      <w:pPr>
        <w:pStyle w:val="ListParagraph"/>
        <w:tabs>
          <w:tab w:val="left" w:pos="1440"/>
        </w:tabs>
        <w:ind w:left="0"/>
        <w:jc w:val="both"/>
        <w:rPr>
          <w:rFonts w:asciiTheme="minorHAnsi" w:hAnsiTheme="minorHAnsi"/>
          <w:lang w:val="es-ES_tradnl"/>
        </w:rPr>
      </w:pPr>
    </w:p>
    <w:p w14:paraId="79015C62" w14:textId="1137B7B7" w:rsidR="008A682E" w:rsidRDefault="00D149B4" w:rsidP="008A682E">
      <w:pPr>
        <w:tabs>
          <w:tab w:val="left" w:pos="1418"/>
        </w:tabs>
        <w:jc w:val="both"/>
        <w:rPr>
          <w:rFonts w:asciiTheme="minorHAnsi" w:hAnsiTheme="minorHAnsi"/>
          <w:b/>
          <w:lang w:val="es-ES_tradnl"/>
        </w:rPr>
      </w:pPr>
      <w:r w:rsidRPr="00505BE4">
        <w:rPr>
          <w:rFonts w:asciiTheme="minorHAnsi" w:hAnsiTheme="minorHAnsi"/>
          <w:b/>
          <w:lang w:val="es-ES_tradnl"/>
        </w:rPr>
        <w:t>2.</w:t>
      </w:r>
      <w:r>
        <w:rPr>
          <w:rFonts w:asciiTheme="minorHAnsi" w:hAnsiTheme="minorHAnsi"/>
          <w:lang w:val="es-ES_tradnl"/>
        </w:rPr>
        <w:t xml:space="preserve"> </w:t>
      </w:r>
      <w:r>
        <w:rPr>
          <w:rFonts w:asciiTheme="minorHAnsi" w:hAnsiTheme="minorHAnsi"/>
          <w:lang w:val="es-ES_tradnl"/>
        </w:rPr>
        <w:tab/>
      </w:r>
      <w:r w:rsidR="00B46FED" w:rsidRPr="00B46FED">
        <w:rPr>
          <w:rFonts w:asciiTheme="minorHAnsi" w:hAnsiTheme="minorHAnsi"/>
          <w:b/>
          <w:lang w:val="es-ES_tradnl"/>
        </w:rPr>
        <w:t>Medidas específicas y mejoras que requieren consideración de la ANC y del Consejo</w:t>
      </w:r>
    </w:p>
    <w:p w14:paraId="218F99FC" w14:textId="77777777" w:rsidR="008A682E" w:rsidRDefault="008A682E" w:rsidP="008A682E">
      <w:pPr>
        <w:tabs>
          <w:tab w:val="left" w:pos="1418"/>
        </w:tabs>
        <w:jc w:val="both"/>
        <w:rPr>
          <w:rFonts w:asciiTheme="minorHAnsi" w:hAnsiTheme="minorHAnsi"/>
          <w:b/>
          <w:lang w:val="es-ES_tradnl"/>
        </w:rPr>
      </w:pPr>
    </w:p>
    <w:p w14:paraId="64D8708A" w14:textId="35C26010" w:rsidR="008C3DC9" w:rsidRDefault="008C3DC9" w:rsidP="008A682E">
      <w:pPr>
        <w:tabs>
          <w:tab w:val="left" w:pos="1418"/>
        </w:tabs>
        <w:jc w:val="both"/>
        <w:rPr>
          <w:rFonts w:asciiTheme="minorHAnsi" w:hAnsiTheme="minorHAnsi"/>
          <w:lang w:val="es-ES_tradnl"/>
        </w:rPr>
      </w:pPr>
      <w:r>
        <w:rPr>
          <w:rFonts w:asciiTheme="minorHAnsi" w:hAnsiTheme="minorHAnsi"/>
          <w:lang w:val="es-ES_tradnl"/>
        </w:rPr>
        <w:t>2.1</w:t>
      </w:r>
      <w:r>
        <w:rPr>
          <w:rFonts w:asciiTheme="minorHAnsi" w:hAnsiTheme="minorHAnsi"/>
          <w:lang w:val="es-ES_tradnl"/>
        </w:rPr>
        <w:tab/>
        <w:t>Se describen a continuación aquellas medidas específicas identificadas por el RASG-PA, que requieren la consideración e intervención de la ANC y del Consejo de la OACI:</w:t>
      </w:r>
    </w:p>
    <w:p w14:paraId="7CEC063F" w14:textId="77777777" w:rsidR="008A682E" w:rsidRDefault="008A682E" w:rsidP="008A682E">
      <w:pPr>
        <w:tabs>
          <w:tab w:val="left" w:pos="1418"/>
        </w:tabs>
        <w:jc w:val="both"/>
        <w:rPr>
          <w:rFonts w:asciiTheme="minorHAnsi" w:hAnsiTheme="minorHAnsi"/>
          <w:lang w:val="es-ES_tradnl"/>
        </w:rPr>
      </w:pPr>
    </w:p>
    <w:p w14:paraId="5E6249CE" w14:textId="5BCDAB9B" w:rsidR="00B46FED" w:rsidRDefault="008C3DC9" w:rsidP="008A682E">
      <w:pPr>
        <w:tabs>
          <w:tab w:val="left" w:pos="1418"/>
        </w:tabs>
        <w:jc w:val="both"/>
        <w:rPr>
          <w:rFonts w:asciiTheme="minorHAnsi" w:hAnsiTheme="minorHAnsi"/>
          <w:b/>
          <w:lang w:val="es-ES_tradnl"/>
        </w:rPr>
      </w:pPr>
      <w:r>
        <w:rPr>
          <w:rFonts w:asciiTheme="minorHAnsi" w:hAnsiTheme="minorHAnsi"/>
          <w:b/>
          <w:lang w:val="es-ES_tradnl"/>
        </w:rPr>
        <w:t>2.2</w:t>
      </w:r>
      <w:r w:rsidR="00B46FED" w:rsidRPr="0005177D">
        <w:rPr>
          <w:rFonts w:asciiTheme="minorHAnsi" w:hAnsiTheme="minorHAnsi"/>
          <w:b/>
          <w:lang w:val="es-ES_tradnl"/>
        </w:rPr>
        <w:t xml:space="preserve"> </w:t>
      </w:r>
      <w:r w:rsidR="00B46FED" w:rsidRPr="0005177D">
        <w:rPr>
          <w:rFonts w:asciiTheme="minorHAnsi" w:hAnsiTheme="minorHAnsi"/>
          <w:b/>
          <w:lang w:val="es-ES_tradnl"/>
        </w:rPr>
        <w:tab/>
        <w:t xml:space="preserve">Proceso de enmienda de los </w:t>
      </w:r>
      <w:proofErr w:type="spellStart"/>
      <w:r w:rsidR="00B46FED" w:rsidRPr="0005177D">
        <w:rPr>
          <w:rFonts w:asciiTheme="minorHAnsi" w:hAnsiTheme="minorHAnsi"/>
          <w:b/>
          <w:lang w:val="es-ES_tradnl"/>
        </w:rPr>
        <w:t>SARPs</w:t>
      </w:r>
      <w:proofErr w:type="spellEnd"/>
      <w:r w:rsidR="00B46FED" w:rsidRPr="0005177D">
        <w:rPr>
          <w:rFonts w:asciiTheme="minorHAnsi" w:hAnsiTheme="minorHAnsi"/>
          <w:b/>
          <w:lang w:val="es-ES_tradnl"/>
        </w:rPr>
        <w:t xml:space="preserve"> a partir de recomendaciones surgidas en los </w:t>
      </w:r>
      <w:proofErr w:type="spellStart"/>
      <w:r w:rsidR="00B46FED" w:rsidRPr="0005177D">
        <w:rPr>
          <w:rFonts w:asciiTheme="minorHAnsi" w:hAnsiTheme="minorHAnsi"/>
          <w:b/>
          <w:lang w:val="es-ES_tradnl"/>
        </w:rPr>
        <w:t>RASGs</w:t>
      </w:r>
      <w:proofErr w:type="spellEnd"/>
    </w:p>
    <w:p w14:paraId="7C3D5250" w14:textId="77777777" w:rsidR="008A682E" w:rsidRDefault="008A682E" w:rsidP="008A682E">
      <w:pPr>
        <w:tabs>
          <w:tab w:val="left" w:pos="1418"/>
        </w:tabs>
        <w:jc w:val="both"/>
        <w:rPr>
          <w:rFonts w:asciiTheme="minorHAnsi" w:hAnsiTheme="minorHAnsi"/>
          <w:b/>
          <w:lang w:val="es-ES_tradnl"/>
        </w:rPr>
      </w:pPr>
    </w:p>
    <w:p w14:paraId="7BB63E59" w14:textId="15AD4659" w:rsidR="000461E6" w:rsidRDefault="000461E6" w:rsidP="008A682E">
      <w:pPr>
        <w:pStyle w:val="ListParagraph"/>
        <w:numPr>
          <w:ilvl w:val="0"/>
          <w:numId w:val="3"/>
        </w:numPr>
        <w:tabs>
          <w:tab w:val="left" w:pos="1080"/>
        </w:tabs>
        <w:contextualSpacing w:val="0"/>
        <w:jc w:val="both"/>
        <w:rPr>
          <w:rFonts w:asciiTheme="minorHAnsi" w:hAnsiTheme="minorHAnsi"/>
          <w:lang w:val="es-ES_tradnl"/>
        </w:rPr>
      </w:pPr>
      <w:r w:rsidRPr="000461E6">
        <w:rPr>
          <w:rFonts w:asciiTheme="minorHAnsi" w:hAnsiTheme="minorHAnsi"/>
          <w:lang w:val="es-ES_tradnl"/>
        </w:rPr>
        <w:t xml:space="preserve">Como parte de la reunión ESC/29 realizada en México el 29 y 30 de noviembre de 2017, el Comité Directivo Ejecutivo de RASG-PA acordó la Conclusión RASG-PA/ESC29/2, con el objetivo de ampliar el alcance </w:t>
      </w:r>
      <w:r>
        <w:rPr>
          <w:rFonts w:asciiTheme="minorHAnsi" w:hAnsiTheme="minorHAnsi"/>
          <w:lang w:val="es-ES_tradnl"/>
        </w:rPr>
        <w:t>del monitoreo de datos de vuelo</w:t>
      </w:r>
      <w:r w:rsidRPr="000461E6">
        <w:rPr>
          <w:rFonts w:asciiTheme="minorHAnsi" w:hAnsiTheme="minorHAnsi"/>
          <w:lang w:val="es-ES_tradnl"/>
        </w:rPr>
        <w:t xml:space="preserve"> y programas de análisis (FDMP/FDAP), y solicitó que la Comisión de Aeronavegación (ANC) de la OACI tome nota de los resultados de un estudio de costo-beneficio realizado bajo los auspicios de RASG-PA, y considere la enmienda al Anexo 6 </w:t>
      </w:r>
      <w:r w:rsidR="005670C9">
        <w:rPr>
          <w:rFonts w:asciiTheme="minorHAnsi" w:hAnsiTheme="minorHAnsi"/>
          <w:lang w:val="es-ES_tradnl"/>
        </w:rPr>
        <w:t xml:space="preserve"> </w:t>
      </w:r>
      <w:r w:rsidRPr="000461E6">
        <w:rPr>
          <w:rFonts w:asciiTheme="minorHAnsi" w:hAnsiTheme="minorHAnsi"/>
          <w:lang w:val="es-ES_tradnl"/>
        </w:rPr>
        <w:t>Parte I, específicamente la Recomendación 3.3.1 sobre FDAP, y el Estándar 3.3.2 de la Sección 3.3</w:t>
      </w:r>
      <w:r w:rsidR="008D242D">
        <w:rPr>
          <w:rFonts w:asciiTheme="minorHAnsi" w:hAnsiTheme="minorHAnsi"/>
          <w:lang w:val="es-ES_tradnl"/>
        </w:rPr>
        <w:t>.</w:t>
      </w:r>
    </w:p>
    <w:p w14:paraId="2C18153A" w14:textId="77777777" w:rsidR="008A682E" w:rsidRPr="000461E6" w:rsidRDefault="008A682E" w:rsidP="008A682E">
      <w:pPr>
        <w:pStyle w:val="ListParagraph"/>
        <w:tabs>
          <w:tab w:val="left" w:pos="1080"/>
        </w:tabs>
        <w:contextualSpacing w:val="0"/>
        <w:jc w:val="both"/>
        <w:rPr>
          <w:rFonts w:asciiTheme="minorHAnsi" w:hAnsiTheme="minorHAnsi"/>
          <w:lang w:val="es-ES_tradnl"/>
        </w:rPr>
      </w:pPr>
    </w:p>
    <w:p w14:paraId="1982C65C" w14:textId="32363941" w:rsidR="000461E6" w:rsidRDefault="000461E6" w:rsidP="008A682E">
      <w:pPr>
        <w:pStyle w:val="ListParagraph"/>
        <w:numPr>
          <w:ilvl w:val="0"/>
          <w:numId w:val="3"/>
        </w:numPr>
        <w:tabs>
          <w:tab w:val="left" w:pos="1080"/>
        </w:tabs>
        <w:contextualSpacing w:val="0"/>
        <w:jc w:val="both"/>
        <w:rPr>
          <w:rFonts w:asciiTheme="minorHAnsi" w:hAnsiTheme="minorHAnsi"/>
          <w:lang w:val="es-ES_tradnl"/>
        </w:rPr>
      </w:pPr>
      <w:r>
        <w:rPr>
          <w:rFonts w:asciiTheme="minorHAnsi" w:hAnsiTheme="minorHAnsi"/>
          <w:lang w:val="es-ES_tradnl"/>
        </w:rPr>
        <w:t>La enmienda propuesta fue</w:t>
      </w:r>
      <w:r w:rsidRPr="000461E6">
        <w:rPr>
          <w:rFonts w:asciiTheme="minorHAnsi" w:hAnsiTheme="minorHAnsi"/>
          <w:lang w:val="es-ES_tradnl"/>
        </w:rPr>
        <w:t xml:space="preserve"> revisada por el Panel de operaciones de vuelo de la OACI (FLTOPSP) durante su reunión FLTOPSP/4 </w:t>
      </w:r>
      <w:r w:rsidRPr="000461E6">
        <w:rPr>
          <w:rFonts w:asciiTheme="minorHAnsi" w:hAnsiTheme="minorHAnsi"/>
          <w:u w:val="single"/>
          <w:lang w:val="es-ES_tradnl"/>
        </w:rPr>
        <w:t>en diciembre de 2017</w:t>
      </w:r>
      <w:r w:rsidRPr="000461E6">
        <w:rPr>
          <w:rFonts w:asciiTheme="minorHAnsi" w:hAnsiTheme="minorHAnsi"/>
          <w:lang w:val="es-ES_tradnl"/>
        </w:rPr>
        <w:t xml:space="preserve"> y en el FLTOPSP/WG/5 en </w:t>
      </w:r>
      <w:r w:rsidRPr="000461E6">
        <w:rPr>
          <w:rFonts w:asciiTheme="minorHAnsi" w:hAnsiTheme="minorHAnsi"/>
          <w:u w:val="single"/>
          <w:lang w:val="es-ES_tradnl"/>
        </w:rPr>
        <w:t>mayo de 2018</w:t>
      </w:r>
      <w:r w:rsidRPr="000461E6">
        <w:rPr>
          <w:rFonts w:asciiTheme="minorHAnsi" w:hAnsiTheme="minorHAnsi"/>
          <w:lang w:val="es-ES_tradnl"/>
        </w:rPr>
        <w:t xml:space="preserve">, y posteriormente se remitió al Grupo de trabajo específico sobre registradores de vuelo (FLIRECSWG /12) para revisión y comentarios (Washington </w:t>
      </w:r>
      <w:r w:rsidRPr="000461E6">
        <w:rPr>
          <w:rFonts w:asciiTheme="minorHAnsi" w:hAnsiTheme="minorHAnsi"/>
          <w:u w:val="single"/>
          <w:lang w:val="es-ES_tradnl"/>
        </w:rPr>
        <w:t>2019</w:t>
      </w:r>
      <w:r w:rsidRPr="000461E6">
        <w:rPr>
          <w:rFonts w:asciiTheme="minorHAnsi" w:hAnsiTheme="minorHAnsi"/>
          <w:lang w:val="es-ES_tradnl"/>
        </w:rPr>
        <w:t>).</w:t>
      </w:r>
    </w:p>
    <w:p w14:paraId="653F50CC" w14:textId="667D6CC1" w:rsidR="008A682E" w:rsidRPr="008A682E" w:rsidRDefault="008A682E" w:rsidP="008A682E">
      <w:pPr>
        <w:tabs>
          <w:tab w:val="left" w:pos="1080"/>
        </w:tabs>
        <w:jc w:val="both"/>
        <w:rPr>
          <w:rFonts w:asciiTheme="minorHAnsi" w:hAnsiTheme="minorHAnsi"/>
          <w:lang w:val="es-ES_tradnl"/>
        </w:rPr>
      </w:pPr>
    </w:p>
    <w:p w14:paraId="49006BCC" w14:textId="643AA3AA" w:rsidR="000461E6" w:rsidRDefault="000461E6" w:rsidP="008A682E">
      <w:pPr>
        <w:pStyle w:val="ListParagraph"/>
        <w:numPr>
          <w:ilvl w:val="0"/>
          <w:numId w:val="3"/>
        </w:numPr>
        <w:tabs>
          <w:tab w:val="left" w:pos="1080"/>
        </w:tabs>
        <w:contextualSpacing w:val="0"/>
        <w:jc w:val="both"/>
        <w:rPr>
          <w:rFonts w:asciiTheme="minorHAnsi" w:hAnsiTheme="minorHAnsi"/>
          <w:lang w:val="es-ES_tradnl"/>
        </w:rPr>
      </w:pPr>
      <w:r w:rsidRPr="000461E6">
        <w:rPr>
          <w:rFonts w:asciiTheme="minorHAnsi" w:hAnsiTheme="minorHAnsi"/>
          <w:lang w:val="es-ES_tradnl"/>
        </w:rPr>
        <w:t>El FLTOPSP/7 (</w:t>
      </w:r>
      <w:r w:rsidRPr="000461E6">
        <w:rPr>
          <w:rFonts w:asciiTheme="minorHAnsi" w:hAnsiTheme="minorHAnsi"/>
          <w:u w:val="single"/>
          <w:lang w:val="es-ES_tradnl"/>
        </w:rPr>
        <w:t>2 al 5 de noviembre de 2020</w:t>
      </w:r>
      <w:r w:rsidRPr="000461E6">
        <w:rPr>
          <w:rFonts w:asciiTheme="minorHAnsi" w:hAnsiTheme="minorHAnsi"/>
          <w:lang w:val="es-ES_tradnl"/>
        </w:rPr>
        <w:t>) revisó la propuesta y, después de un análisis exhaustivo, llegó a la conclusión de que había pruebas sólidas para reducir el umbral de 27 000 kg a 15 000 kg.</w:t>
      </w:r>
    </w:p>
    <w:p w14:paraId="38A5A45F" w14:textId="683BD2BA" w:rsidR="008A682E" w:rsidRPr="008A682E" w:rsidRDefault="008A682E" w:rsidP="008A682E">
      <w:pPr>
        <w:tabs>
          <w:tab w:val="left" w:pos="1080"/>
        </w:tabs>
        <w:jc w:val="both"/>
        <w:rPr>
          <w:rFonts w:asciiTheme="minorHAnsi" w:hAnsiTheme="minorHAnsi"/>
          <w:lang w:val="es-ES_tradnl"/>
        </w:rPr>
      </w:pPr>
    </w:p>
    <w:p w14:paraId="303449AD" w14:textId="1C478DB8" w:rsidR="000461E6" w:rsidRDefault="000461E6" w:rsidP="008A682E">
      <w:pPr>
        <w:pStyle w:val="ListParagraph"/>
        <w:numPr>
          <w:ilvl w:val="0"/>
          <w:numId w:val="3"/>
        </w:numPr>
        <w:tabs>
          <w:tab w:val="left" w:pos="1080"/>
        </w:tabs>
        <w:contextualSpacing w:val="0"/>
        <w:jc w:val="both"/>
        <w:rPr>
          <w:rFonts w:asciiTheme="minorHAnsi" w:hAnsiTheme="minorHAnsi"/>
          <w:lang w:val="es-ES_tradnl"/>
        </w:rPr>
      </w:pPr>
      <w:r w:rsidRPr="000461E6">
        <w:rPr>
          <w:rFonts w:asciiTheme="minorHAnsi" w:hAnsiTheme="minorHAnsi"/>
          <w:lang w:val="es-ES_tradnl"/>
        </w:rPr>
        <w:t xml:space="preserve">En </w:t>
      </w:r>
      <w:r w:rsidRPr="000461E6">
        <w:rPr>
          <w:rFonts w:asciiTheme="minorHAnsi" w:hAnsiTheme="minorHAnsi"/>
          <w:u w:val="single"/>
          <w:lang w:val="es-ES_tradnl"/>
        </w:rPr>
        <w:t>mayo de 2021</w:t>
      </w:r>
      <w:r w:rsidRPr="000461E6">
        <w:rPr>
          <w:rFonts w:asciiTheme="minorHAnsi" w:hAnsiTheme="minorHAnsi"/>
          <w:lang w:val="es-ES_tradnl"/>
        </w:rPr>
        <w:t xml:space="preserve"> se informó al RASG-PA que la propuesta ya ha superado las etapas del Grupo de la Comisión (GC) y el Grupo de Trabajo sobre Producción de Entregables del Programa de Trabajo de NA (WG/PDP) a cargo de revisar los cambios propuestos a los Anexos y PANS contenidos en la revisión preliminar; restando solo la etapa formal de aprobación por parte de la ANC.</w:t>
      </w:r>
    </w:p>
    <w:p w14:paraId="0014938E" w14:textId="3F2120B9" w:rsidR="008A682E" w:rsidRPr="008A682E" w:rsidRDefault="008A682E" w:rsidP="008A682E">
      <w:pPr>
        <w:tabs>
          <w:tab w:val="left" w:pos="1080"/>
        </w:tabs>
        <w:jc w:val="both"/>
        <w:rPr>
          <w:rFonts w:asciiTheme="minorHAnsi" w:hAnsiTheme="minorHAnsi"/>
          <w:lang w:val="es-ES_tradnl"/>
        </w:rPr>
      </w:pPr>
    </w:p>
    <w:p w14:paraId="60FB4025" w14:textId="707AAD93" w:rsidR="000461E6" w:rsidRDefault="000461E6" w:rsidP="008A682E">
      <w:pPr>
        <w:pStyle w:val="ListParagraph"/>
        <w:numPr>
          <w:ilvl w:val="0"/>
          <w:numId w:val="3"/>
        </w:numPr>
        <w:tabs>
          <w:tab w:val="left" w:pos="1080"/>
        </w:tabs>
        <w:contextualSpacing w:val="0"/>
        <w:jc w:val="both"/>
        <w:rPr>
          <w:rFonts w:asciiTheme="minorHAnsi" w:hAnsiTheme="minorHAnsi"/>
          <w:lang w:val="es-ES_tradnl"/>
        </w:rPr>
      </w:pPr>
      <w:r w:rsidRPr="000461E6">
        <w:rPr>
          <w:rFonts w:asciiTheme="minorHAnsi" w:hAnsiTheme="minorHAnsi"/>
          <w:lang w:val="es-ES_tradnl"/>
        </w:rPr>
        <w:t xml:space="preserve">En </w:t>
      </w:r>
      <w:r w:rsidRPr="000461E6">
        <w:rPr>
          <w:rFonts w:asciiTheme="minorHAnsi" w:hAnsiTheme="minorHAnsi"/>
          <w:u w:val="single"/>
          <w:lang w:val="es-ES_tradnl"/>
        </w:rPr>
        <w:t>mayo de 2022</w:t>
      </w:r>
      <w:r w:rsidRPr="000461E6">
        <w:rPr>
          <w:rFonts w:asciiTheme="minorHAnsi" w:hAnsiTheme="minorHAnsi"/>
          <w:lang w:val="es-ES_tradnl"/>
        </w:rPr>
        <w:t xml:space="preserve">, el RASG-PA fue informado que </w:t>
      </w:r>
      <w:r>
        <w:rPr>
          <w:rFonts w:asciiTheme="minorHAnsi" w:hAnsiTheme="minorHAnsi"/>
          <w:lang w:val="es-ES_tradnl"/>
        </w:rPr>
        <w:t>la propuesta de enmienda fue incluida en la</w:t>
      </w:r>
      <w:r w:rsidRPr="000461E6">
        <w:rPr>
          <w:rFonts w:asciiTheme="minorHAnsi" w:hAnsiTheme="minorHAnsi"/>
          <w:lang w:val="es-ES_tradnl"/>
        </w:rPr>
        <w:t xml:space="preserve"> SL 21/50, con comentarios que se recibirán antes del </w:t>
      </w:r>
      <w:r w:rsidRPr="000461E6">
        <w:rPr>
          <w:rFonts w:asciiTheme="minorHAnsi" w:hAnsiTheme="minorHAnsi"/>
          <w:u w:val="single"/>
          <w:lang w:val="es-ES_tradnl"/>
        </w:rPr>
        <w:t>17 de noviembre de 2021</w:t>
      </w:r>
      <w:r w:rsidRPr="000461E6">
        <w:rPr>
          <w:rFonts w:asciiTheme="minorHAnsi" w:hAnsiTheme="minorHAnsi"/>
          <w:lang w:val="es-ES_tradnl"/>
        </w:rPr>
        <w:t xml:space="preserve">. Luego de esto, la revisión final de los PANS OPS y las propuestas del Anexo 6 ​​fue realizada por la ANC </w:t>
      </w:r>
      <w:r w:rsidRPr="000461E6">
        <w:rPr>
          <w:rFonts w:asciiTheme="minorHAnsi" w:hAnsiTheme="minorHAnsi"/>
          <w:u w:val="single"/>
          <w:lang w:val="es-ES_tradnl"/>
        </w:rPr>
        <w:t>el 10 de marzo de 2022</w:t>
      </w:r>
      <w:r w:rsidRPr="000461E6">
        <w:rPr>
          <w:rFonts w:asciiTheme="minorHAnsi" w:hAnsiTheme="minorHAnsi"/>
          <w:lang w:val="es-ES_tradnl"/>
        </w:rPr>
        <w:t xml:space="preserve">, donde </w:t>
      </w:r>
      <w:r>
        <w:rPr>
          <w:rFonts w:asciiTheme="minorHAnsi" w:hAnsiTheme="minorHAnsi"/>
          <w:lang w:val="es-ES_tradnl"/>
        </w:rPr>
        <w:t>fue aprobada</w:t>
      </w:r>
      <w:r w:rsidRPr="000461E6">
        <w:rPr>
          <w:rFonts w:asciiTheme="minorHAnsi" w:hAnsiTheme="minorHAnsi"/>
          <w:lang w:val="es-ES_tradnl"/>
        </w:rPr>
        <w:t>.</w:t>
      </w:r>
    </w:p>
    <w:p w14:paraId="2D61DEE2" w14:textId="169DBA0F" w:rsidR="008A682E" w:rsidRPr="008A682E" w:rsidRDefault="008A682E" w:rsidP="008A682E">
      <w:pPr>
        <w:tabs>
          <w:tab w:val="left" w:pos="1080"/>
        </w:tabs>
        <w:jc w:val="both"/>
        <w:rPr>
          <w:rFonts w:asciiTheme="minorHAnsi" w:hAnsiTheme="minorHAnsi"/>
          <w:lang w:val="es-ES_tradnl"/>
        </w:rPr>
      </w:pPr>
    </w:p>
    <w:p w14:paraId="21D8C487" w14:textId="187376B9" w:rsidR="000461E6" w:rsidRDefault="000461E6" w:rsidP="008A682E">
      <w:pPr>
        <w:pStyle w:val="ListParagraph"/>
        <w:numPr>
          <w:ilvl w:val="0"/>
          <w:numId w:val="3"/>
        </w:numPr>
        <w:tabs>
          <w:tab w:val="left" w:pos="1080"/>
        </w:tabs>
        <w:jc w:val="both"/>
        <w:rPr>
          <w:rFonts w:asciiTheme="minorHAnsi" w:hAnsiTheme="minorHAnsi"/>
          <w:lang w:val="es-ES_tradnl"/>
        </w:rPr>
      </w:pPr>
      <w:r>
        <w:rPr>
          <w:rFonts w:asciiTheme="minorHAnsi" w:hAnsiTheme="minorHAnsi"/>
          <w:lang w:val="es-ES_tradnl"/>
        </w:rPr>
        <w:t>Finalmente, se notificó al RASG-PA</w:t>
      </w:r>
      <w:r w:rsidRPr="000461E6">
        <w:rPr>
          <w:rFonts w:asciiTheme="minorHAnsi" w:hAnsiTheme="minorHAnsi"/>
          <w:lang w:val="es-ES_tradnl"/>
        </w:rPr>
        <w:t xml:space="preserve"> que la publicación de la Enmienda al Anexo </w:t>
      </w:r>
      <w:proofErr w:type="gramStart"/>
      <w:r w:rsidRPr="000461E6">
        <w:rPr>
          <w:rFonts w:asciiTheme="minorHAnsi" w:hAnsiTheme="minorHAnsi"/>
          <w:lang w:val="es-ES_tradnl"/>
        </w:rPr>
        <w:t xml:space="preserve">6 </w:t>
      </w:r>
      <w:r w:rsidR="005670C9">
        <w:rPr>
          <w:rFonts w:asciiTheme="minorHAnsi" w:hAnsiTheme="minorHAnsi"/>
          <w:lang w:val="es-ES_tradnl"/>
        </w:rPr>
        <w:t xml:space="preserve"> </w:t>
      </w:r>
      <w:r w:rsidRPr="000461E6">
        <w:rPr>
          <w:rFonts w:asciiTheme="minorHAnsi" w:hAnsiTheme="minorHAnsi"/>
          <w:lang w:val="es-ES_tradnl"/>
        </w:rPr>
        <w:t>Parte</w:t>
      </w:r>
      <w:proofErr w:type="gramEnd"/>
      <w:r w:rsidRPr="000461E6">
        <w:rPr>
          <w:rFonts w:asciiTheme="minorHAnsi" w:hAnsiTheme="minorHAnsi"/>
          <w:lang w:val="es-ES_tradnl"/>
        </w:rPr>
        <w:t xml:space="preserve"> I donde se incorporará </w:t>
      </w:r>
      <w:r>
        <w:rPr>
          <w:rFonts w:asciiTheme="minorHAnsi" w:hAnsiTheme="minorHAnsi"/>
          <w:lang w:val="es-ES_tradnl"/>
        </w:rPr>
        <w:t>su propuesta</w:t>
      </w:r>
      <w:r w:rsidRPr="000461E6">
        <w:rPr>
          <w:rFonts w:asciiTheme="minorHAnsi" w:hAnsiTheme="minorHAnsi"/>
          <w:lang w:val="es-ES_tradnl"/>
        </w:rPr>
        <w:t>, se producirá en el año 2024 con fecha de entrada en vigor del 2027.</w:t>
      </w:r>
    </w:p>
    <w:p w14:paraId="209E528D" w14:textId="4056D45C" w:rsidR="008A682E" w:rsidRPr="008A682E" w:rsidRDefault="008A682E" w:rsidP="008A682E">
      <w:pPr>
        <w:tabs>
          <w:tab w:val="left" w:pos="1080"/>
        </w:tabs>
        <w:jc w:val="both"/>
        <w:rPr>
          <w:rFonts w:asciiTheme="minorHAnsi" w:hAnsiTheme="minorHAnsi"/>
          <w:lang w:val="es-ES_tradnl"/>
        </w:rPr>
      </w:pPr>
    </w:p>
    <w:p w14:paraId="3B41FD93" w14:textId="21759CA7" w:rsidR="008A682E" w:rsidRDefault="008C3DC9" w:rsidP="008A682E">
      <w:pPr>
        <w:tabs>
          <w:tab w:val="left" w:pos="1418"/>
        </w:tabs>
        <w:jc w:val="both"/>
        <w:rPr>
          <w:rFonts w:asciiTheme="minorHAnsi" w:hAnsiTheme="minorHAnsi"/>
          <w:lang w:val="es-ES_tradnl"/>
        </w:rPr>
      </w:pPr>
      <w:r>
        <w:rPr>
          <w:rFonts w:asciiTheme="minorHAnsi" w:hAnsiTheme="minorHAnsi"/>
          <w:lang w:val="es-ES_tradnl"/>
        </w:rPr>
        <w:t>2.2.1.</w:t>
      </w:r>
      <w:r w:rsidR="000461E6">
        <w:rPr>
          <w:rFonts w:asciiTheme="minorHAnsi" w:hAnsiTheme="minorHAnsi"/>
          <w:lang w:val="es-ES_tradnl"/>
        </w:rPr>
        <w:tab/>
        <w:t xml:space="preserve">En mérito a lo expuesto anteriormente, se evidencia que entre la fecha de la comunicación de la propuesta a la ANC </w:t>
      </w:r>
      <w:r w:rsidR="00916A85">
        <w:rPr>
          <w:rFonts w:asciiTheme="minorHAnsi" w:hAnsiTheme="minorHAnsi"/>
          <w:lang w:val="es-ES_tradnl"/>
        </w:rPr>
        <w:t xml:space="preserve">(2017) </w:t>
      </w:r>
      <w:r w:rsidR="000461E6">
        <w:rPr>
          <w:rFonts w:asciiTheme="minorHAnsi" w:hAnsiTheme="minorHAnsi"/>
          <w:lang w:val="es-ES_tradnl"/>
        </w:rPr>
        <w:t>y la entrada en vigor de la Enmienda del Anexo</w:t>
      </w:r>
      <w:r w:rsidR="00916A85">
        <w:rPr>
          <w:rFonts w:asciiTheme="minorHAnsi" w:hAnsiTheme="minorHAnsi"/>
          <w:lang w:val="es-ES_tradnl"/>
        </w:rPr>
        <w:t xml:space="preserve"> (2027)</w:t>
      </w:r>
      <w:r w:rsidR="000461E6">
        <w:rPr>
          <w:rFonts w:asciiTheme="minorHAnsi" w:hAnsiTheme="minorHAnsi"/>
          <w:lang w:val="es-ES_tradnl"/>
        </w:rPr>
        <w:t xml:space="preserve">, existe un periodo de 10 años. </w:t>
      </w:r>
    </w:p>
    <w:p w14:paraId="38078504" w14:textId="77777777" w:rsidR="008A682E" w:rsidRDefault="008A682E" w:rsidP="008A682E">
      <w:pPr>
        <w:tabs>
          <w:tab w:val="left" w:pos="1418"/>
        </w:tabs>
        <w:jc w:val="both"/>
        <w:rPr>
          <w:rFonts w:asciiTheme="minorHAnsi" w:hAnsiTheme="minorHAnsi"/>
          <w:lang w:val="es-ES_tradnl"/>
        </w:rPr>
      </w:pPr>
    </w:p>
    <w:p w14:paraId="345EF6D0" w14:textId="0A5664F6" w:rsidR="00D4183C" w:rsidRDefault="008C3DC9" w:rsidP="008A682E">
      <w:pPr>
        <w:tabs>
          <w:tab w:val="left" w:pos="1418"/>
        </w:tabs>
        <w:jc w:val="both"/>
        <w:rPr>
          <w:rFonts w:asciiTheme="minorHAnsi" w:hAnsiTheme="minorHAnsi"/>
          <w:lang w:val="es-ES_tradnl"/>
        </w:rPr>
      </w:pPr>
      <w:r>
        <w:rPr>
          <w:rFonts w:asciiTheme="minorHAnsi" w:hAnsiTheme="minorHAnsi"/>
          <w:lang w:val="es-ES_tradnl"/>
        </w:rPr>
        <w:t>2.2.2</w:t>
      </w:r>
      <w:r w:rsidR="00D4183C">
        <w:rPr>
          <w:rFonts w:asciiTheme="minorHAnsi" w:hAnsiTheme="minorHAnsi"/>
          <w:lang w:val="es-ES_tradnl"/>
        </w:rPr>
        <w:tab/>
        <w:t>El texto de la enmienda expande el universo de explotadores aéreos que son requerido a implementar un programa de análisis de datos de vuelo y</w:t>
      </w:r>
      <w:r w:rsidR="00CD0470">
        <w:rPr>
          <w:rFonts w:asciiTheme="minorHAnsi" w:hAnsiTheme="minorHAnsi"/>
          <w:lang w:val="es-ES_tradnl"/>
        </w:rPr>
        <w:t>,</w:t>
      </w:r>
      <w:r w:rsidR="00D4183C">
        <w:rPr>
          <w:rFonts w:asciiTheme="minorHAnsi" w:hAnsiTheme="minorHAnsi"/>
          <w:lang w:val="es-ES_tradnl"/>
        </w:rPr>
        <w:t xml:space="preserve"> por tanto, que generan una nueva capacidad </w:t>
      </w:r>
      <w:r w:rsidR="00D4183C">
        <w:rPr>
          <w:rFonts w:asciiTheme="minorHAnsi" w:hAnsiTheme="minorHAnsi"/>
          <w:lang w:val="es-ES_tradnl"/>
        </w:rPr>
        <w:lastRenderedPageBreak/>
        <w:t xml:space="preserve">de identificar peligros de manera proactiva y mitigar los riesgos, de tal forma de reducir los accidentes y evitar </w:t>
      </w:r>
      <w:r w:rsidR="00CD0470">
        <w:rPr>
          <w:rFonts w:asciiTheme="minorHAnsi" w:hAnsiTheme="minorHAnsi"/>
          <w:lang w:val="es-ES_tradnl"/>
        </w:rPr>
        <w:t xml:space="preserve">potenciales </w:t>
      </w:r>
      <w:r w:rsidR="00D4183C">
        <w:rPr>
          <w:rFonts w:asciiTheme="minorHAnsi" w:hAnsiTheme="minorHAnsi"/>
          <w:lang w:val="es-ES_tradnl"/>
        </w:rPr>
        <w:t xml:space="preserve">muertes y lesiones a los pasajeros. </w:t>
      </w:r>
      <w:r w:rsidR="00CD0470">
        <w:rPr>
          <w:rFonts w:asciiTheme="minorHAnsi" w:hAnsiTheme="minorHAnsi"/>
          <w:lang w:val="es-ES_tradnl"/>
        </w:rPr>
        <w:t>En este sentido,</w:t>
      </w:r>
      <w:r w:rsidR="005D1CC3">
        <w:rPr>
          <w:rFonts w:asciiTheme="minorHAnsi" w:hAnsiTheme="minorHAnsi"/>
          <w:lang w:val="es-ES_tradnl"/>
        </w:rPr>
        <w:t xml:space="preserve"> la demora en el</w:t>
      </w:r>
      <w:r w:rsidR="00CD0470">
        <w:rPr>
          <w:rFonts w:asciiTheme="minorHAnsi" w:hAnsiTheme="minorHAnsi"/>
          <w:lang w:val="es-ES_tradnl"/>
        </w:rPr>
        <w:t xml:space="preserve"> tiempo, se podría traducir en accidentes y pérdida de vidas. </w:t>
      </w:r>
    </w:p>
    <w:p w14:paraId="2F6BE3DF" w14:textId="77777777" w:rsidR="008A682E" w:rsidRDefault="008A682E" w:rsidP="008A682E">
      <w:pPr>
        <w:tabs>
          <w:tab w:val="left" w:pos="1418"/>
        </w:tabs>
        <w:jc w:val="both"/>
        <w:rPr>
          <w:rFonts w:asciiTheme="minorHAnsi" w:hAnsiTheme="minorHAnsi"/>
          <w:lang w:val="es-ES_tradnl"/>
        </w:rPr>
      </w:pPr>
    </w:p>
    <w:p w14:paraId="3A2F5A90" w14:textId="147E562E" w:rsidR="00CD0470" w:rsidRDefault="00CD0470" w:rsidP="008A682E">
      <w:pPr>
        <w:tabs>
          <w:tab w:val="left" w:pos="1418"/>
        </w:tabs>
        <w:jc w:val="both"/>
        <w:rPr>
          <w:rFonts w:asciiTheme="minorHAnsi" w:hAnsiTheme="minorHAnsi"/>
          <w:lang w:val="es-ES_tradnl"/>
        </w:rPr>
      </w:pPr>
      <w:r>
        <w:rPr>
          <w:rFonts w:asciiTheme="minorHAnsi" w:hAnsiTheme="minorHAnsi"/>
          <w:lang w:val="es-ES_tradnl"/>
        </w:rPr>
        <w:t>2.2.</w:t>
      </w:r>
      <w:r w:rsidR="008C3DC9">
        <w:rPr>
          <w:rFonts w:asciiTheme="minorHAnsi" w:hAnsiTheme="minorHAnsi"/>
          <w:lang w:val="es-ES_tradnl"/>
        </w:rPr>
        <w:t>3</w:t>
      </w:r>
      <w:r>
        <w:rPr>
          <w:rFonts w:asciiTheme="minorHAnsi" w:hAnsiTheme="minorHAnsi"/>
          <w:lang w:val="es-ES_tradnl"/>
        </w:rPr>
        <w:tab/>
        <w:t xml:space="preserve">Finalmente, el hecho de que </w:t>
      </w:r>
      <w:r w:rsidR="005D1CC3">
        <w:rPr>
          <w:rFonts w:asciiTheme="minorHAnsi" w:hAnsiTheme="minorHAnsi"/>
          <w:lang w:val="es-ES_tradnl"/>
        </w:rPr>
        <w:t xml:space="preserve">el tratamiento de </w:t>
      </w:r>
      <w:r>
        <w:rPr>
          <w:rFonts w:asciiTheme="minorHAnsi" w:hAnsiTheme="minorHAnsi"/>
          <w:lang w:val="es-ES_tradnl"/>
        </w:rPr>
        <w:t>una propuesta de esta naturaleza tenga un</w:t>
      </w:r>
      <w:r w:rsidR="005D1CC3">
        <w:rPr>
          <w:rFonts w:asciiTheme="minorHAnsi" w:hAnsiTheme="minorHAnsi"/>
          <w:lang w:val="es-ES_tradnl"/>
        </w:rPr>
        <w:t>a duración</w:t>
      </w:r>
      <w:r>
        <w:rPr>
          <w:rFonts w:asciiTheme="minorHAnsi" w:hAnsiTheme="minorHAnsi"/>
          <w:lang w:val="es-ES_tradnl"/>
        </w:rPr>
        <w:t xml:space="preserve"> de 10 años hasta su aplicación, podría</w:t>
      </w:r>
      <w:r w:rsidR="005D1CC3">
        <w:rPr>
          <w:rFonts w:asciiTheme="minorHAnsi" w:hAnsiTheme="minorHAnsi"/>
          <w:lang w:val="es-ES_tradnl"/>
        </w:rPr>
        <w:t xml:space="preserve"> provocar</w:t>
      </w:r>
      <w:r>
        <w:rPr>
          <w:rFonts w:asciiTheme="minorHAnsi" w:hAnsiTheme="minorHAnsi"/>
          <w:lang w:val="es-ES_tradnl"/>
        </w:rPr>
        <w:t xml:space="preserve"> que, en el futuro, los </w:t>
      </w:r>
      <w:proofErr w:type="spellStart"/>
      <w:r>
        <w:rPr>
          <w:rFonts w:asciiTheme="minorHAnsi" w:hAnsiTheme="minorHAnsi"/>
          <w:lang w:val="es-ES_tradnl"/>
        </w:rPr>
        <w:t>RASGs</w:t>
      </w:r>
      <w:proofErr w:type="spellEnd"/>
      <w:r>
        <w:rPr>
          <w:rFonts w:asciiTheme="minorHAnsi" w:hAnsiTheme="minorHAnsi"/>
          <w:lang w:val="es-ES_tradnl"/>
        </w:rPr>
        <w:t xml:space="preserve"> piensen dos veces antes de utilizar este camino para conseguir cambios e</w:t>
      </w:r>
      <w:r w:rsidR="005D1CC3">
        <w:rPr>
          <w:rFonts w:asciiTheme="minorHAnsi" w:hAnsiTheme="minorHAnsi"/>
          <w:lang w:val="es-ES_tradnl"/>
        </w:rPr>
        <w:t>n lo</w:t>
      </w:r>
      <w:r>
        <w:rPr>
          <w:rFonts w:asciiTheme="minorHAnsi" w:hAnsiTheme="minorHAnsi"/>
          <w:lang w:val="es-ES_tradnl"/>
        </w:rPr>
        <w:t xml:space="preserve">s </w:t>
      </w:r>
      <w:proofErr w:type="spellStart"/>
      <w:r>
        <w:rPr>
          <w:rFonts w:asciiTheme="minorHAnsi" w:hAnsiTheme="minorHAnsi"/>
          <w:lang w:val="es-ES_tradnl"/>
        </w:rPr>
        <w:t>SARPs</w:t>
      </w:r>
      <w:proofErr w:type="spellEnd"/>
      <w:r>
        <w:rPr>
          <w:rFonts w:asciiTheme="minorHAnsi" w:hAnsiTheme="minorHAnsi"/>
          <w:lang w:val="es-ES_tradnl"/>
        </w:rPr>
        <w:t xml:space="preserve">, y opten por otros mecanismos, que podrían ser más rápidos y efectivos, pero que podrían no tener alcance global que un SARP implica, limitando el alcance de los beneficios de seguridad operacional. </w:t>
      </w:r>
    </w:p>
    <w:p w14:paraId="4DBCEBB1" w14:textId="77777777" w:rsidR="008A682E" w:rsidRDefault="008A682E" w:rsidP="008A682E">
      <w:pPr>
        <w:tabs>
          <w:tab w:val="left" w:pos="1080"/>
        </w:tabs>
        <w:jc w:val="both"/>
        <w:rPr>
          <w:rFonts w:asciiTheme="minorHAnsi" w:hAnsiTheme="minorHAnsi"/>
          <w:lang w:val="es-ES_tradnl"/>
        </w:rPr>
      </w:pPr>
    </w:p>
    <w:p w14:paraId="45B2075A" w14:textId="093C68E2" w:rsidR="00B46FED" w:rsidRDefault="00464BEB" w:rsidP="008A682E">
      <w:pPr>
        <w:tabs>
          <w:tab w:val="left" w:pos="1418"/>
        </w:tabs>
        <w:jc w:val="both"/>
        <w:rPr>
          <w:rFonts w:asciiTheme="minorHAnsi" w:hAnsiTheme="minorHAnsi"/>
          <w:b/>
          <w:lang w:val="es-ES_tradnl"/>
        </w:rPr>
      </w:pPr>
      <w:r w:rsidRPr="0005177D">
        <w:rPr>
          <w:rFonts w:asciiTheme="minorHAnsi" w:hAnsiTheme="minorHAnsi"/>
          <w:b/>
          <w:lang w:val="es-ES_tradnl"/>
        </w:rPr>
        <w:t>2.</w:t>
      </w:r>
      <w:r w:rsidR="008C3DC9">
        <w:rPr>
          <w:rFonts w:asciiTheme="minorHAnsi" w:hAnsiTheme="minorHAnsi"/>
          <w:b/>
          <w:lang w:val="es-ES_tradnl"/>
        </w:rPr>
        <w:t>3</w:t>
      </w:r>
      <w:r w:rsidRPr="0005177D">
        <w:rPr>
          <w:rFonts w:asciiTheme="minorHAnsi" w:hAnsiTheme="minorHAnsi"/>
          <w:b/>
          <w:lang w:val="es-ES_tradnl"/>
        </w:rPr>
        <w:tab/>
        <w:t xml:space="preserve">Fortalecimiento de la gobernanza </w:t>
      </w:r>
      <w:r w:rsidR="0005177D" w:rsidRPr="0005177D">
        <w:rPr>
          <w:rFonts w:asciiTheme="minorHAnsi" w:hAnsiTheme="minorHAnsi"/>
          <w:b/>
          <w:lang w:val="es-ES_tradnl"/>
        </w:rPr>
        <w:t>de las Autoridades de Aviación Civil</w:t>
      </w:r>
    </w:p>
    <w:p w14:paraId="6D904FD6" w14:textId="77777777" w:rsidR="008A682E" w:rsidRDefault="008A682E" w:rsidP="008A682E">
      <w:pPr>
        <w:tabs>
          <w:tab w:val="left" w:pos="1418"/>
        </w:tabs>
        <w:jc w:val="both"/>
        <w:rPr>
          <w:rFonts w:asciiTheme="minorHAnsi" w:hAnsiTheme="minorHAnsi"/>
          <w:b/>
          <w:lang w:val="es-ES_tradnl"/>
        </w:rPr>
      </w:pPr>
    </w:p>
    <w:p w14:paraId="59D0D4A5" w14:textId="3E5298DB" w:rsidR="005D1CC3" w:rsidRDefault="008C3DC9" w:rsidP="008A682E">
      <w:pPr>
        <w:tabs>
          <w:tab w:val="left" w:pos="1418"/>
        </w:tabs>
        <w:jc w:val="both"/>
        <w:rPr>
          <w:rFonts w:asciiTheme="minorHAnsi" w:hAnsiTheme="minorHAnsi"/>
          <w:lang w:val="es-ES_tradnl"/>
        </w:rPr>
      </w:pPr>
      <w:r>
        <w:rPr>
          <w:rFonts w:asciiTheme="minorHAnsi" w:hAnsiTheme="minorHAnsi"/>
          <w:lang w:val="es-ES_tradnl"/>
        </w:rPr>
        <w:t>2.3.1</w:t>
      </w:r>
      <w:r w:rsidR="005D1CC3">
        <w:rPr>
          <w:rFonts w:asciiTheme="minorHAnsi" w:hAnsiTheme="minorHAnsi"/>
          <w:lang w:val="es-ES_tradnl"/>
        </w:rPr>
        <w:tab/>
        <w:t>Los niveles de implementación efectiva en la región, siguen un comportamiento oscilante, en donde:</w:t>
      </w:r>
    </w:p>
    <w:p w14:paraId="01BEE068" w14:textId="77777777" w:rsidR="008A682E" w:rsidRDefault="008A682E" w:rsidP="008A682E">
      <w:pPr>
        <w:tabs>
          <w:tab w:val="left" w:pos="1080"/>
        </w:tabs>
        <w:jc w:val="both"/>
        <w:rPr>
          <w:rFonts w:asciiTheme="minorHAnsi" w:hAnsiTheme="minorHAnsi"/>
          <w:lang w:val="es-ES_tradnl"/>
        </w:rPr>
      </w:pPr>
    </w:p>
    <w:p w14:paraId="3B7AACB0" w14:textId="77777777" w:rsidR="005D1CC3" w:rsidRPr="005D1CC3" w:rsidRDefault="005D1CC3" w:rsidP="008A682E">
      <w:pPr>
        <w:pStyle w:val="ListParagraph"/>
        <w:numPr>
          <w:ilvl w:val="0"/>
          <w:numId w:val="5"/>
        </w:numPr>
        <w:tabs>
          <w:tab w:val="left" w:pos="1080"/>
        </w:tabs>
        <w:contextualSpacing w:val="0"/>
        <w:jc w:val="both"/>
        <w:rPr>
          <w:rFonts w:asciiTheme="minorHAnsi" w:hAnsiTheme="minorHAnsi"/>
          <w:lang w:val="es-ES_tradnl"/>
        </w:rPr>
      </w:pPr>
      <w:r w:rsidRPr="005D1CC3">
        <w:rPr>
          <w:rFonts w:asciiTheme="minorHAnsi" w:hAnsiTheme="minorHAnsi"/>
          <w:lang w:val="es-ES_tradnl"/>
        </w:rPr>
        <w:t xml:space="preserve">Las Oficinas Regionales y las Organizaciones Regionales de Seguridad Operacional (RSOO) realizan </w:t>
      </w:r>
      <w:r>
        <w:rPr>
          <w:rFonts w:asciiTheme="minorHAnsi" w:hAnsiTheme="minorHAnsi"/>
          <w:lang w:val="es-ES_tradnl"/>
        </w:rPr>
        <w:t>m</w:t>
      </w:r>
      <w:r w:rsidRPr="005D1CC3">
        <w:rPr>
          <w:rFonts w:asciiTheme="minorHAnsi" w:hAnsiTheme="minorHAnsi"/>
          <w:lang w:val="es-ES_tradnl"/>
        </w:rPr>
        <w:t xml:space="preserve">últiples </w:t>
      </w:r>
      <w:r>
        <w:rPr>
          <w:rFonts w:asciiTheme="minorHAnsi" w:hAnsiTheme="minorHAnsi"/>
          <w:lang w:val="es-ES_tradnl"/>
        </w:rPr>
        <w:t xml:space="preserve">y costosos </w:t>
      </w:r>
      <w:r w:rsidRPr="005D1CC3">
        <w:rPr>
          <w:rFonts w:asciiTheme="minorHAnsi" w:hAnsiTheme="minorHAnsi"/>
          <w:lang w:val="es-ES_tradnl"/>
        </w:rPr>
        <w:t>esfuerzos para ayudar a los Estados a mejorar su nivel de implementación efectiva;</w:t>
      </w:r>
    </w:p>
    <w:p w14:paraId="6C3FA13E" w14:textId="77777777" w:rsidR="005D1CC3" w:rsidRDefault="005D1CC3" w:rsidP="008A682E">
      <w:pPr>
        <w:pStyle w:val="ListParagraph"/>
        <w:numPr>
          <w:ilvl w:val="0"/>
          <w:numId w:val="5"/>
        </w:numPr>
        <w:tabs>
          <w:tab w:val="left" w:pos="1080"/>
        </w:tabs>
        <w:contextualSpacing w:val="0"/>
        <w:jc w:val="both"/>
        <w:rPr>
          <w:rFonts w:asciiTheme="minorHAnsi" w:hAnsiTheme="minorHAnsi"/>
          <w:lang w:val="es-ES_tradnl"/>
        </w:rPr>
      </w:pPr>
      <w:r>
        <w:rPr>
          <w:rFonts w:asciiTheme="minorHAnsi" w:hAnsiTheme="minorHAnsi"/>
          <w:lang w:val="es-ES_tradnl"/>
        </w:rPr>
        <w:t>Mediante esta ayuda, los Estados desarrollan capacidades internas, contratan y capacitan al personal técnico requerido, desarrollan material guía, y llevan adelante actividades de certificación y vigilancia;</w:t>
      </w:r>
    </w:p>
    <w:p w14:paraId="6019C866" w14:textId="77777777" w:rsidR="005D1CC3" w:rsidRDefault="005D1CC3" w:rsidP="008A682E">
      <w:pPr>
        <w:pStyle w:val="ListParagraph"/>
        <w:numPr>
          <w:ilvl w:val="0"/>
          <w:numId w:val="5"/>
        </w:numPr>
        <w:tabs>
          <w:tab w:val="left" w:pos="1080"/>
        </w:tabs>
        <w:contextualSpacing w:val="0"/>
        <w:jc w:val="both"/>
        <w:rPr>
          <w:rFonts w:asciiTheme="minorHAnsi" w:hAnsiTheme="minorHAnsi"/>
          <w:lang w:val="es-ES_tradnl"/>
        </w:rPr>
      </w:pPr>
      <w:r>
        <w:rPr>
          <w:rFonts w:asciiTheme="minorHAnsi" w:hAnsiTheme="minorHAnsi"/>
          <w:lang w:val="es-ES_tradnl"/>
        </w:rPr>
        <w:t xml:space="preserve">Gracias a las actividades descritas en (b), los Estados </w:t>
      </w:r>
      <w:r w:rsidR="00987C4F">
        <w:rPr>
          <w:rFonts w:asciiTheme="minorHAnsi" w:hAnsiTheme="minorHAnsi"/>
          <w:lang w:val="es-ES_tradnl"/>
        </w:rPr>
        <w:t>consiguen mejoras, a los algunos casos sustanciales, de sus niveles de implementación efectiva;</w:t>
      </w:r>
    </w:p>
    <w:p w14:paraId="5829DB14" w14:textId="77777777" w:rsidR="00987C4F" w:rsidRDefault="00987C4F" w:rsidP="008A682E">
      <w:pPr>
        <w:pStyle w:val="ListParagraph"/>
        <w:numPr>
          <w:ilvl w:val="0"/>
          <w:numId w:val="5"/>
        </w:numPr>
        <w:tabs>
          <w:tab w:val="left" w:pos="1080"/>
        </w:tabs>
        <w:contextualSpacing w:val="0"/>
        <w:jc w:val="both"/>
        <w:rPr>
          <w:rFonts w:asciiTheme="minorHAnsi" w:hAnsiTheme="minorHAnsi"/>
          <w:lang w:val="es-ES_tradnl"/>
        </w:rPr>
      </w:pPr>
      <w:r>
        <w:rPr>
          <w:rFonts w:asciiTheme="minorHAnsi" w:hAnsiTheme="minorHAnsi"/>
          <w:lang w:val="es-ES_tradnl"/>
        </w:rPr>
        <w:t xml:space="preserve">Sin embargo, </w:t>
      </w:r>
      <w:r w:rsidR="00D01F98">
        <w:rPr>
          <w:rFonts w:asciiTheme="minorHAnsi" w:hAnsiTheme="minorHAnsi"/>
          <w:lang w:val="es-ES_tradnl"/>
        </w:rPr>
        <w:t xml:space="preserve">por diversos motivos </w:t>
      </w:r>
      <w:r>
        <w:rPr>
          <w:rFonts w:asciiTheme="minorHAnsi" w:hAnsiTheme="minorHAnsi"/>
          <w:lang w:val="es-ES_tradnl"/>
        </w:rPr>
        <w:t>las capacidades desarrolladas empiezan a perderse</w:t>
      </w:r>
      <w:r w:rsidR="00D01F98">
        <w:rPr>
          <w:rFonts w:asciiTheme="minorHAnsi" w:hAnsiTheme="minorHAnsi"/>
          <w:lang w:val="es-ES_tradnl"/>
        </w:rPr>
        <w:t xml:space="preserve"> generalmente en un ciclo de cambio de administración o hasta menos, producto de la </w:t>
      </w:r>
      <w:r>
        <w:rPr>
          <w:rFonts w:asciiTheme="minorHAnsi" w:hAnsiTheme="minorHAnsi"/>
          <w:lang w:val="es-ES_tradnl"/>
        </w:rPr>
        <w:t xml:space="preserve">alta rotación de autoridades, continuos cambios en los mandos medios, múltiples modificaciones de las estructuras internas, </w:t>
      </w:r>
      <w:r w:rsidR="00D01F98">
        <w:rPr>
          <w:rFonts w:asciiTheme="minorHAnsi" w:hAnsiTheme="minorHAnsi"/>
          <w:lang w:val="es-ES_tradnl"/>
        </w:rPr>
        <w:t xml:space="preserve">brechas en la planificación de recursos humanos, falta de sensibilidad en cuanto al impacto de la pérdida de talento </w:t>
      </w:r>
      <w:r>
        <w:rPr>
          <w:rFonts w:asciiTheme="minorHAnsi" w:hAnsiTheme="minorHAnsi"/>
          <w:lang w:val="es-ES_tradnl"/>
        </w:rPr>
        <w:t xml:space="preserve">y la seguridad operacional, y otros factores relacionados, son </w:t>
      </w:r>
      <w:r w:rsidR="00D01F98">
        <w:rPr>
          <w:rFonts w:asciiTheme="minorHAnsi" w:hAnsiTheme="minorHAnsi"/>
          <w:lang w:val="es-ES_tradnl"/>
        </w:rPr>
        <w:t xml:space="preserve">algunas de </w:t>
      </w:r>
      <w:r>
        <w:rPr>
          <w:rFonts w:asciiTheme="minorHAnsi" w:hAnsiTheme="minorHAnsi"/>
          <w:lang w:val="es-ES_tradnl"/>
        </w:rPr>
        <w:t xml:space="preserve">las causas principales de </w:t>
      </w:r>
      <w:r w:rsidR="005670C9">
        <w:rPr>
          <w:rFonts w:asciiTheme="minorHAnsi" w:hAnsiTheme="minorHAnsi"/>
          <w:lang w:val="es-ES_tradnl"/>
        </w:rPr>
        <w:t>estas pérdidas</w:t>
      </w:r>
      <w:r>
        <w:rPr>
          <w:rFonts w:asciiTheme="minorHAnsi" w:hAnsiTheme="minorHAnsi"/>
          <w:lang w:val="es-ES_tradnl"/>
        </w:rPr>
        <w:t xml:space="preserve"> de capacidades.</w:t>
      </w:r>
    </w:p>
    <w:p w14:paraId="58C668ED" w14:textId="628248A3" w:rsidR="00987C4F" w:rsidRDefault="00987C4F" w:rsidP="008A682E">
      <w:pPr>
        <w:pStyle w:val="ListParagraph"/>
        <w:numPr>
          <w:ilvl w:val="0"/>
          <w:numId w:val="5"/>
        </w:numPr>
        <w:tabs>
          <w:tab w:val="left" w:pos="1080"/>
        </w:tabs>
        <w:contextualSpacing w:val="0"/>
        <w:jc w:val="both"/>
        <w:rPr>
          <w:rFonts w:asciiTheme="minorHAnsi" w:hAnsiTheme="minorHAnsi"/>
          <w:lang w:val="es-ES_tradnl"/>
        </w:rPr>
      </w:pPr>
      <w:r>
        <w:rPr>
          <w:rFonts w:asciiTheme="minorHAnsi" w:hAnsiTheme="minorHAnsi"/>
          <w:lang w:val="es-ES_tradnl"/>
        </w:rPr>
        <w:t xml:space="preserve">Los Estados regresan al punto inicial, en donde requieren nuevamente solicitar el apoyo de las Oficinas Regionales y los </w:t>
      </w:r>
      <w:proofErr w:type="spellStart"/>
      <w:r>
        <w:rPr>
          <w:rFonts w:asciiTheme="minorHAnsi" w:hAnsiTheme="minorHAnsi"/>
          <w:lang w:val="es-ES_tradnl"/>
        </w:rPr>
        <w:t>RSOOs</w:t>
      </w:r>
      <w:proofErr w:type="spellEnd"/>
      <w:r w:rsidR="008A682E">
        <w:rPr>
          <w:rFonts w:asciiTheme="minorHAnsi" w:hAnsiTheme="minorHAnsi"/>
          <w:lang w:val="es-ES_tradnl"/>
        </w:rPr>
        <w:t>.</w:t>
      </w:r>
    </w:p>
    <w:p w14:paraId="3B2973C6" w14:textId="77777777" w:rsidR="008A682E" w:rsidRDefault="008A682E" w:rsidP="008A682E">
      <w:pPr>
        <w:pStyle w:val="ListParagraph"/>
        <w:tabs>
          <w:tab w:val="left" w:pos="1080"/>
        </w:tabs>
        <w:contextualSpacing w:val="0"/>
        <w:jc w:val="both"/>
        <w:rPr>
          <w:rFonts w:asciiTheme="minorHAnsi" w:hAnsiTheme="minorHAnsi"/>
          <w:lang w:val="es-ES_tradnl"/>
        </w:rPr>
      </w:pPr>
    </w:p>
    <w:p w14:paraId="4EB4440F" w14:textId="50FDED75" w:rsidR="00987C4F" w:rsidRDefault="008C3DC9" w:rsidP="008A682E">
      <w:pPr>
        <w:tabs>
          <w:tab w:val="left" w:pos="1080"/>
        </w:tabs>
        <w:jc w:val="both"/>
        <w:rPr>
          <w:rFonts w:asciiTheme="minorHAnsi" w:hAnsiTheme="minorHAnsi"/>
          <w:lang w:val="es-ES_tradnl"/>
        </w:rPr>
      </w:pPr>
      <w:r>
        <w:rPr>
          <w:rFonts w:asciiTheme="minorHAnsi" w:hAnsiTheme="minorHAnsi"/>
          <w:lang w:val="es-ES_tradnl"/>
        </w:rPr>
        <w:t>2.3.2</w:t>
      </w:r>
      <w:r w:rsidR="00987C4F">
        <w:rPr>
          <w:rFonts w:asciiTheme="minorHAnsi" w:hAnsiTheme="minorHAnsi"/>
          <w:lang w:val="es-ES_tradnl"/>
        </w:rPr>
        <w:tab/>
      </w:r>
      <w:r w:rsidR="00987C4F" w:rsidRPr="00987C4F">
        <w:rPr>
          <w:rFonts w:asciiTheme="minorHAnsi" w:hAnsiTheme="minorHAnsi"/>
          <w:lang w:val="es-ES_tradnl"/>
        </w:rPr>
        <w:t>Este ciclo se repite continuamente</w:t>
      </w:r>
      <w:r w:rsidR="00987C4F">
        <w:rPr>
          <w:rFonts w:asciiTheme="minorHAnsi" w:hAnsiTheme="minorHAnsi"/>
          <w:lang w:val="es-ES_tradnl"/>
        </w:rPr>
        <w:t xml:space="preserve">, provocando oscilaciones de ganancias y pérdidas de aplicación efectiva, a un costo financiero altísimo para los Estados, y las Oficinas Regionales. Pero principalmente, provocando una ineficiencia en el uso de los recursos que afecta negativamente las capacidades de vigilancia de la seguridad operacional de los Estados, elevando el nivel de riesgo. </w:t>
      </w:r>
      <w:r w:rsidR="00D01F98">
        <w:rPr>
          <w:rFonts w:asciiTheme="minorHAnsi" w:hAnsiTheme="minorHAnsi"/>
          <w:lang w:val="es-ES_tradnl"/>
        </w:rPr>
        <w:t xml:space="preserve">El diseño de las </w:t>
      </w:r>
      <w:proofErr w:type="spellStart"/>
      <w:r w:rsidR="00D01F98">
        <w:rPr>
          <w:rFonts w:asciiTheme="minorHAnsi" w:hAnsiTheme="minorHAnsi"/>
          <w:lang w:val="es-ES_tradnl"/>
        </w:rPr>
        <w:t>PQs</w:t>
      </w:r>
      <w:proofErr w:type="spellEnd"/>
      <w:r w:rsidR="00D01F98">
        <w:rPr>
          <w:rFonts w:asciiTheme="minorHAnsi" w:hAnsiTheme="minorHAnsi"/>
          <w:lang w:val="es-ES_tradnl"/>
        </w:rPr>
        <w:t xml:space="preserve"> actual</w:t>
      </w:r>
      <w:r w:rsidR="0004212D">
        <w:rPr>
          <w:rFonts w:asciiTheme="minorHAnsi" w:hAnsiTheme="minorHAnsi"/>
          <w:lang w:val="es-ES_tradnl"/>
        </w:rPr>
        <w:t>es de programa USOAP de la OACI</w:t>
      </w:r>
      <w:r w:rsidR="00D01F98">
        <w:rPr>
          <w:rFonts w:asciiTheme="minorHAnsi" w:hAnsiTheme="minorHAnsi"/>
          <w:lang w:val="es-ES_tradnl"/>
        </w:rPr>
        <w:t xml:space="preserve">, podría capturar de mejor forma estas brechas y así generar un incentivo para una mejor gobernanza de la </w:t>
      </w:r>
      <w:proofErr w:type="spellStart"/>
      <w:r w:rsidR="00D01F98">
        <w:rPr>
          <w:rFonts w:asciiTheme="minorHAnsi" w:hAnsiTheme="minorHAnsi"/>
          <w:lang w:val="es-ES_tradnl"/>
        </w:rPr>
        <w:t>AACs</w:t>
      </w:r>
      <w:proofErr w:type="spellEnd"/>
      <w:r w:rsidR="00D01F98">
        <w:rPr>
          <w:rFonts w:asciiTheme="minorHAnsi" w:hAnsiTheme="minorHAnsi"/>
          <w:lang w:val="es-ES_tradnl"/>
        </w:rPr>
        <w:t xml:space="preserve"> y un mejoramiento sostenible en el proceso de mitigación de riesgos a la seguridad operacional</w:t>
      </w:r>
      <w:r w:rsidR="005C1623">
        <w:rPr>
          <w:rStyle w:val="FootnoteReference"/>
          <w:rFonts w:asciiTheme="minorHAnsi" w:hAnsiTheme="minorHAnsi"/>
          <w:lang w:val="es-ES_tradnl"/>
        </w:rPr>
        <w:footnoteReference w:id="1"/>
      </w:r>
      <w:r w:rsidR="00D01F98">
        <w:rPr>
          <w:rFonts w:asciiTheme="minorHAnsi" w:hAnsiTheme="minorHAnsi"/>
          <w:lang w:val="es-ES_tradnl"/>
        </w:rPr>
        <w:t>.</w:t>
      </w:r>
    </w:p>
    <w:p w14:paraId="440AC053" w14:textId="13AE17E3" w:rsidR="008A682E" w:rsidRDefault="008A682E">
      <w:pPr>
        <w:jc w:val="both"/>
        <w:rPr>
          <w:rFonts w:asciiTheme="minorHAnsi" w:hAnsiTheme="minorHAnsi"/>
          <w:lang w:val="es-ES_tradnl"/>
        </w:rPr>
      </w:pPr>
      <w:r>
        <w:rPr>
          <w:rFonts w:asciiTheme="minorHAnsi" w:hAnsiTheme="minorHAnsi"/>
          <w:lang w:val="es-ES_tradnl"/>
        </w:rPr>
        <w:br w:type="page"/>
      </w:r>
    </w:p>
    <w:p w14:paraId="74A3C5DE" w14:textId="4A2CFA08" w:rsidR="00B46FED" w:rsidRDefault="00B46FED" w:rsidP="008A682E">
      <w:pPr>
        <w:tabs>
          <w:tab w:val="left" w:pos="1418"/>
        </w:tabs>
        <w:jc w:val="both"/>
        <w:rPr>
          <w:rFonts w:asciiTheme="minorHAnsi" w:hAnsiTheme="minorHAnsi"/>
          <w:b/>
          <w:lang w:val="es-ES_tradnl"/>
        </w:rPr>
      </w:pPr>
      <w:r w:rsidRPr="0005177D">
        <w:rPr>
          <w:rFonts w:asciiTheme="minorHAnsi" w:hAnsiTheme="minorHAnsi"/>
          <w:b/>
          <w:lang w:val="es-ES_tradnl"/>
        </w:rPr>
        <w:lastRenderedPageBreak/>
        <w:t>2.</w:t>
      </w:r>
      <w:r w:rsidR="008C3DC9">
        <w:rPr>
          <w:rFonts w:asciiTheme="minorHAnsi" w:hAnsiTheme="minorHAnsi"/>
          <w:b/>
          <w:lang w:val="es-ES_tradnl"/>
        </w:rPr>
        <w:t>4</w:t>
      </w:r>
      <w:r w:rsidRPr="0005177D">
        <w:rPr>
          <w:rFonts w:asciiTheme="minorHAnsi" w:hAnsiTheme="minorHAnsi"/>
          <w:b/>
          <w:lang w:val="es-ES_tradnl"/>
        </w:rPr>
        <w:tab/>
        <w:t xml:space="preserve">Desarrollo de </w:t>
      </w:r>
      <w:proofErr w:type="spellStart"/>
      <w:r w:rsidRPr="0005177D">
        <w:rPr>
          <w:rFonts w:asciiTheme="minorHAnsi" w:hAnsiTheme="minorHAnsi"/>
          <w:b/>
          <w:lang w:val="es-ES_tradnl"/>
        </w:rPr>
        <w:t>iPACKs</w:t>
      </w:r>
      <w:proofErr w:type="spellEnd"/>
      <w:r w:rsidRPr="0005177D">
        <w:rPr>
          <w:rFonts w:asciiTheme="minorHAnsi" w:hAnsiTheme="minorHAnsi"/>
          <w:b/>
          <w:lang w:val="es-ES_tradnl"/>
        </w:rPr>
        <w:t xml:space="preserve"> sobre la implementación de los SSP </w:t>
      </w:r>
    </w:p>
    <w:p w14:paraId="3A80E497" w14:textId="77777777" w:rsidR="008A682E" w:rsidRDefault="008A682E" w:rsidP="008A682E">
      <w:pPr>
        <w:tabs>
          <w:tab w:val="left" w:pos="1418"/>
        </w:tabs>
        <w:jc w:val="both"/>
        <w:rPr>
          <w:rFonts w:asciiTheme="minorHAnsi" w:hAnsiTheme="minorHAnsi"/>
          <w:b/>
          <w:lang w:val="es-ES_tradnl"/>
        </w:rPr>
      </w:pPr>
    </w:p>
    <w:p w14:paraId="49EACE5C" w14:textId="6BFA38B6" w:rsidR="003E7431" w:rsidRDefault="008C3DC9" w:rsidP="008A682E">
      <w:pPr>
        <w:tabs>
          <w:tab w:val="left" w:pos="1418"/>
        </w:tabs>
        <w:jc w:val="both"/>
        <w:rPr>
          <w:rFonts w:asciiTheme="minorHAnsi" w:hAnsiTheme="minorHAnsi"/>
          <w:lang w:val="es-ES_tradnl"/>
        </w:rPr>
      </w:pPr>
      <w:r>
        <w:rPr>
          <w:rFonts w:asciiTheme="minorHAnsi" w:hAnsiTheme="minorHAnsi"/>
          <w:lang w:val="es-ES_tradnl"/>
        </w:rPr>
        <w:t>2.4.1</w:t>
      </w:r>
      <w:r w:rsidR="003E7431">
        <w:rPr>
          <w:rFonts w:asciiTheme="minorHAnsi" w:hAnsiTheme="minorHAnsi"/>
          <w:lang w:val="es-ES_tradnl"/>
        </w:rPr>
        <w:tab/>
        <w:t xml:space="preserve">Las Oficinas Regional NACC y SAM vienen desarrollando durante muchos años, diversos esfuerzos para impulsar la implementación de un SSP efectivo en sus Estados. Inicialmente se consiguieron importantes avances, pero aun así el nivel de establecimiento del SSP en la Región </w:t>
      </w:r>
      <w:proofErr w:type="spellStart"/>
      <w:r w:rsidR="003E7431">
        <w:rPr>
          <w:rFonts w:asciiTheme="minorHAnsi" w:hAnsiTheme="minorHAnsi"/>
          <w:lang w:val="es-ES_tradnl"/>
        </w:rPr>
        <w:t>Panamérica</w:t>
      </w:r>
      <w:proofErr w:type="spellEnd"/>
      <w:r w:rsidR="003E7431">
        <w:rPr>
          <w:rFonts w:asciiTheme="minorHAnsi" w:hAnsiTheme="minorHAnsi"/>
          <w:lang w:val="es-ES_tradnl"/>
        </w:rPr>
        <w:t xml:space="preserve"> ha alcanzado tan solo un 33% y una mejora año a año entre 2021 y 2022 de 1.24%. </w:t>
      </w:r>
    </w:p>
    <w:p w14:paraId="795E8DFB" w14:textId="77777777" w:rsidR="008A682E" w:rsidRDefault="008A682E" w:rsidP="008A682E">
      <w:pPr>
        <w:tabs>
          <w:tab w:val="left" w:pos="1418"/>
        </w:tabs>
        <w:jc w:val="both"/>
        <w:rPr>
          <w:rFonts w:asciiTheme="minorHAnsi" w:hAnsiTheme="minorHAnsi"/>
          <w:lang w:val="es-ES_tradnl"/>
        </w:rPr>
      </w:pPr>
    </w:p>
    <w:p w14:paraId="4FFB6AE0" w14:textId="01BC49C5" w:rsidR="00B2136D" w:rsidRDefault="008C3DC9" w:rsidP="008A682E">
      <w:pPr>
        <w:tabs>
          <w:tab w:val="left" w:pos="1418"/>
        </w:tabs>
        <w:jc w:val="both"/>
        <w:rPr>
          <w:rFonts w:asciiTheme="minorHAnsi" w:hAnsiTheme="minorHAnsi"/>
          <w:lang w:val="es-ES_tradnl"/>
        </w:rPr>
      </w:pPr>
      <w:r>
        <w:rPr>
          <w:rFonts w:asciiTheme="minorHAnsi" w:hAnsiTheme="minorHAnsi"/>
          <w:lang w:val="es-ES_tradnl"/>
        </w:rPr>
        <w:t>2.4.2</w:t>
      </w:r>
      <w:r w:rsidR="003E7431">
        <w:rPr>
          <w:rFonts w:asciiTheme="minorHAnsi" w:hAnsiTheme="minorHAnsi"/>
          <w:lang w:val="es-ES_tradnl"/>
        </w:rPr>
        <w:tab/>
        <w:t xml:space="preserve">Pese a todo el trabajo realizado y la voluntad de los Estados, el ritmo de establecimiento del SSP es preocupantemente bajo, y hace falta una intervención activa y más agresiva, que permita conseguir alcanzar las metas regionales y globales de implementación. </w:t>
      </w:r>
    </w:p>
    <w:p w14:paraId="2F66AE75" w14:textId="77777777" w:rsidR="008A682E" w:rsidRDefault="008A682E" w:rsidP="008A682E">
      <w:pPr>
        <w:tabs>
          <w:tab w:val="left" w:pos="1418"/>
        </w:tabs>
        <w:jc w:val="both"/>
        <w:rPr>
          <w:rFonts w:asciiTheme="minorHAnsi" w:hAnsiTheme="minorHAnsi"/>
          <w:lang w:val="es-ES_tradnl"/>
        </w:rPr>
      </w:pPr>
    </w:p>
    <w:p w14:paraId="7B3FE9D7" w14:textId="21DE1683" w:rsidR="00B2136D" w:rsidRDefault="00B2136D" w:rsidP="008A682E">
      <w:pPr>
        <w:tabs>
          <w:tab w:val="left" w:pos="1418"/>
        </w:tabs>
        <w:jc w:val="both"/>
        <w:rPr>
          <w:rFonts w:asciiTheme="minorHAnsi" w:hAnsiTheme="minorHAnsi"/>
          <w:b/>
          <w:lang w:val="es-ES_tradnl"/>
        </w:rPr>
      </w:pPr>
      <w:r w:rsidRPr="00DB6514">
        <w:rPr>
          <w:rFonts w:asciiTheme="minorHAnsi" w:hAnsiTheme="minorHAnsi"/>
          <w:b/>
          <w:lang w:val="es-ES_tradnl"/>
        </w:rPr>
        <w:t xml:space="preserve">3. </w:t>
      </w:r>
      <w:r w:rsidRPr="00DB6514">
        <w:rPr>
          <w:rFonts w:asciiTheme="minorHAnsi" w:hAnsiTheme="minorHAnsi"/>
          <w:b/>
          <w:lang w:val="es-ES_tradnl"/>
        </w:rPr>
        <w:tab/>
        <w:t>Propuesta de conclusiones sobre las medidas específicas y mejoras</w:t>
      </w:r>
    </w:p>
    <w:p w14:paraId="601271EF" w14:textId="77777777" w:rsidR="008A682E" w:rsidRPr="00DB6514" w:rsidRDefault="008A682E" w:rsidP="008A682E">
      <w:pPr>
        <w:tabs>
          <w:tab w:val="left" w:pos="1418"/>
        </w:tabs>
        <w:jc w:val="both"/>
        <w:rPr>
          <w:rFonts w:asciiTheme="minorHAnsi" w:hAnsiTheme="minorHAnsi"/>
          <w:b/>
          <w:lang w:val="es-ES_tradnl"/>
        </w:rPr>
      </w:pPr>
    </w:p>
    <w:p w14:paraId="196A51F1" w14:textId="75A0C123" w:rsidR="008A682E" w:rsidRDefault="00B2136D" w:rsidP="008A682E">
      <w:pPr>
        <w:tabs>
          <w:tab w:val="left" w:pos="1418"/>
        </w:tabs>
        <w:spacing w:after="120"/>
        <w:jc w:val="both"/>
        <w:rPr>
          <w:rFonts w:asciiTheme="minorHAnsi" w:hAnsiTheme="minorHAnsi"/>
          <w:lang w:val="es-ES_tradnl"/>
        </w:rPr>
      </w:pPr>
      <w:r>
        <w:rPr>
          <w:rFonts w:asciiTheme="minorHAnsi" w:hAnsiTheme="minorHAnsi"/>
          <w:lang w:val="es-ES_tradnl"/>
        </w:rPr>
        <w:t xml:space="preserve">3.1 </w:t>
      </w:r>
      <w:r>
        <w:rPr>
          <w:rFonts w:asciiTheme="minorHAnsi" w:hAnsiTheme="minorHAnsi"/>
          <w:lang w:val="es-ES_tradnl"/>
        </w:rPr>
        <w:tab/>
        <w:t>Con relación al p</w:t>
      </w:r>
      <w:r w:rsidRPr="00B2136D">
        <w:rPr>
          <w:rFonts w:asciiTheme="minorHAnsi" w:hAnsiTheme="minorHAnsi"/>
          <w:lang w:val="es-ES_tradnl"/>
        </w:rPr>
        <w:t xml:space="preserve">roceso de enmienda de los </w:t>
      </w:r>
      <w:proofErr w:type="spellStart"/>
      <w:r w:rsidRPr="00B2136D">
        <w:rPr>
          <w:rFonts w:asciiTheme="minorHAnsi" w:hAnsiTheme="minorHAnsi"/>
          <w:lang w:val="es-ES_tradnl"/>
        </w:rPr>
        <w:t>SARPs</w:t>
      </w:r>
      <w:proofErr w:type="spellEnd"/>
      <w:r w:rsidRPr="00B2136D">
        <w:rPr>
          <w:rFonts w:asciiTheme="minorHAnsi" w:hAnsiTheme="minorHAnsi"/>
          <w:lang w:val="es-ES_tradnl"/>
        </w:rPr>
        <w:t xml:space="preserve"> a partir de recomendaciones surgidas en los </w:t>
      </w:r>
      <w:proofErr w:type="spellStart"/>
      <w:r w:rsidRPr="00B2136D">
        <w:rPr>
          <w:rFonts w:asciiTheme="minorHAnsi" w:hAnsiTheme="minorHAnsi"/>
          <w:lang w:val="es-ES_tradnl"/>
        </w:rPr>
        <w:t>RASGs</w:t>
      </w:r>
      <w:proofErr w:type="spellEnd"/>
      <w:r>
        <w:rPr>
          <w:rFonts w:asciiTheme="minorHAnsi" w:hAnsiTheme="minorHAnsi"/>
          <w:lang w:val="es-ES_tradnl"/>
        </w:rPr>
        <w:t xml:space="preserve">, al que se refiere </w:t>
      </w:r>
      <w:r w:rsidR="00D0513B">
        <w:rPr>
          <w:rFonts w:asciiTheme="minorHAnsi" w:hAnsiTheme="minorHAnsi"/>
          <w:lang w:val="es-ES_tradnl"/>
        </w:rPr>
        <w:t>la sección 2.2</w:t>
      </w:r>
      <w:r>
        <w:rPr>
          <w:rFonts w:asciiTheme="minorHAnsi" w:hAnsiTheme="minorHAnsi"/>
          <w:lang w:val="es-ES_tradnl"/>
        </w:rPr>
        <w:t xml:space="preserve">, </w:t>
      </w:r>
      <w:r w:rsidRPr="00B2136D">
        <w:rPr>
          <w:rFonts w:asciiTheme="minorHAnsi" w:hAnsiTheme="minorHAnsi"/>
          <w:lang w:val="es-ES_tradnl"/>
        </w:rPr>
        <w:t xml:space="preserve">se propone la siguiente conclusión dirigida a la </w:t>
      </w:r>
      <w:r w:rsidR="005670C9">
        <w:rPr>
          <w:rFonts w:asciiTheme="minorHAnsi" w:hAnsiTheme="minorHAnsi"/>
          <w:lang w:val="es-ES_tradnl"/>
        </w:rPr>
        <w:t>ANC</w:t>
      </w:r>
      <w:r w:rsidRPr="00B2136D">
        <w:rPr>
          <w:rFonts w:asciiTheme="minorHAnsi" w:hAnsiTheme="minorHAnsi"/>
          <w:lang w:val="es-ES_tradnl"/>
        </w:rPr>
        <w:t>:</w:t>
      </w:r>
    </w:p>
    <w:p w14:paraId="331E4D02" w14:textId="77777777" w:rsidR="008A682E" w:rsidRPr="008A682E" w:rsidRDefault="008A682E" w:rsidP="008A682E">
      <w:pPr>
        <w:tabs>
          <w:tab w:val="left" w:pos="1418"/>
        </w:tabs>
        <w:spacing w:after="120"/>
        <w:jc w:val="both"/>
        <w:rPr>
          <w:rFonts w:asciiTheme="minorHAnsi" w:hAnsiTheme="minorHAnsi"/>
          <w:lang w:val="es-ES_tradnl"/>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
        <w:gridCol w:w="754"/>
        <w:gridCol w:w="2237"/>
        <w:gridCol w:w="1118"/>
        <w:gridCol w:w="793"/>
        <w:gridCol w:w="266"/>
        <w:gridCol w:w="759"/>
        <w:gridCol w:w="3121"/>
      </w:tblGrid>
      <w:tr w:rsidR="00A62CAD" w:rsidRPr="008A682E" w14:paraId="65738255" w14:textId="77777777" w:rsidTr="001F0044">
        <w:trPr>
          <w:trHeight w:val="288"/>
        </w:trPr>
        <w:tc>
          <w:tcPr>
            <w:tcW w:w="1761" w:type="pct"/>
            <w:gridSpan w:val="3"/>
            <w:tcBorders>
              <w:top w:val="single" w:sz="4" w:space="0" w:color="auto"/>
              <w:left w:val="single" w:sz="4" w:space="0" w:color="auto"/>
              <w:bottom w:val="single" w:sz="4" w:space="0" w:color="auto"/>
            </w:tcBorders>
            <w:shd w:val="clear" w:color="auto" w:fill="D9D9D9"/>
          </w:tcPr>
          <w:p w14:paraId="79CFCB0D" w14:textId="77777777" w:rsidR="00A62CAD" w:rsidRPr="005879C4" w:rsidRDefault="00A62CAD" w:rsidP="001F0044">
            <w:pPr>
              <w:rPr>
                <w:rFonts w:eastAsia="Calibri" w:cs="Calibri"/>
                <w:b/>
                <w:sz w:val="18"/>
                <w:lang w:val="es-PE"/>
              </w:rPr>
            </w:pPr>
            <w:r>
              <w:rPr>
                <w:rFonts w:eastAsia="Calibri" w:cs="Calibri"/>
                <w:b/>
                <w:sz w:val="18"/>
                <w:lang w:val="es-PE"/>
              </w:rPr>
              <w:t>CONCLUSION</w:t>
            </w:r>
          </w:p>
          <w:p w14:paraId="33AD9C6C" w14:textId="77777777" w:rsidR="00A62CAD" w:rsidRPr="005879C4" w:rsidRDefault="00A62CAD" w:rsidP="001F0044">
            <w:pPr>
              <w:rPr>
                <w:rFonts w:eastAsia="Calibri" w:cs="Calibri"/>
                <w:b/>
                <w:sz w:val="18"/>
                <w:lang w:val="es-PE"/>
              </w:rPr>
            </w:pPr>
            <w:r>
              <w:rPr>
                <w:rFonts w:eastAsia="Calibri" w:cs="Calibri"/>
                <w:b/>
                <w:sz w:val="18"/>
                <w:lang w:val="es-PE"/>
              </w:rPr>
              <w:t>RASG-PA-12/CX/2022</w:t>
            </w:r>
          </w:p>
        </w:tc>
        <w:tc>
          <w:tcPr>
            <w:tcW w:w="3239" w:type="pct"/>
            <w:gridSpan w:val="5"/>
            <w:tcBorders>
              <w:top w:val="single" w:sz="4" w:space="0" w:color="auto"/>
              <w:bottom w:val="single" w:sz="4" w:space="0" w:color="auto"/>
              <w:right w:val="single" w:sz="4" w:space="0" w:color="auto"/>
            </w:tcBorders>
            <w:shd w:val="clear" w:color="auto" w:fill="D9D9D9"/>
          </w:tcPr>
          <w:p w14:paraId="2656A7E3" w14:textId="77777777" w:rsidR="00A62CAD" w:rsidRPr="005879C4" w:rsidRDefault="00B2136D" w:rsidP="001F0044">
            <w:pPr>
              <w:jc w:val="center"/>
              <w:rPr>
                <w:rFonts w:eastAsia="Calibri" w:cs="Calibri"/>
                <w:b/>
                <w:sz w:val="18"/>
                <w:highlight w:val="yellow"/>
                <w:lang w:val="es-BO"/>
              </w:rPr>
            </w:pPr>
            <w:r>
              <w:rPr>
                <w:rFonts w:eastAsia="Calibri" w:cs="Calibri"/>
                <w:b/>
                <w:sz w:val="18"/>
                <w:lang w:val="es-BO"/>
              </w:rPr>
              <w:t xml:space="preserve">PROPUESTAS DE ENMIENDAS A LOS </w:t>
            </w:r>
            <w:proofErr w:type="spellStart"/>
            <w:r>
              <w:rPr>
                <w:rFonts w:eastAsia="Calibri" w:cs="Calibri"/>
                <w:b/>
                <w:sz w:val="18"/>
                <w:lang w:val="es-BO"/>
              </w:rPr>
              <w:t>SARPs</w:t>
            </w:r>
            <w:proofErr w:type="spellEnd"/>
            <w:r>
              <w:rPr>
                <w:rFonts w:eastAsia="Calibri" w:cs="Calibri"/>
                <w:b/>
                <w:sz w:val="18"/>
                <w:lang w:val="es-BO"/>
              </w:rPr>
              <w:t xml:space="preserve"> SURGIDAS EN LOS </w:t>
            </w:r>
            <w:proofErr w:type="spellStart"/>
            <w:r>
              <w:rPr>
                <w:rFonts w:eastAsia="Calibri" w:cs="Calibri"/>
                <w:b/>
                <w:sz w:val="18"/>
                <w:lang w:val="es-BO"/>
              </w:rPr>
              <w:t>RASGs</w:t>
            </w:r>
            <w:proofErr w:type="spellEnd"/>
            <w:r>
              <w:rPr>
                <w:rFonts w:eastAsia="Calibri" w:cs="Calibri"/>
                <w:b/>
                <w:sz w:val="18"/>
                <w:lang w:val="es-BO"/>
              </w:rPr>
              <w:t xml:space="preserve">  </w:t>
            </w:r>
          </w:p>
        </w:tc>
      </w:tr>
      <w:tr w:rsidR="00A62CAD" w:rsidRPr="00B46FED" w14:paraId="3544B744" w14:textId="77777777" w:rsidTr="001F0044">
        <w:trPr>
          <w:trHeight w:val="432"/>
        </w:trPr>
        <w:tc>
          <w:tcPr>
            <w:tcW w:w="3331" w:type="pct"/>
            <w:gridSpan w:val="7"/>
            <w:tcBorders>
              <w:top w:val="single" w:sz="4" w:space="0" w:color="auto"/>
              <w:left w:val="single" w:sz="4" w:space="0" w:color="auto"/>
              <w:right w:val="single" w:sz="4" w:space="0" w:color="auto"/>
            </w:tcBorders>
            <w:vAlign w:val="center"/>
          </w:tcPr>
          <w:p w14:paraId="1B5BF30A" w14:textId="77777777" w:rsidR="00A62CAD" w:rsidRPr="00B46FED" w:rsidRDefault="00A62CAD" w:rsidP="00705910">
            <w:pPr>
              <w:jc w:val="both"/>
              <w:rPr>
                <w:rFonts w:eastAsia="Calibri" w:cs="Calibri"/>
                <w:b/>
                <w:sz w:val="18"/>
                <w:lang w:val="es-PE"/>
              </w:rPr>
            </w:pPr>
            <w:r w:rsidRPr="00B46FED">
              <w:rPr>
                <w:rFonts w:eastAsia="Calibri" w:cs="Calibri"/>
                <w:b/>
                <w:sz w:val="18"/>
                <w:lang w:val="es-PE"/>
              </w:rPr>
              <w:t>Qué:</w:t>
            </w:r>
          </w:p>
        </w:tc>
        <w:tc>
          <w:tcPr>
            <w:tcW w:w="1669" w:type="pct"/>
            <w:tcBorders>
              <w:top w:val="single" w:sz="4" w:space="0" w:color="auto"/>
              <w:left w:val="single" w:sz="4" w:space="0" w:color="auto"/>
              <w:right w:val="single" w:sz="4" w:space="0" w:color="auto"/>
            </w:tcBorders>
            <w:vAlign w:val="center"/>
          </w:tcPr>
          <w:p w14:paraId="31877949" w14:textId="77777777" w:rsidR="00A62CAD" w:rsidRPr="00B46FED" w:rsidRDefault="00A62CAD" w:rsidP="001F0044">
            <w:pPr>
              <w:rPr>
                <w:rFonts w:eastAsia="Calibri" w:cs="Calibri"/>
                <w:b/>
                <w:sz w:val="18"/>
                <w:lang w:val="es-PE"/>
              </w:rPr>
            </w:pPr>
            <w:r w:rsidRPr="00B46FED">
              <w:rPr>
                <w:rFonts w:eastAsia="Calibri" w:cs="Calibri"/>
                <w:b/>
                <w:sz w:val="18"/>
                <w:lang w:val="es-PE"/>
              </w:rPr>
              <w:t>Impacto esperado:</w:t>
            </w:r>
          </w:p>
        </w:tc>
      </w:tr>
      <w:tr w:rsidR="00A62CAD" w:rsidRPr="00B952FD" w14:paraId="1B882142" w14:textId="77777777" w:rsidTr="001F0044">
        <w:tc>
          <w:tcPr>
            <w:tcW w:w="162" w:type="pct"/>
            <w:tcBorders>
              <w:left w:val="single" w:sz="4" w:space="0" w:color="auto"/>
              <w:bottom w:val="single" w:sz="4" w:space="0" w:color="auto"/>
            </w:tcBorders>
          </w:tcPr>
          <w:p w14:paraId="28378C10" w14:textId="77777777" w:rsidR="00A62CAD" w:rsidRPr="00B46FED" w:rsidRDefault="00A62CAD" w:rsidP="001F0044">
            <w:pPr>
              <w:rPr>
                <w:rFonts w:eastAsia="Calibri" w:cs="Calibri"/>
                <w:sz w:val="18"/>
                <w:lang w:val="es-PE"/>
              </w:rPr>
            </w:pPr>
          </w:p>
        </w:tc>
        <w:tc>
          <w:tcPr>
            <w:tcW w:w="3169" w:type="pct"/>
            <w:gridSpan w:val="6"/>
            <w:tcBorders>
              <w:bottom w:val="single" w:sz="4" w:space="0" w:color="auto"/>
              <w:right w:val="single" w:sz="4" w:space="0" w:color="auto"/>
            </w:tcBorders>
          </w:tcPr>
          <w:p w14:paraId="76050BEA" w14:textId="77777777" w:rsidR="00B2136D" w:rsidRDefault="00B2136D" w:rsidP="00705910">
            <w:pPr>
              <w:spacing w:after="120"/>
              <w:jc w:val="both"/>
              <w:rPr>
                <w:rFonts w:eastAsia="Calibri" w:cs="Calibri"/>
                <w:sz w:val="18"/>
                <w:lang w:val="es-BO"/>
              </w:rPr>
            </w:pPr>
            <w:r>
              <w:rPr>
                <w:rFonts w:eastAsia="Calibri" w:cs="Calibri"/>
                <w:sz w:val="18"/>
                <w:lang w:val="es-BO"/>
              </w:rPr>
              <w:t>Solicitar</w:t>
            </w:r>
            <w:r w:rsidR="0005177D" w:rsidRPr="0005177D">
              <w:rPr>
                <w:rFonts w:eastAsia="Calibri" w:cs="Calibri"/>
                <w:sz w:val="18"/>
                <w:lang w:val="es-BO"/>
              </w:rPr>
              <w:t xml:space="preserve"> a la Comisión de Navegación Aérea (ANC) de la OACI qu</w:t>
            </w:r>
            <w:r>
              <w:rPr>
                <w:rFonts w:eastAsia="Calibri" w:cs="Calibri"/>
                <w:sz w:val="18"/>
                <w:lang w:val="es-BO"/>
              </w:rPr>
              <w:t>e se asegure la publicación de la propuesta de Enmienda del Anexo 6 Parte I propuesta por el RASG-PA en el año 2024 y su entrada en vigor en 2027, y que no surjan nuevas postergaciones.</w:t>
            </w:r>
          </w:p>
          <w:p w14:paraId="3AA70280" w14:textId="77777777" w:rsidR="00A62CAD" w:rsidRPr="005879C4" w:rsidRDefault="00B2136D" w:rsidP="00705910">
            <w:pPr>
              <w:spacing w:after="120"/>
              <w:jc w:val="both"/>
              <w:rPr>
                <w:rFonts w:eastAsia="Calibri" w:cs="Calibri"/>
                <w:sz w:val="18"/>
                <w:lang w:val="es-BO"/>
              </w:rPr>
            </w:pPr>
            <w:r>
              <w:rPr>
                <w:rFonts w:eastAsia="Calibri" w:cs="Calibri"/>
                <w:sz w:val="18"/>
                <w:lang w:val="es-BO"/>
              </w:rPr>
              <w:t xml:space="preserve">Adicionalmente, requerir a la ANC que se consideren mecanismos más ágiles que permitan el tratamiento oportuno de las recomendaciones de enmienda de los </w:t>
            </w:r>
            <w:proofErr w:type="spellStart"/>
            <w:r>
              <w:rPr>
                <w:rFonts w:eastAsia="Calibri" w:cs="Calibri"/>
                <w:sz w:val="18"/>
                <w:lang w:val="es-BO"/>
              </w:rPr>
              <w:t>SARPs</w:t>
            </w:r>
            <w:proofErr w:type="spellEnd"/>
            <w:r>
              <w:rPr>
                <w:rFonts w:eastAsia="Calibri" w:cs="Calibri"/>
                <w:sz w:val="18"/>
                <w:lang w:val="es-BO"/>
              </w:rPr>
              <w:t xml:space="preserve"> surgidas en los </w:t>
            </w:r>
            <w:proofErr w:type="spellStart"/>
            <w:r>
              <w:rPr>
                <w:rFonts w:eastAsia="Calibri" w:cs="Calibri"/>
                <w:sz w:val="18"/>
                <w:lang w:val="es-BO"/>
              </w:rPr>
              <w:t>RASGs</w:t>
            </w:r>
            <w:proofErr w:type="spellEnd"/>
            <w:r>
              <w:rPr>
                <w:rFonts w:eastAsia="Calibri" w:cs="Calibri"/>
                <w:sz w:val="18"/>
                <w:lang w:val="es-BO"/>
              </w:rPr>
              <w:t xml:space="preserve">. </w:t>
            </w:r>
          </w:p>
        </w:tc>
        <w:tc>
          <w:tcPr>
            <w:tcW w:w="1669" w:type="pct"/>
            <w:tcBorders>
              <w:left w:val="single" w:sz="4" w:space="0" w:color="auto"/>
              <w:bottom w:val="single" w:sz="4" w:space="0" w:color="auto"/>
              <w:right w:val="single" w:sz="4" w:space="0" w:color="auto"/>
            </w:tcBorders>
          </w:tcPr>
          <w:p w14:paraId="3417B0F5" w14:textId="77777777" w:rsidR="00A62CAD" w:rsidRPr="005879C4" w:rsidRDefault="006F16D7" w:rsidP="001F0044">
            <w:pPr>
              <w:rPr>
                <w:rFonts w:eastAsia="Calibri" w:cs="Calibri"/>
                <w:bCs/>
                <w:sz w:val="18"/>
                <w:lang w:val="es-BO"/>
              </w:rPr>
            </w:pPr>
            <w:sdt>
              <w:sdtPr>
                <w:rPr>
                  <w:rFonts w:eastAsia="Calibri" w:cs="Calibri"/>
                  <w:bCs/>
                  <w:sz w:val="18"/>
                  <w:lang w:val="es-BO"/>
                </w:rPr>
                <w:id w:val="-1296367676"/>
                <w14:checkbox>
                  <w14:checked w14:val="0"/>
                  <w14:checkedState w14:val="2612" w14:font="MS Gothic"/>
                  <w14:uncheckedState w14:val="2610" w14:font="MS Gothic"/>
                </w14:checkbox>
              </w:sdtPr>
              <w:sdtEndPr/>
              <w:sdtContent>
                <w:r w:rsidR="00B952FD">
                  <w:rPr>
                    <w:rFonts w:ascii="MS Gothic" w:eastAsia="MS Gothic" w:hAnsi="MS Gothic" w:cs="Calibri" w:hint="eastAsia"/>
                    <w:bCs/>
                    <w:sz w:val="18"/>
                    <w:lang w:val="es-BO"/>
                  </w:rPr>
                  <w:t>☐</w:t>
                </w:r>
              </w:sdtContent>
            </w:sdt>
            <w:r w:rsidR="00A62CAD" w:rsidRPr="005879C4">
              <w:rPr>
                <w:rFonts w:eastAsia="Calibri" w:cs="Calibri"/>
                <w:bCs/>
                <w:sz w:val="18"/>
                <w:lang w:val="es-BO"/>
              </w:rPr>
              <w:t xml:space="preserve"> Político/Global</w:t>
            </w:r>
          </w:p>
          <w:p w14:paraId="0BEC7349" w14:textId="77777777" w:rsidR="00A62CAD" w:rsidRPr="005879C4" w:rsidRDefault="006F16D7" w:rsidP="001F0044">
            <w:pPr>
              <w:rPr>
                <w:rFonts w:eastAsia="Calibri" w:cs="Calibri"/>
                <w:bCs/>
                <w:sz w:val="18"/>
                <w:lang w:val="es-BO"/>
              </w:rPr>
            </w:pPr>
            <w:sdt>
              <w:sdtPr>
                <w:rPr>
                  <w:rFonts w:eastAsia="Calibri" w:cs="Calibri"/>
                  <w:bCs/>
                  <w:sz w:val="18"/>
                  <w:lang w:val="es-BO"/>
                </w:rPr>
                <w:id w:val="1978956393"/>
                <w14:checkbox>
                  <w14:checked w14:val="1"/>
                  <w14:checkedState w14:val="2612" w14:font="MS Gothic"/>
                  <w14:uncheckedState w14:val="2610" w14:font="MS Gothic"/>
                </w14:checkbox>
              </w:sdtPr>
              <w:sdtEndPr/>
              <w:sdtContent>
                <w:r w:rsidR="00A62CAD">
                  <w:rPr>
                    <w:rFonts w:ascii="MS Gothic" w:eastAsia="MS Gothic" w:hAnsi="MS Gothic" w:cs="Calibri" w:hint="eastAsia"/>
                    <w:bCs/>
                    <w:sz w:val="18"/>
                    <w:lang w:val="es-BO"/>
                  </w:rPr>
                  <w:t>☒</w:t>
                </w:r>
              </w:sdtContent>
            </w:sdt>
            <w:r w:rsidR="00A62CAD" w:rsidRPr="005879C4">
              <w:rPr>
                <w:rFonts w:eastAsia="Calibri" w:cs="Calibri"/>
                <w:bCs/>
                <w:sz w:val="18"/>
                <w:lang w:val="es-BO"/>
              </w:rPr>
              <w:t xml:space="preserve"> Inter-regional</w:t>
            </w:r>
          </w:p>
          <w:p w14:paraId="090F678D" w14:textId="77777777" w:rsidR="00A62CAD" w:rsidRPr="005879C4" w:rsidRDefault="006F16D7" w:rsidP="001F0044">
            <w:pPr>
              <w:rPr>
                <w:rFonts w:eastAsia="Calibri" w:cs="Calibri"/>
                <w:bCs/>
                <w:sz w:val="18"/>
                <w:lang w:val="es-BO"/>
              </w:rPr>
            </w:pPr>
            <w:sdt>
              <w:sdtPr>
                <w:rPr>
                  <w:rFonts w:eastAsia="Calibri" w:cs="Calibri"/>
                  <w:bCs/>
                  <w:sz w:val="18"/>
                  <w:lang w:val="es-BO"/>
                </w:rPr>
                <w:id w:val="1492052040"/>
                <w14:checkbox>
                  <w14:checked w14:val="0"/>
                  <w14:checkedState w14:val="2612" w14:font="MS Gothic"/>
                  <w14:uncheckedState w14:val="2610" w14:font="MS Gothic"/>
                </w14:checkbox>
              </w:sdtPr>
              <w:sdtEndPr/>
              <w:sdtContent>
                <w:r w:rsidR="00A62CAD">
                  <w:rPr>
                    <w:rFonts w:ascii="MS Gothic" w:eastAsia="MS Gothic" w:hAnsi="MS Gothic" w:cs="Calibri" w:hint="eastAsia"/>
                    <w:bCs/>
                    <w:sz w:val="18"/>
                    <w:lang w:val="es-BO"/>
                  </w:rPr>
                  <w:t>☐</w:t>
                </w:r>
              </w:sdtContent>
            </w:sdt>
            <w:r w:rsidR="00A62CAD" w:rsidRPr="005879C4">
              <w:rPr>
                <w:rFonts w:eastAsia="Calibri" w:cs="Calibri"/>
                <w:bCs/>
                <w:sz w:val="18"/>
                <w:lang w:val="es-BO"/>
              </w:rPr>
              <w:t xml:space="preserve"> Económico</w:t>
            </w:r>
          </w:p>
          <w:p w14:paraId="2F045042" w14:textId="77777777" w:rsidR="00A62CAD" w:rsidRPr="005879C4" w:rsidRDefault="006F16D7" w:rsidP="001F0044">
            <w:pPr>
              <w:rPr>
                <w:rFonts w:eastAsia="Calibri" w:cs="Calibri"/>
                <w:bCs/>
                <w:sz w:val="18"/>
                <w:lang w:val="es-BO"/>
              </w:rPr>
            </w:pPr>
            <w:sdt>
              <w:sdtPr>
                <w:rPr>
                  <w:rFonts w:eastAsia="Calibri" w:cs="Calibri"/>
                  <w:bCs/>
                  <w:sz w:val="18"/>
                  <w:lang w:val="es-BO"/>
                </w:rPr>
                <w:id w:val="-2038100814"/>
                <w14:checkbox>
                  <w14:checked w14:val="0"/>
                  <w14:checkedState w14:val="2612" w14:font="MS Gothic"/>
                  <w14:uncheckedState w14:val="2610" w14:font="MS Gothic"/>
                </w14:checkbox>
              </w:sdtPr>
              <w:sdtEndPr/>
              <w:sdtContent>
                <w:r w:rsidR="00A62CAD" w:rsidRPr="005879C4">
                  <w:rPr>
                    <w:rFonts w:ascii="Segoe UI Symbol" w:eastAsia="Calibri" w:hAnsi="Segoe UI Symbol" w:cs="Segoe UI Symbol"/>
                    <w:bCs/>
                    <w:sz w:val="18"/>
                    <w:lang w:val="es-BO"/>
                  </w:rPr>
                  <w:t>☐</w:t>
                </w:r>
              </w:sdtContent>
            </w:sdt>
            <w:r w:rsidR="00A62CAD" w:rsidRPr="005879C4">
              <w:rPr>
                <w:rFonts w:eastAsia="Calibri" w:cs="Calibri"/>
                <w:bCs/>
                <w:sz w:val="18"/>
                <w:lang w:val="es-BO"/>
              </w:rPr>
              <w:t xml:space="preserve"> Ambiental</w:t>
            </w:r>
          </w:p>
          <w:p w14:paraId="5387CB1E" w14:textId="77777777" w:rsidR="00A62CAD" w:rsidRPr="00894F2F" w:rsidRDefault="006F16D7" w:rsidP="001F0044">
            <w:pPr>
              <w:rPr>
                <w:rFonts w:eastAsia="Calibri" w:cs="Calibri"/>
                <w:bCs/>
                <w:sz w:val="18"/>
                <w:lang w:val="es-BO"/>
              </w:rPr>
            </w:pPr>
            <w:sdt>
              <w:sdtPr>
                <w:rPr>
                  <w:rFonts w:eastAsia="Calibri" w:cs="Calibri"/>
                  <w:bCs/>
                  <w:sz w:val="18"/>
                  <w:lang w:val="es-BO"/>
                </w:rPr>
                <w:id w:val="1512798987"/>
                <w14:checkbox>
                  <w14:checked w14:val="1"/>
                  <w14:checkedState w14:val="2612" w14:font="MS Gothic"/>
                  <w14:uncheckedState w14:val="2610" w14:font="MS Gothic"/>
                </w14:checkbox>
              </w:sdtPr>
              <w:sdtEndPr/>
              <w:sdtContent>
                <w:r w:rsidR="00A62CAD" w:rsidRPr="00894F2F">
                  <w:rPr>
                    <w:rFonts w:ascii="Segoe UI Symbol" w:eastAsia="Calibri" w:hAnsi="Segoe UI Symbol" w:cs="Segoe UI Symbol"/>
                    <w:bCs/>
                    <w:sz w:val="18"/>
                    <w:lang w:val="es-BO"/>
                  </w:rPr>
                  <w:t>☒</w:t>
                </w:r>
              </w:sdtContent>
            </w:sdt>
            <w:r w:rsidR="00A62CAD" w:rsidRPr="00894F2F">
              <w:rPr>
                <w:rFonts w:eastAsia="Calibri" w:cs="Calibri"/>
                <w:bCs/>
                <w:sz w:val="18"/>
                <w:lang w:val="es-BO"/>
              </w:rPr>
              <w:t xml:space="preserve"> Operacional/Técnico</w:t>
            </w:r>
          </w:p>
        </w:tc>
      </w:tr>
      <w:tr w:rsidR="00A62CAD" w:rsidRPr="008A682E" w14:paraId="09274163" w14:textId="77777777" w:rsidTr="001F0044">
        <w:trPr>
          <w:trHeight w:val="432"/>
        </w:trPr>
        <w:tc>
          <w:tcPr>
            <w:tcW w:w="5000" w:type="pct"/>
            <w:gridSpan w:val="8"/>
            <w:tcBorders>
              <w:top w:val="single" w:sz="4" w:space="0" w:color="auto"/>
              <w:left w:val="single" w:sz="4" w:space="0" w:color="auto"/>
              <w:bottom w:val="single" w:sz="4" w:space="0" w:color="auto"/>
              <w:right w:val="single" w:sz="4" w:space="0" w:color="auto"/>
            </w:tcBorders>
            <w:vAlign w:val="center"/>
          </w:tcPr>
          <w:p w14:paraId="50708EE8" w14:textId="77777777" w:rsidR="00A62CAD" w:rsidRPr="005879C4" w:rsidRDefault="00A62CAD" w:rsidP="0005177D">
            <w:pPr>
              <w:ind w:left="1019" w:hanging="1019"/>
              <w:rPr>
                <w:rFonts w:eastAsia="Calibri" w:cs="Calibri"/>
                <w:b/>
                <w:sz w:val="18"/>
                <w:lang w:val="es-BO"/>
              </w:rPr>
            </w:pPr>
            <w:r w:rsidRPr="005879C4">
              <w:rPr>
                <w:rFonts w:eastAsia="Calibri" w:cs="Calibri"/>
                <w:b/>
                <w:sz w:val="18"/>
                <w:lang w:val="es-BO"/>
              </w:rPr>
              <w:t xml:space="preserve">Porqué:          </w:t>
            </w:r>
            <w:r>
              <w:rPr>
                <w:rFonts w:eastAsia="Calibri" w:cs="Calibri"/>
                <w:sz w:val="18"/>
                <w:lang w:val="es-BO"/>
              </w:rPr>
              <w:t>Para</w:t>
            </w:r>
            <w:r w:rsidR="00904CF3">
              <w:rPr>
                <w:rFonts w:eastAsia="Calibri" w:cs="Calibri"/>
                <w:sz w:val="18"/>
                <w:lang w:val="es-BO"/>
              </w:rPr>
              <w:t xml:space="preserve"> evitar nuevas postergaciones en la publicación de la enmienda aprobada; y para evitar que los </w:t>
            </w:r>
            <w:proofErr w:type="spellStart"/>
            <w:r w:rsidR="00904CF3">
              <w:rPr>
                <w:rFonts w:eastAsia="Calibri" w:cs="Calibri"/>
                <w:sz w:val="18"/>
                <w:lang w:val="es-BO"/>
              </w:rPr>
              <w:t>RASGs</w:t>
            </w:r>
            <w:proofErr w:type="spellEnd"/>
            <w:r w:rsidR="00904CF3">
              <w:rPr>
                <w:rFonts w:eastAsia="Calibri" w:cs="Calibri"/>
                <w:sz w:val="18"/>
                <w:lang w:val="es-BO"/>
              </w:rPr>
              <w:t xml:space="preserve"> dejen de considerar la propuesta de enmienda de los </w:t>
            </w:r>
            <w:proofErr w:type="spellStart"/>
            <w:r w:rsidR="00904CF3">
              <w:rPr>
                <w:rFonts w:eastAsia="Calibri" w:cs="Calibri"/>
                <w:sz w:val="18"/>
                <w:lang w:val="es-BO"/>
              </w:rPr>
              <w:t>SARPs</w:t>
            </w:r>
            <w:proofErr w:type="spellEnd"/>
            <w:r w:rsidR="00904CF3">
              <w:rPr>
                <w:rFonts w:eastAsia="Calibri" w:cs="Calibri"/>
                <w:sz w:val="18"/>
                <w:lang w:val="es-BO"/>
              </w:rPr>
              <w:t xml:space="preserve"> como un mecanismo válido y eficiente para la mejora de la seguridad operacional a nivel global.  </w:t>
            </w:r>
            <w:r>
              <w:rPr>
                <w:rFonts w:eastAsia="Calibri" w:cs="Calibri"/>
                <w:sz w:val="18"/>
                <w:lang w:val="es-BO"/>
              </w:rPr>
              <w:t xml:space="preserve"> </w:t>
            </w:r>
          </w:p>
        </w:tc>
      </w:tr>
      <w:tr w:rsidR="00A62CAD" w:rsidRPr="0005177D" w14:paraId="7BB43C24" w14:textId="77777777" w:rsidTr="001F0044">
        <w:trPr>
          <w:trHeight w:val="432"/>
        </w:trPr>
        <w:tc>
          <w:tcPr>
            <w:tcW w:w="565" w:type="pct"/>
            <w:gridSpan w:val="2"/>
            <w:tcBorders>
              <w:top w:val="single" w:sz="4" w:space="0" w:color="auto"/>
              <w:left w:val="single" w:sz="4" w:space="0" w:color="auto"/>
              <w:bottom w:val="single" w:sz="4" w:space="0" w:color="auto"/>
            </w:tcBorders>
            <w:vAlign w:val="center"/>
          </w:tcPr>
          <w:p w14:paraId="4204240B" w14:textId="77777777" w:rsidR="00A62CAD" w:rsidRPr="00904CF3" w:rsidRDefault="00A62CAD" w:rsidP="001F0044">
            <w:pPr>
              <w:rPr>
                <w:rFonts w:eastAsia="Calibri" w:cs="Calibri"/>
                <w:b/>
                <w:sz w:val="18"/>
                <w:lang w:val="es-PE"/>
              </w:rPr>
            </w:pPr>
            <w:r w:rsidRPr="00904CF3">
              <w:rPr>
                <w:rFonts w:eastAsia="Calibri" w:cs="Calibri"/>
                <w:b/>
                <w:sz w:val="18"/>
                <w:lang w:val="es-PE"/>
              </w:rPr>
              <w:t>Cuándo:</w:t>
            </w:r>
          </w:p>
        </w:tc>
        <w:tc>
          <w:tcPr>
            <w:tcW w:w="1794" w:type="pct"/>
            <w:gridSpan w:val="2"/>
            <w:tcBorders>
              <w:top w:val="single" w:sz="4" w:space="0" w:color="auto"/>
              <w:bottom w:val="single" w:sz="4" w:space="0" w:color="auto"/>
              <w:right w:val="single" w:sz="4" w:space="0" w:color="auto"/>
            </w:tcBorders>
            <w:vAlign w:val="center"/>
          </w:tcPr>
          <w:p w14:paraId="33E792DD" w14:textId="77777777" w:rsidR="00A62CAD" w:rsidRPr="003C140B" w:rsidRDefault="0005177D" w:rsidP="001F0044">
            <w:pPr>
              <w:rPr>
                <w:rFonts w:eastAsia="Calibri" w:cs="Calibri"/>
                <w:b/>
                <w:sz w:val="18"/>
                <w:lang w:val="es-BO"/>
              </w:rPr>
            </w:pPr>
            <w:r>
              <w:rPr>
                <w:rFonts w:eastAsia="Calibri" w:cs="Calibri"/>
                <w:sz w:val="18"/>
                <w:lang w:val="es-BO"/>
              </w:rPr>
              <w:t xml:space="preserve">Como parte del próximo informe anual de los </w:t>
            </w:r>
            <w:proofErr w:type="spellStart"/>
            <w:r>
              <w:rPr>
                <w:rFonts w:eastAsia="Calibri" w:cs="Calibri"/>
                <w:sz w:val="18"/>
                <w:lang w:val="es-BO"/>
              </w:rPr>
              <w:t>RASGs</w:t>
            </w:r>
            <w:proofErr w:type="spellEnd"/>
            <w:r>
              <w:rPr>
                <w:rFonts w:eastAsia="Calibri" w:cs="Calibri"/>
                <w:sz w:val="18"/>
                <w:lang w:val="es-BO"/>
              </w:rPr>
              <w:t xml:space="preserve"> a la ANC. </w:t>
            </w:r>
            <w:r w:rsidR="001461B3">
              <w:rPr>
                <w:rFonts w:eastAsia="Calibri" w:cs="Calibri"/>
                <w:sz w:val="18"/>
                <w:lang w:val="es-BO"/>
              </w:rPr>
              <w:t xml:space="preserve"> </w:t>
            </w:r>
          </w:p>
        </w:tc>
        <w:tc>
          <w:tcPr>
            <w:tcW w:w="566" w:type="pct"/>
            <w:gridSpan w:val="2"/>
            <w:tcBorders>
              <w:top w:val="single" w:sz="4" w:space="0" w:color="auto"/>
              <w:left w:val="single" w:sz="4" w:space="0" w:color="auto"/>
              <w:bottom w:val="single" w:sz="4" w:space="0" w:color="auto"/>
            </w:tcBorders>
            <w:vAlign w:val="center"/>
          </w:tcPr>
          <w:p w14:paraId="55F9EC18" w14:textId="77777777" w:rsidR="00A62CAD" w:rsidRPr="00894F2F" w:rsidRDefault="00A62CAD" w:rsidP="001F0044">
            <w:pPr>
              <w:rPr>
                <w:rFonts w:eastAsia="Calibri" w:cs="Calibri"/>
                <w:b/>
                <w:sz w:val="18"/>
                <w:lang w:val="es-BO"/>
              </w:rPr>
            </w:pPr>
            <w:r w:rsidRPr="00894F2F">
              <w:rPr>
                <w:rFonts w:eastAsia="Calibri" w:cs="Calibri"/>
                <w:b/>
                <w:sz w:val="18"/>
                <w:lang w:val="es-BO"/>
              </w:rPr>
              <w:t>Estado:</w:t>
            </w:r>
          </w:p>
        </w:tc>
        <w:tc>
          <w:tcPr>
            <w:tcW w:w="2075" w:type="pct"/>
            <w:gridSpan w:val="2"/>
            <w:tcBorders>
              <w:top w:val="single" w:sz="4" w:space="0" w:color="auto"/>
              <w:bottom w:val="single" w:sz="4" w:space="0" w:color="auto"/>
              <w:right w:val="single" w:sz="4" w:space="0" w:color="auto"/>
            </w:tcBorders>
            <w:vAlign w:val="center"/>
          </w:tcPr>
          <w:p w14:paraId="6FE33D51" w14:textId="77777777" w:rsidR="00A62CAD" w:rsidRPr="00894F2F" w:rsidRDefault="00A62CAD" w:rsidP="001F0044">
            <w:pPr>
              <w:ind w:left="-9"/>
              <w:rPr>
                <w:rFonts w:eastAsia="Calibri" w:cs="Calibri"/>
                <w:sz w:val="18"/>
                <w:lang w:val="es-BO"/>
              </w:rPr>
            </w:pPr>
            <w:r w:rsidRPr="00894F2F">
              <w:rPr>
                <w:rFonts w:eastAsia="MS Gothic" w:cs="Calibri"/>
                <w:bCs/>
                <w:sz w:val="18"/>
                <w:lang w:val="es-BO"/>
              </w:rPr>
              <w:t>Válido</w:t>
            </w:r>
          </w:p>
        </w:tc>
      </w:tr>
      <w:tr w:rsidR="00A62CAD" w:rsidRPr="0005177D" w14:paraId="65554A0D" w14:textId="77777777" w:rsidTr="001F0044">
        <w:trPr>
          <w:trHeight w:val="432"/>
        </w:trPr>
        <w:tc>
          <w:tcPr>
            <w:tcW w:w="565" w:type="pct"/>
            <w:gridSpan w:val="2"/>
            <w:tcBorders>
              <w:top w:val="single" w:sz="4" w:space="0" w:color="auto"/>
              <w:left w:val="single" w:sz="4" w:space="0" w:color="auto"/>
              <w:bottom w:val="single" w:sz="4" w:space="0" w:color="auto"/>
            </w:tcBorders>
            <w:vAlign w:val="center"/>
          </w:tcPr>
          <w:p w14:paraId="4C742AB0" w14:textId="77777777" w:rsidR="00A62CAD" w:rsidRPr="00894F2F" w:rsidRDefault="00A62CAD" w:rsidP="001F0044">
            <w:pPr>
              <w:rPr>
                <w:rFonts w:eastAsia="Calibri" w:cs="Calibri"/>
                <w:b/>
                <w:sz w:val="18"/>
                <w:lang w:val="es-BO"/>
              </w:rPr>
            </w:pPr>
            <w:r>
              <w:rPr>
                <w:rFonts w:eastAsia="Calibri" w:cs="Calibri"/>
                <w:b/>
                <w:sz w:val="18"/>
                <w:lang w:val="es-BO"/>
              </w:rPr>
              <w:t>Quié</w:t>
            </w:r>
            <w:r w:rsidRPr="00894F2F">
              <w:rPr>
                <w:rFonts w:eastAsia="Calibri" w:cs="Calibri"/>
                <w:b/>
                <w:sz w:val="18"/>
                <w:lang w:val="es-BO"/>
              </w:rPr>
              <w:t>n:</w:t>
            </w:r>
          </w:p>
        </w:tc>
        <w:tc>
          <w:tcPr>
            <w:tcW w:w="2218" w:type="pct"/>
            <w:gridSpan w:val="3"/>
            <w:tcBorders>
              <w:top w:val="single" w:sz="4" w:space="0" w:color="auto"/>
              <w:bottom w:val="single" w:sz="4" w:space="0" w:color="auto"/>
              <w:right w:val="single" w:sz="4" w:space="0" w:color="auto"/>
            </w:tcBorders>
            <w:vAlign w:val="center"/>
          </w:tcPr>
          <w:p w14:paraId="1F967449" w14:textId="77777777" w:rsidR="00A62CAD" w:rsidRPr="001461B3" w:rsidRDefault="00A62CAD" w:rsidP="0005177D">
            <w:pPr>
              <w:ind w:left="-9"/>
              <w:rPr>
                <w:rFonts w:eastAsia="Calibri" w:cs="Calibri"/>
                <w:bCs/>
                <w:sz w:val="18"/>
                <w:lang w:val="es-PE"/>
              </w:rPr>
            </w:pPr>
            <w:r w:rsidRPr="001461B3">
              <w:rPr>
                <w:rFonts w:eastAsia="Calibri" w:cs="Calibri"/>
                <w:bCs/>
                <w:sz w:val="18"/>
                <w:lang w:val="es-PE"/>
              </w:rPr>
              <w:t xml:space="preserve"> </w:t>
            </w:r>
            <w:sdt>
              <w:sdtPr>
                <w:rPr>
                  <w:rFonts w:eastAsia="Calibri" w:cs="Calibri"/>
                  <w:bCs/>
                  <w:sz w:val="18"/>
                  <w:lang w:val="es-PE"/>
                </w:rPr>
                <w:id w:val="1679464931"/>
                <w14:checkbox>
                  <w14:checked w14:val="1"/>
                  <w14:checkedState w14:val="2612" w14:font="MS Gothic"/>
                  <w14:uncheckedState w14:val="2610" w14:font="MS Gothic"/>
                </w14:checkbox>
              </w:sdtPr>
              <w:sdtEndPr/>
              <w:sdtContent>
                <w:r w:rsidR="001461B3" w:rsidRPr="001461B3">
                  <w:rPr>
                    <w:rFonts w:ascii="MS Gothic" w:eastAsia="MS Gothic" w:hAnsi="MS Gothic" w:cs="Calibri" w:hint="eastAsia"/>
                    <w:bCs/>
                    <w:sz w:val="18"/>
                    <w:lang w:val="es-PE"/>
                  </w:rPr>
                  <w:t>☒</w:t>
                </w:r>
              </w:sdtContent>
            </w:sdt>
            <w:r w:rsidRPr="001461B3">
              <w:rPr>
                <w:rFonts w:eastAsia="Calibri" w:cs="Calibri"/>
                <w:bCs/>
                <w:sz w:val="18"/>
                <w:lang w:val="es-PE"/>
              </w:rPr>
              <w:t xml:space="preserve"> </w:t>
            </w:r>
            <w:r w:rsidR="0005177D">
              <w:rPr>
                <w:rFonts w:eastAsia="Calibri" w:cs="Calibri"/>
                <w:bCs/>
                <w:sz w:val="18"/>
                <w:lang w:val="es-PE"/>
              </w:rPr>
              <w:t>Secretaría</w:t>
            </w:r>
          </w:p>
        </w:tc>
        <w:tc>
          <w:tcPr>
            <w:tcW w:w="2218" w:type="pct"/>
            <w:gridSpan w:val="3"/>
            <w:tcBorders>
              <w:top w:val="single" w:sz="4" w:space="0" w:color="auto"/>
              <w:bottom w:val="single" w:sz="4" w:space="0" w:color="auto"/>
              <w:right w:val="single" w:sz="4" w:space="0" w:color="auto"/>
            </w:tcBorders>
            <w:vAlign w:val="center"/>
          </w:tcPr>
          <w:p w14:paraId="69F7DFE5" w14:textId="77777777" w:rsidR="00A62CAD" w:rsidRPr="00A01B25" w:rsidRDefault="00A62CAD" w:rsidP="0005177D">
            <w:pPr>
              <w:ind w:left="-9"/>
              <w:rPr>
                <w:rFonts w:eastAsia="Calibri" w:cs="Calibri"/>
                <w:sz w:val="18"/>
                <w:lang w:val="es-BO"/>
              </w:rPr>
            </w:pPr>
            <w:r w:rsidRPr="00A01B25">
              <w:rPr>
                <w:rFonts w:eastAsia="Calibri" w:cs="Calibri"/>
                <w:b/>
                <w:sz w:val="18"/>
                <w:lang w:val="es-BO"/>
              </w:rPr>
              <w:t>Responsable</w:t>
            </w:r>
            <w:r>
              <w:rPr>
                <w:rFonts w:eastAsia="Calibri" w:cs="Calibri"/>
                <w:b/>
                <w:sz w:val="18"/>
                <w:lang w:val="es-BO"/>
              </w:rPr>
              <w:t>s</w:t>
            </w:r>
            <w:r w:rsidRPr="00A01B25">
              <w:rPr>
                <w:rFonts w:eastAsia="Calibri" w:cs="Calibri"/>
                <w:sz w:val="18"/>
                <w:lang w:val="es-BO"/>
              </w:rPr>
              <w:t xml:space="preserve">: </w:t>
            </w:r>
            <w:r w:rsidR="0005177D">
              <w:rPr>
                <w:rFonts w:eastAsia="Calibri" w:cs="Calibri"/>
                <w:sz w:val="18"/>
                <w:lang w:val="es-BO"/>
              </w:rPr>
              <w:t>Javier Puente</w:t>
            </w:r>
            <w:r w:rsidR="001461B3">
              <w:rPr>
                <w:rFonts w:eastAsia="Calibri" w:cs="Calibri"/>
                <w:sz w:val="18"/>
                <w:lang w:val="es-BO"/>
              </w:rPr>
              <w:t xml:space="preserve"> </w:t>
            </w:r>
          </w:p>
        </w:tc>
      </w:tr>
    </w:tbl>
    <w:p w14:paraId="1AFA99FD" w14:textId="77777777" w:rsidR="008A682E" w:rsidRDefault="001F0044" w:rsidP="001F0044">
      <w:pPr>
        <w:tabs>
          <w:tab w:val="left" w:pos="1440"/>
        </w:tabs>
        <w:spacing w:before="240" w:after="120"/>
        <w:jc w:val="both"/>
        <w:rPr>
          <w:rFonts w:asciiTheme="minorHAnsi" w:hAnsiTheme="minorHAnsi"/>
          <w:lang w:val="es-ES_tradnl"/>
        </w:rPr>
      </w:pPr>
      <w:r>
        <w:rPr>
          <w:rFonts w:asciiTheme="minorHAnsi" w:hAnsiTheme="minorHAnsi"/>
          <w:lang w:val="es-ES_tradnl"/>
        </w:rPr>
        <w:t>3.2</w:t>
      </w:r>
      <w:r>
        <w:rPr>
          <w:rFonts w:asciiTheme="minorHAnsi" w:hAnsiTheme="minorHAnsi"/>
          <w:lang w:val="es-ES_tradnl"/>
        </w:rPr>
        <w:tab/>
      </w:r>
      <w:r w:rsidRPr="001F0044">
        <w:rPr>
          <w:rFonts w:asciiTheme="minorHAnsi" w:hAnsiTheme="minorHAnsi"/>
          <w:lang w:val="es-ES_tradnl"/>
        </w:rPr>
        <w:t>Con relación al Fortalecimiento de la gobernanza de las Autoridades de Aviación Civil, al</w:t>
      </w:r>
      <w:r>
        <w:rPr>
          <w:rFonts w:asciiTheme="minorHAnsi" w:hAnsiTheme="minorHAnsi"/>
          <w:lang w:val="es-ES_tradnl"/>
        </w:rPr>
        <w:t xml:space="preserve"> que se refiere </w:t>
      </w:r>
      <w:r w:rsidR="00D0513B">
        <w:rPr>
          <w:rFonts w:asciiTheme="minorHAnsi" w:hAnsiTheme="minorHAnsi"/>
          <w:lang w:val="es-ES_tradnl"/>
        </w:rPr>
        <w:t>ª la sección 2.3</w:t>
      </w:r>
      <w:r w:rsidRPr="001F0044">
        <w:rPr>
          <w:rFonts w:asciiTheme="minorHAnsi" w:hAnsiTheme="minorHAnsi"/>
          <w:lang w:val="es-ES_tradnl"/>
        </w:rPr>
        <w:t xml:space="preserve">, se propone la siguiente conclusión dirigida a la </w:t>
      </w:r>
      <w:r w:rsidR="005670C9">
        <w:rPr>
          <w:rFonts w:asciiTheme="minorHAnsi" w:hAnsiTheme="minorHAnsi"/>
          <w:lang w:val="es-ES_tradnl"/>
        </w:rPr>
        <w:t>ANC</w:t>
      </w:r>
      <w:r w:rsidRPr="001F0044">
        <w:rPr>
          <w:rFonts w:asciiTheme="minorHAnsi" w:hAnsiTheme="minorHAnsi"/>
          <w:lang w:val="es-ES_tradnl"/>
        </w:rPr>
        <w:t>:</w:t>
      </w:r>
    </w:p>
    <w:p w14:paraId="1406CA37" w14:textId="30FDFDB3" w:rsidR="001F0044" w:rsidRDefault="001F0044" w:rsidP="001F0044">
      <w:pPr>
        <w:tabs>
          <w:tab w:val="left" w:pos="1440"/>
        </w:tabs>
        <w:spacing w:before="240" w:after="120"/>
        <w:jc w:val="both"/>
        <w:rPr>
          <w:rFonts w:asciiTheme="minorHAnsi" w:hAnsiTheme="minorHAnsi"/>
          <w:lang w:val="es-ES_tradnl"/>
        </w:rPr>
      </w:pPr>
      <w:r>
        <w:rPr>
          <w:rFonts w:asciiTheme="minorHAnsi" w:hAnsiTheme="minorHAnsi"/>
          <w:lang w:val="es-ES_tradnl"/>
        </w:rPr>
        <w:tab/>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
        <w:gridCol w:w="755"/>
        <w:gridCol w:w="2237"/>
        <w:gridCol w:w="1118"/>
        <w:gridCol w:w="793"/>
        <w:gridCol w:w="266"/>
        <w:gridCol w:w="759"/>
        <w:gridCol w:w="3121"/>
      </w:tblGrid>
      <w:tr w:rsidR="0005177D" w:rsidRPr="008A682E" w14:paraId="51DB317E" w14:textId="77777777" w:rsidTr="001F0044">
        <w:trPr>
          <w:trHeight w:val="288"/>
        </w:trPr>
        <w:tc>
          <w:tcPr>
            <w:tcW w:w="1761" w:type="pct"/>
            <w:gridSpan w:val="3"/>
            <w:tcBorders>
              <w:top w:val="single" w:sz="4" w:space="0" w:color="auto"/>
              <w:left w:val="single" w:sz="4" w:space="0" w:color="auto"/>
              <w:bottom w:val="single" w:sz="4" w:space="0" w:color="auto"/>
            </w:tcBorders>
            <w:shd w:val="clear" w:color="auto" w:fill="D9D9D9"/>
          </w:tcPr>
          <w:p w14:paraId="63884C43" w14:textId="77777777" w:rsidR="0005177D" w:rsidRPr="005879C4" w:rsidRDefault="0005177D" w:rsidP="001F0044">
            <w:pPr>
              <w:rPr>
                <w:rFonts w:eastAsia="Calibri" w:cs="Calibri"/>
                <w:b/>
                <w:sz w:val="18"/>
                <w:lang w:val="es-PE"/>
              </w:rPr>
            </w:pPr>
            <w:r>
              <w:rPr>
                <w:rFonts w:eastAsia="Calibri" w:cs="Calibri"/>
                <w:b/>
                <w:sz w:val="18"/>
                <w:lang w:val="es-PE"/>
              </w:rPr>
              <w:t>CONCLUSION</w:t>
            </w:r>
          </w:p>
          <w:p w14:paraId="7EE28D96" w14:textId="77777777" w:rsidR="0005177D" w:rsidRPr="005879C4" w:rsidRDefault="0005177D" w:rsidP="001F0044">
            <w:pPr>
              <w:rPr>
                <w:rFonts w:eastAsia="Calibri" w:cs="Calibri"/>
                <w:b/>
                <w:sz w:val="18"/>
                <w:lang w:val="es-PE"/>
              </w:rPr>
            </w:pPr>
            <w:r>
              <w:rPr>
                <w:rFonts w:eastAsia="Calibri" w:cs="Calibri"/>
                <w:b/>
                <w:sz w:val="18"/>
                <w:lang w:val="es-PE"/>
              </w:rPr>
              <w:t>RASG-PA-12/CX/2022</w:t>
            </w:r>
          </w:p>
        </w:tc>
        <w:tc>
          <w:tcPr>
            <w:tcW w:w="3239" w:type="pct"/>
            <w:gridSpan w:val="5"/>
            <w:tcBorders>
              <w:top w:val="single" w:sz="4" w:space="0" w:color="auto"/>
              <w:bottom w:val="single" w:sz="4" w:space="0" w:color="auto"/>
              <w:right w:val="single" w:sz="4" w:space="0" w:color="auto"/>
            </w:tcBorders>
            <w:shd w:val="clear" w:color="auto" w:fill="D9D9D9"/>
          </w:tcPr>
          <w:p w14:paraId="545EBF3C" w14:textId="77777777" w:rsidR="0005177D" w:rsidRPr="005879C4" w:rsidRDefault="00F008DF" w:rsidP="001F0044">
            <w:pPr>
              <w:jc w:val="center"/>
              <w:rPr>
                <w:rFonts w:eastAsia="Calibri" w:cs="Calibri"/>
                <w:b/>
                <w:sz w:val="18"/>
                <w:highlight w:val="yellow"/>
                <w:lang w:val="es-BO"/>
              </w:rPr>
            </w:pPr>
            <w:r>
              <w:rPr>
                <w:rFonts w:eastAsia="Calibri" w:cs="Calibri"/>
                <w:b/>
                <w:sz w:val="18"/>
                <w:lang w:val="es-BO"/>
              </w:rPr>
              <w:t xml:space="preserve">FORTALECIMIENTO DE LA GOBERNANZA DE LAS </w:t>
            </w:r>
            <w:proofErr w:type="spellStart"/>
            <w:r>
              <w:rPr>
                <w:rFonts w:eastAsia="Calibri" w:cs="Calibri"/>
                <w:b/>
                <w:sz w:val="18"/>
                <w:lang w:val="es-BO"/>
              </w:rPr>
              <w:t>AACs</w:t>
            </w:r>
            <w:proofErr w:type="spellEnd"/>
            <w:r>
              <w:rPr>
                <w:rFonts w:eastAsia="Calibri" w:cs="Calibri"/>
                <w:b/>
                <w:sz w:val="18"/>
                <w:lang w:val="es-BO"/>
              </w:rPr>
              <w:t xml:space="preserve"> </w:t>
            </w:r>
            <w:r w:rsidR="0005177D">
              <w:rPr>
                <w:rFonts w:eastAsia="Calibri" w:cs="Calibri"/>
                <w:b/>
                <w:sz w:val="18"/>
                <w:lang w:val="es-BO"/>
              </w:rPr>
              <w:t xml:space="preserve">  </w:t>
            </w:r>
          </w:p>
        </w:tc>
      </w:tr>
      <w:tr w:rsidR="0005177D" w:rsidRPr="00D0513B" w14:paraId="1B3F800C" w14:textId="77777777" w:rsidTr="001F0044">
        <w:trPr>
          <w:trHeight w:val="432"/>
        </w:trPr>
        <w:tc>
          <w:tcPr>
            <w:tcW w:w="3331" w:type="pct"/>
            <w:gridSpan w:val="7"/>
            <w:tcBorders>
              <w:top w:val="single" w:sz="4" w:space="0" w:color="auto"/>
              <w:left w:val="single" w:sz="4" w:space="0" w:color="auto"/>
              <w:right w:val="single" w:sz="4" w:space="0" w:color="auto"/>
            </w:tcBorders>
            <w:vAlign w:val="center"/>
          </w:tcPr>
          <w:p w14:paraId="6106A0AA" w14:textId="77777777" w:rsidR="0005177D" w:rsidRPr="00B46FED" w:rsidRDefault="0005177D" w:rsidP="001F0044">
            <w:pPr>
              <w:rPr>
                <w:rFonts w:eastAsia="Calibri" w:cs="Calibri"/>
                <w:b/>
                <w:sz w:val="18"/>
                <w:lang w:val="es-PE"/>
              </w:rPr>
            </w:pPr>
            <w:r w:rsidRPr="00B46FED">
              <w:rPr>
                <w:rFonts w:eastAsia="Calibri" w:cs="Calibri"/>
                <w:b/>
                <w:sz w:val="18"/>
                <w:lang w:val="es-PE"/>
              </w:rPr>
              <w:t>Qué:</w:t>
            </w:r>
          </w:p>
        </w:tc>
        <w:tc>
          <w:tcPr>
            <w:tcW w:w="1669" w:type="pct"/>
            <w:tcBorders>
              <w:top w:val="single" w:sz="4" w:space="0" w:color="auto"/>
              <w:left w:val="single" w:sz="4" w:space="0" w:color="auto"/>
              <w:right w:val="single" w:sz="4" w:space="0" w:color="auto"/>
            </w:tcBorders>
            <w:vAlign w:val="center"/>
          </w:tcPr>
          <w:p w14:paraId="564E7731" w14:textId="77777777" w:rsidR="0005177D" w:rsidRPr="00B46FED" w:rsidRDefault="0005177D" w:rsidP="001F0044">
            <w:pPr>
              <w:rPr>
                <w:rFonts w:eastAsia="Calibri" w:cs="Calibri"/>
                <w:b/>
                <w:sz w:val="18"/>
                <w:lang w:val="es-PE"/>
              </w:rPr>
            </w:pPr>
            <w:r w:rsidRPr="00B46FED">
              <w:rPr>
                <w:rFonts w:eastAsia="Calibri" w:cs="Calibri"/>
                <w:b/>
                <w:sz w:val="18"/>
                <w:lang w:val="es-PE"/>
              </w:rPr>
              <w:t>Impacto esperado:</w:t>
            </w:r>
          </w:p>
        </w:tc>
      </w:tr>
      <w:tr w:rsidR="0005177D" w:rsidRPr="005C1623" w14:paraId="6231959B" w14:textId="77777777" w:rsidTr="00F008DF">
        <w:tc>
          <w:tcPr>
            <w:tcW w:w="161" w:type="pct"/>
            <w:tcBorders>
              <w:left w:val="single" w:sz="4" w:space="0" w:color="auto"/>
              <w:bottom w:val="single" w:sz="4" w:space="0" w:color="auto"/>
            </w:tcBorders>
          </w:tcPr>
          <w:p w14:paraId="6E201FC1" w14:textId="77777777" w:rsidR="0005177D" w:rsidRPr="00B46FED" w:rsidRDefault="0005177D" w:rsidP="001F0044">
            <w:pPr>
              <w:rPr>
                <w:rFonts w:eastAsia="Calibri" w:cs="Calibri"/>
                <w:sz w:val="18"/>
                <w:lang w:val="es-PE"/>
              </w:rPr>
            </w:pPr>
          </w:p>
        </w:tc>
        <w:tc>
          <w:tcPr>
            <w:tcW w:w="3170" w:type="pct"/>
            <w:gridSpan w:val="6"/>
            <w:tcBorders>
              <w:bottom w:val="single" w:sz="4" w:space="0" w:color="auto"/>
              <w:right w:val="single" w:sz="4" w:space="0" w:color="auto"/>
            </w:tcBorders>
          </w:tcPr>
          <w:p w14:paraId="616F0F52" w14:textId="77777777" w:rsidR="0005177D" w:rsidRPr="005879C4" w:rsidRDefault="005C1623" w:rsidP="008A682E">
            <w:pPr>
              <w:spacing w:after="120"/>
              <w:jc w:val="both"/>
              <w:rPr>
                <w:rFonts w:eastAsia="Calibri" w:cs="Calibri"/>
                <w:sz w:val="18"/>
                <w:lang w:val="es-BO"/>
              </w:rPr>
            </w:pPr>
            <w:r>
              <w:rPr>
                <w:rFonts w:eastAsia="Calibri" w:cs="Calibri"/>
                <w:sz w:val="18"/>
                <w:lang w:val="es-BO"/>
              </w:rPr>
              <w:t>L</w:t>
            </w:r>
            <w:r w:rsidR="001F0044">
              <w:rPr>
                <w:rFonts w:eastAsia="Calibri" w:cs="Calibri"/>
                <w:sz w:val="18"/>
                <w:lang w:val="es-BO"/>
              </w:rPr>
              <w:t xml:space="preserve">a OACI </w:t>
            </w:r>
            <w:r w:rsidR="00171B1D">
              <w:rPr>
                <w:rFonts w:eastAsia="Calibri" w:cs="Calibri"/>
                <w:sz w:val="18"/>
                <w:lang w:val="es-BO"/>
              </w:rPr>
              <w:t xml:space="preserve">enmiende </w:t>
            </w:r>
            <w:r>
              <w:rPr>
                <w:rFonts w:eastAsia="Calibri" w:cs="Calibri"/>
                <w:sz w:val="18"/>
                <w:lang w:val="es-BO"/>
              </w:rPr>
              <w:t xml:space="preserve">material guía del Doc. 9734 Parte A </w:t>
            </w:r>
            <w:r w:rsidR="00171B1D">
              <w:rPr>
                <w:rFonts w:eastAsia="Calibri" w:cs="Calibri"/>
                <w:sz w:val="18"/>
                <w:lang w:val="es-BO"/>
              </w:rPr>
              <w:t xml:space="preserve">y posteriormente incorpore </w:t>
            </w:r>
            <w:r w:rsidR="001F0044">
              <w:rPr>
                <w:rFonts w:eastAsia="Calibri" w:cs="Calibri"/>
                <w:sz w:val="18"/>
                <w:lang w:val="es-BO"/>
              </w:rPr>
              <w:t xml:space="preserve">Preguntas de Protocolo en las áreas de LEG y ORG que permitan medir los niveles de gobernanza y fortaleza institucionales de las Autoridades de Aviación Civil.  </w:t>
            </w:r>
          </w:p>
        </w:tc>
        <w:tc>
          <w:tcPr>
            <w:tcW w:w="1669" w:type="pct"/>
            <w:tcBorders>
              <w:left w:val="single" w:sz="4" w:space="0" w:color="auto"/>
              <w:bottom w:val="single" w:sz="4" w:space="0" w:color="auto"/>
              <w:right w:val="single" w:sz="4" w:space="0" w:color="auto"/>
            </w:tcBorders>
          </w:tcPr>
          <w:p w14:paraId="7CAB9F51" w14:textId="77777777" w:rsidR="0005177D" w:rsidRPr="005879C4" w:rsidRDefault="006F16D7" w:rsidP="001F0044">
            <w:pPr>
              <w:rPr>
                <w:rFonts w:eastAsia="Calibri" w:cs="Calibri"/>
                <w:bCs/>
                <w:sz w:val="18"/>
                <w:lang w:val="es-BO"/>
              </w:rPr>
            </w:pPr>
            <w:sdt>
              <w:sdtPr>
                <w:rPr>
                  <w:rFonts w:eastAsia="Calibri" w:cs="Calibri"/>
                  <w:bCs/>
                  <w:sz w:val="18"/>
                  <w:lang w:val="es-BO"/>
                </w:rPr>
                <w:id w:val="588115946"/>
                <w14:checkbox>
                  <w14:checked w14:val="1"/>
                  <w14:checkedState w14:val="2612" w14:font="MS Gothic"/>
                  <w14:uncheckedState w14:val="2610" w14:font="MS Gothic"/>
                </w14:checkbox>
              </w:sdtPr>
              <w:sdtEndPr/>
              <w:sdtContent>
                <w:r w:rsidR="001F0044">
                  <w:rPr>
                    <w:rFonts w:ascii="MS Gothic" w:eastAsia="MS Gothic" w:hAnsi="MS Gothic" w:cs="Calibri" w:hint="eastAsia"/>
                    <w:bCs/>
                    <w:sz w:val="18"/>
                    <w:lang w:val="es-BO"/>
                  </w:rPr>
                  <w:t>☒</w:t>
                </w:r>
              </w:sdtContent>
            </w:sdt>
            <w:r w:rsidR="0005177D" w:rsidRPr="005879C4">
              <w:rPr>
                <w:rFonts w:eastAsia="Calibri" w:cs="Calibri"/>
                <w:bCs/>
                <w:sz w:val="18"/>
                <w:lang w:val="es-BO"/>
              </w:rPr>
              <w:t xml:space="preserve"> Político/Global</w:t>
            </w:r>
          </w:p>
          <w:p w14:paraId="5F0BE128" w14:textId="77777777" w:rsidR="0005177D" w:rsidRPr="005879C4" w:rsidRDefault="006F16D7" w:rsidP="001F0044">
            <w:pPr>
              <w:rPr>
                <w:rFonts w:eastAsia="Calibri" w:cs="Calibri"/>
                <w:bCs/>
                <w:sz w:val="18"/>
                <w:lang w:val="es-BO"/>
              </w:rPr>
            </w:pPr>
            <w:sdt>
              <w:sdtPr>
                <w:rPr>
                  <w:rFonts w:eastAsia="Calibri" w:cs="Calibri"/>
                  <w:bCs/>
                  <w:sz w:val="18"/>
                  <w:lang w:val="es-BO"/>
                </w:rPr>
                <w:id w:val="1272281095"/>
                <w14:checkbox>
                  <w14:checked w14:val="1"/>
                  <w14:checkedState w14:val="2612" w14:font="MS Gothic"/>
                  <w14:uncheckedState w14:val="2610" w14:font="MS Gothic"/>
                </w14:checkbox>
              </w:sdtPr>
              <w:sdtEndPr/>
              <w:sdtContent>
                <w:r w:rsidR="0005177D">
                  <w:rPr>
                    <w:rFonts w:ascii="MS Gothic" w:eastAsia="MS Gothic" w:hAnsi="MS Gothic" w:cs="Calibri" w:hint="eastAsia"/>
                    <w:bCs/>
                    <w:sz w:val="18"/>
                    <w:lang w:val="es-BO"/>
                  </w:rPr>
                  <w:t>☒</w:t>
                </w:r>
              </w:sdtContent>
            </w:sdt>
            <w:r w:rsidR="0005177D" w:rsidRPr="005879C4">
              <w:rPr>
                <w:rFonts w:eastAsia="Calibri" w:cs="Calibri"/>
                <w:bCs/>
                <w:sz w:val="18"/>
                <w:lang w:val="es-BO"/>
              </w:rPr>
              <w:t xml:space="preserve"> Inter-regional</w:t>
            </w:r>
          </w:p>
          <w:p w14:paraId="65C9A9C0" w14:textId="77777777" w:rsidR="0005177D" w:rsidRPr="005879C4" w:rsidRDefault="006F16D7" w:rsidP="001F0044">
            <w:pPr>
              <w:rPr>
                <w:rFonts w:eastAsia="Calibri" w:cs="Calibri"/>
                <w:bCs/>
                <w:sz w:val="18"/>
                <w:lang w:val="es-BO"/>
              </w:rPr>
            </w:pPr>
            <w:sdt>
              <w:sdtPr>
                <w:rPr>
                  <w:rFonts w:eastAsia="Calibri" w:cs="Calibri"/>
                  <w:bCs/>
                  <w:sz w:val="18"/>
                  <w:lang w:val="es-BO"/>
                </w:rPr>
                <w:id w:val="160368722"/>
                <w14:checkbox>
                  <w14:checked w14:val="0"/>
                  <w14:checkedState w14:val="2612" w14:font="MS Gothic"/>
                  <w14:uncheckedState w14:val="2610" w14:font="MS Gothic"/>
                </w14:checkbox>
              </w:sdtPr>
              <w:sdtEndPr/>
              <w:sdtContent>
                <w:r w:rsidR="0005177D">
                  <w:rPr>
                    <w:rFonts w:ascii="MS Gothic" w:eastAsia="MS Gothic" w:hAnsi="MS Gothic" w:cs="Calibri" w:hint="eastAsia"/>
                    <w:bCs/>
                    <w:sz w:val="18"/>
                    <w:lang w:val="es-BO"/>
                  </w:rPr>
                  <w:t>☐</w:t>
                </w:r>
              </w:sdtContent>
            </w:sdt>
            <w:r w:rsidR="0005177D" w:rsidRPr="005879C4">
              <w:rPr>
                <w:rFonts w:eastAsia="Calibri" w:cs="Calibri"/>
                <w:bCs/>
                <w:sz w:val="18"/>
                <w:lang w:val="es-BO"/>
              </w:rPr>
              <w:t xml:space="preserve"> Económico</w:t>
            </w:r>
          </w:p>
          <w:p w14:paraId="04820C03" w14:textId="77777777" w:rsidR="0005177D" w:rsidRPr="005879C4" w:rsidRDefault="006F16D7" w:rsidP="001F0044">
            <w:pPr>
              <w:rPr>
                <w:rFonts w:eastAsia="Calibri" w:cs="Calibri"/>
                <w:bCs/>
                <w:sz w:val="18"/>
                <w:lang w:val="es-BO"/>
              </w:rPr>
            </w:pPr>
            <w:sdt>
              <w:sdtPr>
                <w:rPr>
                  <w:rFonts w:eastAsia="Calibri" w:cs="Calibri"/>
                  <w:bCs/>
                  <w:sz w:val="18"/>
                  <w:lang w:val="es-BO"/>
                </w:rPr>
                <w:id w:val="-1995182961"/>
                <w14:checkbox>
                  <w14:checked w14:val="0"/>
                  <w14:checkedState w14:val="2612" w14:font="MS Gothic"/>
                  <w14:uncheckedState w14:val="2610" w14:font="MS Gothic"/>
                </w14:checkbox>
              </w:sdtPr>
              <w:sdtEndPr/>
              <w:sdtContent>
                <w:r w:rsidR="0005177D" w:rsidRPr="005879C4">
                  <w:rPr>
                    <w:rFonts w:ascii="Segoe UI Symbol" w:eastAsia="Calibri" w:hAnsi="Segoe UI Symbol" w:cs="Segoe UI Symbol"/>
                    <w:bCs/>
                    <w:sz w:val="18"/>
                    <w:lang w:val="es-BO"/>
                  </w:rPr>
                  <w:t>☐</w:t>
                </w:r>
              </w:sdtContent>
            </w:sdt>
            <w:r w:rsidR="0005177D" w:rsidRPr="005879C4">
              <w:rPr>
                <w:rFonts w:eastAsia="Calibri" w:cs="Calibri"/>
                <w:bCs/>
                <w:sz w:val="18"/>
                <w:lang w:val="es-BO"/>
              </w:rPr>
              <w:t xml:space="preserve"> Ambiental</w:t>
            </w:r>
          </w:p>
          <w:p w14:paraId="0C1379BA" w14:textId="77777777" w:rsidR="0005177D" w:rsidRPr="00894F2F" w:rsidRDefault="006F16D7" w:rsidP="001F0044">
            <w:pPr>
              <w:rPr>
                <w:rFonts w:eastAsia="Calibri" w:cs="Calibri"/>
                <w:bCs/>
                <w:sz w:val="18"/>
                <w:lang w:val="es-BO"/>
              </w:rPr>
            </w:pPr>
            <w:sdt>
              <w:sdtPr>
                <w:rPr>
                  <w:rFonts w:eastAsia="Calibri" w:cs="Calibri"/>
                  <w:bCs/>
                  <w:sz w:val="18"/>
                  <w:lang w:val="es-BO"/>
                </w:rPr>
                <w:id w:val="-1691984963"/>
                <w14:checkbox>
                  <w14:checked w14:val="1"/>
                  <w14:checkedState w14:val="2612" w14:font="MS Gothic"/>
                  <w14:uncheckedState w14:val="2610" w14:font="MS Gothic"/>
                </w14:checkbox>
              </w:sdtPr>
              <w:sdtEndPr/>
              <w:sdtContent>
                <w:r w:rsidR="0005177D" w:rsidRPr="00894F2F">
                  <w:rPr>
                    <w:rFonts w:ascii="Segoe UI Symbol" w:eastAsia="Calibri" w:hAnsi="Segoe UI Symbol" w:cs="Segoe UI Symbol"/>
                    <w:bCs/>
                    <w:sz w:val="18"/>
                    <w:lang w:val="es-BO"/>
                  </w:rPr>
                  <w:t>☒</w:t>
                </w:r>
              </w:sdtContent>
            </w:sdt>
            <w:r w:rsidR="0005177D" w:rsidRPr="00894F2F">
              <w:rPr>
                <w:rFonts w:eastAsia="Calibri" w:cs="Calibri"/>
                <w:bCs/>
                <w:sz w:val="18"/>
                <w:lang w:val="es-BO"/>
              </w:rPr>
              <w:t xml:space="preserve"> Operacional/Técnico</w:t>
            </w:r>
          </w:p>
        </w:tc>
      </w:tr>
      <w:tr w:rsidR="0005177D" w:rsidRPr="008A682E" w14:paraId="34E61882" w14:textId="77777777" w:rsidTr="001F0044">
        <w:trPr>
          <w:trHeight w:val="432"/>
        </w:trPr>
        <w:tc>
          <w:tcPr>
            <w:tcW w:w="5000" w:type="pct"/>
            <w:gridSpan w:val="8"/>
            <w:tcBorders>
              <w:top w:val="single" w:sz="4" w:space="0" w:color="auto"/>
              <w:left w:val="single" w:sz="4" w:space="0" w:color="auto"/>
              <w:bottom w:val="single" w:sz="4" w:space="0" w:color="auto"/>
              <w:right w:val="single" w:sz="4" w:space="0" w:color="auto"/>
            </w:tcBorders>
            <w:vAlign w:val="center"/>
          </w:tcPr>
          <w:p w14:paraId="23454EA0" w14:textId="77777777" w:rsidR="0005177D" w:rsidRPr="005879C4" w:rsidRDefault="0005177D" w:rsidP="008A682E">
            <w:pPr>
              <w:ind w:left="1019" w:hanging="1019"/>
              <w:jc w:val="both"/>
              <w:rPr>
                <w:rFonts w:eastAsia="Calibri" w:cs="Calibri"/>
                <w:b/>
                <w:sz w:val="18"/>
                <w:lang w:val="es-BO"/>
              </w:rPr>
            </w:pPr>
            <w:r w:rsidRPr="005879C4">
              <w:rPr>
                <w:rFonts w:eastAsia="Calibri" w:cs="Calibri"/>
                <w:b/>
                <w:sz w:val="18"/>
                <w:lang w:val="es-BO"/>
              </w:rPr>
              <w:t xml:space="preserve">Porqué:          </w:t>
            </w:r>
            <w:r>
              <w:rPr>
                <w:rFonts w:eastAsia="Calibri" w:cs="Calibri"/>
                <w:sz w:val="18"/>
                <w:lang w:val="es-BO"/>
              </w:rPr>
              <w:t xml:space="preserve">Para </w:t>
            </w:r>
            <w:r w:rsidR="001F0044">
              <w:rPr>
                <w:rFonts w:eastAsia="Calibri" w:cs="Calibri"/>
                <w:sz w:val="18"/>
                <w:lang w:val="es-BO"/>
              </w:rPr>
              <w:t xml:space="preserve">mitigar la intensidad de las oscilaciones de la implementación efectiva en los Estados provocadas por la inestabilidad política y social de la Región, </w:t>
            </w:r>
            <w:r w:rsidR="00F008DF">
              <w:rPr>
                <w:rFonts w:eastAsia="Calibri" w:cs="Calibri"/>
                <w:sz w:val="18"/>
                <w:lang w:val="es-BO"/>
              </w:rPr>
              <w:t xml:space="preserve">mediante la implementación de las mejores prácticas de gobernanza y el fortalecimiento institucional de las Autoridades de Aviación Civil. </w:t>
            </w:r>
          </w:p>
        </w:tc>
      </w:tr>
      <w:tr w:rsidR="0005177D" w:rsidRPr="0005177D" w14:paraId="35114D79" w14:textId="77777777" w:rsidTr="001F0044">
        <w:trPr>
          <w:trHeight w:val="432"/>
        </w:trPr>
        <w:tc>
          <w:tcPr>
            <w:tcW w:w="565" w:type="pct"/>
            <w:gridSpan w:val="2"/>
            <w:tcBorders>
              <w:top w:val="single" w:sz="4" w:space="0" w:color="auto"/>
              <w:left w:val="single" w:sz="4" w:space="0" w:color="auto"/>
              <w:bottom w:val="single" w:sz="4" w:space="0" w:color="auto"/>
            </w:tcBorders>
            <w:vAlign w:val="center"/>
          </w:tcPr>
          <w:p w14:paraId="7A46F888" w14:textId="77777777" w:rsidR="0005177D" w:rsidRPr="001F0044" w:rsidRDefault="0005177D" w:rsidP="001F0044">
            <w:pPr>
              <w:rPr>
                <w:rFonts w:eastAsia="Calibri" w:cs="Calibri"/>
                <w:b/>
                <w:sz w:val="18"/>
                <w:lang w:val="es-PE"/>
              </w:rPr>
            </w:pPr>
            <w:r w:rsidRPr="001F0044">
              <w:rPr>
                <w:rFonts w:eastAsia="Calibri" w:cs="Calibri"/>
                <w:b/>
                <w:sz w:val="18"/>
                <w:lang w:val="es-PE"/>
              </w:rPr>
              <w:lastRenderedPageBreak/>
              <w:t>Cuándo:</w:t>
            </w:r>
          </w:p>
        </w:tc>
        <w:tc>
          <w:tcPr>
            <w:tcW w:w="1794" w:type="pct"/>
            <w:gridSpan w:val="2"/>
            <w:tcBorders>
              <w:top w:val="single" w:sz="4" w:space="0" w:color="auto"/>
              <w:bottom w:val="single" w:sz="4" w:space="0" w:color="auto"/>
              <w:right w:val="single" w:sz="4" w:space="0" w:color="auto"/>
            </w:tcBorders>
            <w:vAlign w:val="center"/>
          </w:tcPr>
          <w:p w14:paraId="0FB97A49" w14:textId="77777777" w:rsidR="0005177D" w:rsidRPr="003C140B" w:rsidRDefault="0005177D" w:rsidP="001F0044">
            <w:pPr>
              <w:rPr>
                <w:rFonts w:eastAsia="Calibri" w:cs="Calibri"/>
                <w:b/>
                <w:sz w:val="18"/>
                <w:lang w:val="es-BO"/>
              </w:rPr>
            </w:pPr>
            <w:r>
              <w:rPr>
                <w:rFonts w:eastAsia="Calibri" w:cs="Calibri"/>
                <w:sz w:val="18"/>
                <w:lang w:val="es-BO"/>
              </w:rPr>
              <w:t xml:space="preserve">Como parte del próximo informe anual de los </w:t>
            </w:r>
            <w:proofErr w:type="spellStart"/>
            <w:r>
              <w:rPr>
                <w:rFonts w:eastAsia="Calibri" w:cs="Calibri"/>
                <w:sz w:val="18"/>
                <w:lang w:val="es-BO"/>
              </w:rPr>
              <w:t>RASGs</w:t>
            </w:r>
            <w:proofErr w:type="spellEnd"/>
            <w:r>
              <w:rPr>
                <w:rFonts w:eastAsia="Calibri" w:cs="Calibri"/>
                <w:sz w:val="18"/>
                <w:lang w:val="es-BO"/>
              </w:rPr>
              <w:t xml:space="preserve"> a la ANC.  </w:t>
            </w:r>
          </w:p>
        </w:tc>
        <w:tc>
          <w:tcPr>
            <w:tcW w:w="566" w:type="pct"/>
            <w:gridSpan w:val="2"/>
            <w:tcBorders>
              <w:top w:val="single" w:sz="4" w:space="0" w:color="auto"/>
              <w:left w:val="single" w:sz="4" w:space="0" w:color="auto"/>
              <w:bottom w:val="single" w:sz="4" w:space="0" w:color="auto"/>
            </w:tcBorders>
            <w:vAlign w:val="center"/>
          </w:tcPr>
          <w:p w14:paraId="5995062E" w14:textId="77777777" w:rsidR="0005177D" w:rsidRPr="00894F2F" w:rsidRDefault="0005177D" w:rsidP="001F0044">
            <w:pPr>
              <w:rPr>
                <w:rFonts w:eastAsia="Calibri" w:cs="Calibri"/>
                <w:b/>
                <w:sz w:val="18"/>
                <w:lang w:val="es-BO"/>
              </w:rPr>
            </w:pPr>
            <w:r w:rsidRPr="00894F2F">
              <w:rPr>
                <w:rFonts w:eastAsia="Calibri" w:cs="Calibri"/>
                <w:b/>
                <w:sz w:val="18"/>
                <w:lang w:val="es-BO"/>
              </w:rPr>
              <w:t>Estado:</w:t>
            </w:r>
          </w:p>
        </w:tc>
        <w:tc>
          <w:tcPr>
            <w:tcW w:w="2075" w:type="pct"/>
            <w:gridSpan w:val="2"/>
            <w:tcBorders>
              <w:top w:val="single" w:sz="4" w:space="0" w:color="auto"/>
              <w:bottom w:val="single" w:sz="4" w:space="0" w:color="auto"/>
              <w:right w:val="single" w:sz="4" w:space="0" w:color="auto"/>
            </w:tcBorders>
            <w:vAlign w:val="center"/>
          </w:tcPr>
          <w:p w14:paraId="451AED60" w14:textId="77777777" w:rsidR="0005177D" w:rsidRPr="00894F2F" w:rsidRDefault="0005177D" w:rsidP="001F0044">
            <w:pPr>
              <w:ind w:left="-9"/>
              <w:rPr>
                <w:rFonts w:eastAsia="Calibri" w:cs="Calibri"/>
                <w:sz w:val="18"/>
                <w:lang w:val="es-BO"/>
              </w:rPr>
            </w:pPr>
            <w:r w:rsidRPr="00894F2F">
              <w:rPr>
                <w:rFonts w:eastAsia="MS Gothic" w:cs="Calibri"/>
                <w:bCs/>
                <w:sz w:val="18"/>
                <w:lang w:val="es-BO"/>
              </w:rPr>
              <w:t>Válido</w:t>
            </w:r>
          </w:p>
        </w:tc>
      </w:tr>
      <w:tr w:rsidR="0005177D" w:rsidRPr="0005177D" w14:paraId="4E3E3F75" w14:textId="77777777" w:rsidTr="00F008DF">
        <w:trPr>
          <w:trHeight w:val="432"/>
        </w:trPr>
        <w:tc>
          <w:tcPr>
            <w:tcW w:w="565" w:type="pct"/>
            <w:gridSpan w:val="2"/>
            <w:tcBorders>
              <w:top w:val="single" w:sz="4" w:space="0" w:color="auto"/>
              <w:left w:val="single" w:sz="4" w:space="0" w:color="auto"/>
              <w:bottom w:val="single" w:sz="4" w:space="0" w:color="auto"/>
            </w:tcBorders>
            <w:vAlign w:val="center"/>
          </w:tcPr>
          <w:p w14:paraId="73D5ED60" w14:textId="77777777" w:rsidR="0005177D" w:rsidRPr="00894F2F" w:rsidRDefault="0005177D" w:rsidP="001F0044">
            <w:pPr>
              <w:rPr>
                <w:rFonts w:eastAsia="Calibri" w:cs="Calibri"/>
                <w:b/>
                <w:sz w:val="18"/>
                <w:lang w:val="es-BO"/>
              </w:rPr>
            </w:pPr>
            <w:r>
              <w:rPr>
                <w:rFonts w:eastAsia="Calibri" w:cs="Calibri"/>
                <w:b/>
                <w:sz w:val="18"/>
                <w:lang w:val="es-BO"/>
              </w:rPr>
              <w:t>Quié</w:t>
            </w:r>
            <w:r w:rsidRPr="00894F2F">
              <w:rPr>
                <w:rFonts w:eastAsia="Calibri" w:cs="Calibri"/>
                <w:b/>
                <w:sz w:val="18"/>
                <w:lang w:val="es-BO"/>
              </w:rPr>
              <w:t>n:</w:t>
            </w:r>
          </w:p>
        </w:tc>
        <w:tc>
          <w:tcPr>
            <w:tcW w:w="2218" w:type="pct"/>
            <w:gridSpan w:val="3"/>
            <w:tcBorders>
              <w:top w:val="single" w:sz="4" w:space="0" w:color="auto"/>
              <w:bottom w:val="single" w:sz="4" w:space="0" w:color="auto"/>
              <w:right w:val="single" w:sz="4" w:space="0" w:color="auto"/>
            </w:tcBorders>
            <w:vAlign w:val="center"/>
          </w:tcPr>
          <w:p w14:paraId="71007495" w14:textId="77777777" w:rsidR="0005177D" w:rsidRPr="001461B3" w:rsidRDefault="0005177D" w:rsidP="001F0044">
            <w:pPr>
              <w:ind w:left="-9"/>
              <w:rPr>
                <w:rFonts w:eastAsia="Calibri" w:cs="Calibri"/>
                <w:bCs/>
                <w:sz w:val="18"/>
                <w:lang w:val="es-PE"/>
              </w:rPr>
            </w:pPr>
            <w:r w:rsidRPr="001461B3">
              <w:rPr>
                <w:rFonts w:eastAsia="Calibri" w:cs="Calibri"/>
                <w:bCs/>
                <w:sz w:val="18"/>
                <w:lang w:val="es-PE"/>
              </w:rPr>
              <w:t xml:space="preserve"> </w:t>
            </w:r>
            <w:sdt>
              <w:sdtPr>
                <w:rPr>
                  <w:rFonts w:eastAsia="Calibri" w:cs="Calibri"/>
                  <w:bCs/>
                  <w:sz w:val="18"/>
                  <w:lang w:val="es-PE"/>
                </w:rPr>
                <w:id w:val="-953083541"/>
                <w14:checkbox>
                  <w14:checked w14:val="1"/>
                  <w14:checkedState w14:val="2612" w14:font="MS Gothic"/>
                  <w14:uncheckedState w14:val="2610" w14:font="MS Gothic"/>
                </w14:checkbox>
              </w:sdtPr>
              <w:sdtEndPr/>
              <w:sdtContent>
                <w:r w:rsidRPr="001461B3">
                  <w:rPr>
                    <w:rFonts w:ascii="MS Gothic" w:eastAsia="MS Gothic" w:hAnsi="MS Gothic" w:cs="Calibri" w:hint="eastAsia"/>
                    <w:bCs/>
                    <w:sz w:val="18"/>
                    <w:lang w:val="es-PE"/>
                  </w:rPr>
                  <w:t>☒</w:t>
                </w:r>
              </w:sdtContent>
            </w:sdt>
            <w:r w:rsidRPr="001461B3">
              <w:rPr>
                <w:rFonts w:eastAsia="Calibri" w:cs="Calibri"/>
                <w:bCs/>
                <w:sz w:val="18"/>
                <w:lang w:val="es-PE"/>
              </w:rPr>
              <w:t xml:space="preserve"> </w:t>
            </w:r>
            <w:r>
              <w:rPr>
                <w:rFonts w:eastAsia="Calibri" w:cs="Calibri"/>
                <w:bCs/>
                <w:sz w:val="18"/>
                <w:lang w:val="es-PE"/>
              </w:rPr>
              <w:t>Secretaría</w:t>
            </w:r>
          </w:p>
        </w:tc>
        <w:tc>
          <w:tcPr>
            <w:tcW w:w="2217" w:type="pct"/>
            <w:gridSpan w:val="3"/>
            <w:tcBorders>
              <w:top w:val="single" w:sz="4" w:space="0" w:color="auto"/>
              <w:bottom w:val="single" w:sz="4" w:space="0" w:color="auto"/>
              <w:right w:val="single" w:sz="4" w:space="0" w:color="auto"/>
            </w:tcBorders>
            <w:vAlign w:val="center"/>
          </w:tcPr>
          <w:p w14:paraId="398569F2" w14:textId="77777777" w:rsidR="0005177D" w:rsidRPr="00A01B25" w:rsidRDefault="0005177D" w:rsidP="001F0044">
            <w:pPr>
              <w:ind w:left="-9"/>
              <w:rPr>
                <w:rFonts w:eastAsia="Calibri" w:cs="Calibri"/>
                <w:sz w:val="18"/>
                <w:lang w:val="es-BO"/>
              </w:rPr>
            </w:pPr>
            <w:r w:rsidRPr="00A01B25">
              <w:rPr>
                <w:rFonts w:eastAsia="Calibri" w:cs="Calibri"/>
                <w:b/>
                <w:sz w:val="18"/>
                <w:lang w:val="es-BO"/>
              </w:rPr>
              <w:t>Responsable</w:t>
            </w:r>
            <w:r>
              <w:rPr>
                <w:rFonts w:eastAsia="Calibri" w:cs="Calibri"/>
                <w:b/>
                <w:sz w:val="18"/>
                <w:lang w:val="es-BO"/>
              </w:rPr>
              <w:t>s</w:t>
            </w:r>
            <w:r w:rsidRPr="00A01B25">
              <w:rPr>
                <w:rFonts w:eastAsia="Calibri" w:cs="Calibri"/>
                <w:sz w:val="18"/>
                <w:lang w:val="es-BO"/>
              </w:rPr>
              <w:t xml:space="preserve">: </w:t>
            </w:r>
            <w:r>
              <w:rPr>
                <w:rFonts w:eastAsia="Calibri" w:cs="Calibri"/>
                <w:sz w:val="18"/>
                <w:lang w:val="es-BO"/>
              </w:rPr>
              <w:t xml:space="preserve">Javier Puente </w:t>
            </w:r>
          </w:p>
        </w:tc>
      </w:tr>
    </w:tbl>
    <w:p w14:paraId="45153D7A" w14:textId="0D0A3039" w:rsidR="0005177D" w:rsidRDefault="00F008DF" w:rsidP="00F008DF">
      <w:pPr>
        <w:tabs>
          <w:tab w:val="left" w:pos="1440"/>
        </w:tabs>
        <w:spacing w:before="240" w:after="120"/>
        <w:jc w:val="both"/>
        <w:rPr>
          <w:rFonts w:asciiTheme="minorHAnsi" w:hAnsiTheme="minorHAnsi"/>
          <w:lang w:val="es-ES_tradnl"/>
        </w:rPr>
      </w:pPr>
      <w:r>
        <w:rPr>
          <w:rFonts w:asciiTheme="minorHAnsi" w:hAnsiTheme="minorHAnsi"/>
          <w:lang w:val="es-ES_tradnl"/>
        </w:rPr>
        <w:t>3.</w:t>
      </w:r>
      <w:r w:rsidR="00334693">
        <w:rPr>
          <w:rFonts w:asciiTheme="minorHAnsi" w:hAnsiTheme="minorHAnsi"/>
          <w:lang w:val="es-ES_tradnl"/>
        </w:rPr>
        <w:t>3</w:t>
      </w:r>
      <w:r>
        <w:rPr>
          <w:rFonts w:asciiTheme="minorHAnsi" w:hAnsiTheme="minorHAnsi"/>
          <w:lang w:val="es-ES_tradnl"/>
        </w:rPr>
        <w:tab/>
      </w:r>
      <w:r w:rsidRPr="001F0044">
        <w:rPr>
          <w:rFonts w:asciiTheme="minorHAnsi" w:hAnsiTheme="minorHAnsi"/>
          <w:lang w:val="es-ES_tradnl"/>
        </w:rPr>
        <w:t xml:space="preserve">Con relación al </w:t>
      </w:r>
      <w:r w:rsidR="00D0513B" w:rsidRPr="00D0513B">
        <w:rPr>
          <w:rFonts w:asciiTheme="minorHAnsi" w:hAnsiTheme="minorHAnsi"/>
          <w:lang w:val="es-ES_tradnl"/>
        </w:rPr>
        <w:t>d</w:t>
      </w:r>
      <w:r w:rsidR="00D0513B" w:rsidRPr="00DB6514">
        <w:rPr>
          <w:rFonts w:asciiTheme="minorHAnsi" w:hAnsiTheme="minorHAnsi"/>
          <w:lang w:val="es-ES_tradnl"/>
        </w:rPr>
        <w:t xml:space="preserve">esarrollo de </w:t>
      </w:r>
      <w:proofErr w:type="spellStart"/>
      <w:r w:rsidR="00D0513B" w:rsidRPr="00D0513B">
        <w:rPr>
          <w:rFonts w:asciiTheme="minorHAnsi" w:hAnsiTheme="minorHAnsi"/>
          <w:lang w:val="es-ES_tradnl"/>
        </w:rPr>
        <w:t>iPacks</w:t>
      </w:r>
      <w:proofErr w:type="spellEnd"/>
      <w:r w:rsidR="00D0513B" w:rsidRPr="00DB6514">
        <w:rPr>
          <w:rFonts w:asciiTheme="minorHAnsi" w:hAnsiTheme="minorHAnsi"/>
          <w:lang w:val="es-ES_tradnl"/>
        </w:rPr>
        <w:t xml:space="preserve"> </w:t>
      </w:r>
      <w:r w:rsidR="00D0513B">
        <w:rPr>
          <w:rFonts w:asciiTheme="minorHAnsi" w:hAnsiTheme="minorHAnsi"/>
          <w:lang w:val="es-ES_tradnl"/>
        </w:rPr>
        <w:t>para</w:t>
      </w:r>
      <w:r w:rsidR="00D0513B" w:rsidRPr="00DB6514">
        <w:rPr>
          <w:rFonts w:asciiTheme="minorHAnsi" w:hAnsiTheme="minorHAnsi"/>
          <w:lang w:val="es-ES_tradnl"/>
        </w:rPr>
        <w:t xml:space="preserve"> la implementación de los SSP</w:t>
      </w:r>
      <w:r w:rsidRPr="001F0044">
        <w:rPr>
          <w:rFonts w:asciiTheme="minorHAnsi" w:hAnsiTheme="minorHAnsi"/>
          <w:lang w:val="es-ES_tradnl"/>
        </w:rPr>
        <w:t>, al</w:t>
      </w:r>
      <w:r>
        <w:rPr>
          <w:rFonts w:asciiTheme="minorHAnsi" w:hAnsiTheme="minorHAnsi"/>
          <w:lang w:val="es-ES_tradnl"/>
        </w:rPr>
        <w:t xml:space="preserve"> que se refiere </w:t>
      </w:r>
      <w:r w:rsidR="00D0513B">
        <w:rPr>
          <w:rFonts w:asciiTheme="minorHAnsi" w:hAnsiTheme="minorHAnsi"/>
          <w:lang w:val="es-ES_tradnl"/>
        </w:rPr>
        <w:t>a</w:t>
      </w:r>
      <w:r w:rsidR="008A682E">
        <w:rPr>
          <w:rFonts w:asciiTheme="minorHAnsi" w:hAnsiTheme="minorHAnsi"/>
          <w:lang w:val="es-ES_tradnl"/>
        </w:rPr>
        <w:t xml:space="preserve"> </w:t>
      </w:r>
      <w:r w:rsidR="00D0513B">
        <w:rPr>
          <w:rFonts w:asciiTheme="minorHAnsi" w:hAnsiTheme="minorHAnsi"/>
          <w:lang w:val="es-ES_tradnl"/>
        </w:rPr>
        <w:t>la sección 2.4</w:t>
      </w:r>
      <w:r w:rsidRPr="001F0044">
        <w:rPr>
          <w:rFonts w:asciiTheme="minorHAnsi" w:hAnsiTheme="minorHAnsi"/>
          <w:lang w:val="es-ES_tradnl"/>
        </w:rPr>
        <w:t xml:space="preserve">, se propone la siguiente conclusión dirigida a la </w:t>
      </w:r>
      <w:r w:rsidR="00D0513B">
        <w:rPr>
          <w:rFonts w:asciiTheme="minorHAnsi" w:hAnsiTheme="minorHAnsi"/>
          <w:lang w:val="es-ES_tradnl"/>
        </w:rPr>
        <w:t>ANC</w:t>
      </w:r>
      <w:r w:rsidRPr="001F0044">
        <w:rPr>
          <w:rFonts w:asciiTheme="minorHAnsi" w:hAnsiTheme="minorHAnsi"/>
          <w:lang w:val="es-ES_tradnl"/>
        </w:rPr>
        <w:t>:</w:t>
      </w:r>
    </w:p>
    <w:p w14:paraId="580A22EB" w14:textId="77777777" w:rsidR="008A682E" w:rsidRDefault="008A682E" w:rsidP="00F008DF">
      <w:pPr>
        <w:tabs>
          <w:tab w:val="left" w:pos="1440"/>
        </w:tabs>
        <w:spacing w:before="240" w:after="120"/>
        <w:jc w:val="both"/>
        <w:rPr>
          <w:rFonts w:asciiTheme="minorHAnsi" w:hAnsiTheme="minorHAnsi"/>
          <w:lang w:val="es-ES_tradnl"/>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
        <w:gridCol w:w="754"/>
        <w:gridCol w:w="2237"/>
        <w:gridCol w:w="1118"/>
        <w:gridCol w:w="793"/>
        <w:gridCol w:w="266"/>
        <w:gridCol w:w="759"/>
        <w:gridCol w:w="3121"/>
      </w:tblGrid>
      <w:tr w:rsidR="00DB6514" w:rsidRPr="008A682E" w14:paraId="749FFDCC" w14:textId="77777777" w:rsidTr="00392658">
        <w:trPr>
          <w:trHeight w:val="288"/>
        </w:trPr>
        <w:tc>
          <w:tcPr>
            <w:tcW w:w="1761" w:type="pct"/>
            <w:gridSpan w:val="3"/>
            <w:tcBorders>
              <w:top w:val="single" w:sz="4" w:space="0" w:color="auto"/>
              <w:left w:val="single" w:sz="4" w:space="0" w:color="auto"/>
              <w:bottom w:val="single" w:sz="4" w:space="0" w:color="auto"/>
            </w:tcBorders>
            <w:shd w:val="clear" w:color="auto" w:fill="D9D9D9"/>
          </w:tcPr>
          <w:p w14:paraId="5AE44038" w14:textId="77777777" w:rsidR="00DB6514" w:rsidRPr="005879C4" w:rsidRDefault="00DB6514" w:rsidP="00392658">
            <w:pPr>
              <w:rPr>
                <w:rFonts w:eastAsia="Calibri" w:cs="Calibri"/>
                <w:b/>
                <w:sz w:val="18"/>
                <w:lang w:val="es-PE"/>
              </w:rPr>
            </w:pPr>
            <w:r>
              <w:rPr>
                <w:rFonts w:eastAsia="Calibri" w:cs="Calibri"/>
                <w:b/>
                <w:sz w:val="18"/>
                <w:lang w:val="es-PE"/>
              </w:rPr>
              <w:t>CONCLUSION</w:t>
            </w:r>
          </w:p>
          <w:p w14:paraId="01808874" w14:textId="77777777" w:rsidR="00DB6514" w:rsidRPr="005879C4" w:rsidRDefault="00DB6514" w:rsidP="00392658">
            <w:pPr>
              <w:rPr>
                <w:rFonts w:eastAsia="Calibri" w:cs="Calibri"/>
                <w:b/>
                <w:sz w:val="18"/>
                <w:lang w:val="es-PE"/>
              </w:rPr>
            </w:pPr>
            <w:r>
              <w:rPr>
                <w:rFonts w:eastAsia="Calibri" w:cs="Calibri"/>
                <w:b/>
                <w:sz w:val="18"/>
                <w:lang w:val="es-PE"/>
              </w:rPr>
              <w:t>RASG-PA-12/CX/2022</w:t>
            </w:r>
          </w:p>
        </w:tc>
        <w:tc>
          <w:tcPr>
            <w:tcW w:w="3239" w:type="pct"/>
            <w:gridSpan w:val="5"/>
            <w:tcBorders>
              <w:top w:val="single" w:sz="4" w:space="0" w:color="auto"/>
              <w:bottom w:val="single" w:sz="4" w:space="0" w:color="auto"/>
              <w:right w:val="single" w:sz="4" w:space="0" w:color="auto"/>
            </w:tcBorders>
            <w:shd w:val="clear" w:color="auto" w:fill="D9D9D9"/>
          </w:tcPr>
          <w:p w14:paraId="3AFF7107" w14:textId="77777777" w:rsidR="00DB6514" w:rsidRPr="005879C4" w:rsidRDefault="00DB6514" w:rsidP="00705910">
            <w:pPr>
              <w:jc w:val="both"/>
              <w:rPr>
                <w:rFonts w:eastAsia="Calibri" w:cs="Calibri"/>
                <w:b/>
                <w:sz w:val="18"/>
                <w:highlight w:val="yellow"/>
                <w:lang w:val="es-BO"/>
              </w:rPr>
            </w:pPr>
            <w:r w:rsidRPr="00F008DF">
              <w:rPr>
                <w:rFonts w:eastAsia="Calibri" w:cs="Calibri"/>
                <w:b/>
                <w:sz w:val="18"/>
                <w:lang w:val="es-BO"/>
              </w:rPr>
              <w:t xml:space="preserve">IPACKS </w:t>
            </w:r>
            <w:r>
              <w:rPr>
                <w:rFonts w:eastAsia="Calibri" w:cs="Calibri"/>
                <w:b/>
                <w:sz w:val="18"/>
                <w:lang w:val="es-BO"/>
              </w:rPr>
              <w:t xml:space="preserve"> Y PROGRAMACIÓN DE  MAYOR CANTIDAD DE </w:t>
            </w:r>
            <w:proofErr w:type="spellStart"/>
            <w:r>
              <w:rPr>
                <w:rFonts w:eastAsia="Calibri" w:cs="Calibri"/>
                <w:b/>
                <w:sz w:val="18"/>
                <w:lang w:val="es-BO"/>
              </w:rPr>
              <w:t>SSPIAs</w:t>
            </w:r>
            <w:proofErr w:type="spellEnd"/>
            <w:r>
              <w:rPr>
                <w:rFonts w:eastAsia="Calibri" w:cs="Calibri"/>
                <w:b/>
                <w:sz w:val="18"/>
                <w:lang w:val="es-BO"/>
              </w:rPr>
              <w:t xml:space="preserve"> EN LA REGIÓN PARA PROMOVER LA IMPLEMENTACIÓN, OPERACIÓN Y MANTENIMIENTO DEL SSP  </w:t>
            </w:r>
          </w:p>
        </w:tc>
      </w:tr>
      <w:tr w:rsidR="00DB6514" w:rsidRPr="00B46FED" w14:paraId="77C221B5" w14:textId="77777777" w:rsidTr="00392658">
        <w:trPr>
          <w:trHeight w:val="432"/>
        </w:trPr>
        <w:tc>
          <w:tcPr>
            <w:tcW w:w="3331" w:type="pct"/>
            <w:gridSpan w:val="7"/>
            <w:tcBorders>
              <w:top w:val="single" w:sz="4" w:space="0" w:color="auto"/>
              <w:left w:val="single" w:sz="4" w:space="0" w:color="auto"/>
              <w:right w:val="single" w:sz="4" w:space="0" w:color="auto"/>
            </w:tcBorders>
            <w:vAlign w:val="center"/>
          </w:tcPr>
          <w:p w14:paraId="38D861C3" w14:textId="77777777" w:rsidR="00DB6514" w:rsidRPr="00B46FED" w:rsidRDefault="00DB6514" w:rsidP="00392658">
            <w:pPr>
              <w:rPr>
                <w:rFonts w:eastAsia="Calibri" w:cs="Calibri"/>
                <w:b/>
                <w:sz w:val="18"/>
                <w:lang w:val="es-PE"/>
              </w:rPr>
            </w:pPr>
            <w:r w:rsidRPr="00B46FED">
              <w:rPr>
                <w:rFonts w:eastAsia="Calibri" w:cs="Calibri"/>
                <w:b/>
                <w:sz w:val="18"/>
                <w:lang w:val="es-PE"/>
              </w:rPr>
              <w:t>Qué:</w:t>
            </w:r>
          </w:p>
        </w:tc>
        <w:tc>
          <w:tcPr>
            <w:tcW w:w="1669" w:type="pct"/>
            <w:tcBorders>
              <w:top w:val="single" w:sz="4" w:space="0" w:color="auto"/>
              <w:left w:val="single" w:sz="4" w:space="0" w:color="auto"/>
              <w:right w:val="single" w:sz="4" w:space="0" w:color="auto"/>
            </w:tcBorders>
            <w:vAlign w:val="center"/>
          </w:tcPr>
          <w:p w14:paraId="602B49FC" w14:textId="77777777" w:rsidR="00DB6514" w:rsidRPr="00B46FED" w:rsidRDefault="00DB6514" w:rsidP="00392658">
            <w:pPr>
              <w:rPr>
                <w:rFonts w:eastAsia="Calibri" w:cs="Calibri"/>
                <w:b/>
                <w:sz w:val="18"/>
                <w:lang w:val="es-PE"/>
              </w:rPr>
            </w:pPr>
            <w:r w:rsidRPr="00B46FED">
              <w:rPr>
                <w:rFonts w:eastAsia="Calibri" w:cs="Calibri"/>
                <w:b/>
                <w:sz w:val="18"/>
                <w:lang w:val="es-PE"/>
              </w:rPr>
              <w:t>Impacto esperado:</w:t>
            </w:r>
          </w:p>
        </w:tc>
      </w:tr>
      <w:tr w:rsidR="00DB6514" w:rsidRPr="00B952FD" w14:paraId="7AEEA779" w14:textId="77777777" w:rsidTr="00392658">
        <w:tc>
          <w:tcPr>
            <w:tcW w:w="162" w:type="pct"/>
            <w:tcBorders>
              <w:left w:val="single" w:sz="4" w:space="0" w:color="auto"/>
              <w:bottom w:val="single" w:sz="4" w:space="0" w:color="auto"/>
            </w:tcBorders>
          </w:tcPr>
          <w:p w14:paraId="6D9422CC" w14:textId="77777777" w:rsidR="00DB6514" w:rsidRPr="00B46FED" w:rsidRDefault="00DB6514" w:rsidP="00392658">
            <w:pPr>
              <w:rPr>
                <w:rFonts w:eastAsia="Calibri" w:cs="Calibri"/>
                <w:sz w:val="18"/>
                <w:lang w:val="es-PE"/>
              </w:rPr>
            </w:pPr>
          </w:p>
        </w:tc>
        <w:tc>
          <w:tcPr>
            <w:tcW w:w="3169" w:type="pct"/>
            <w:gridSpan w:val="6"/>
            <w:tcBorders>
              <w:bottom w:val="single" w:sz="4" w:space="0" w:color="auto"/>
              <w:right w:val="single" w:sz="4" w:space="0" w:color="auto"/>
            </w:tcBorders>
          </w:tcPr>
          <w:p w14:paraId="6707EAA9" w14:textId="77777777" w:rsidR="00DB6514" w:rsidRDefault="00DB6514" w:rsidP="008A682E">
            <w:pPr>
              <w:spacing w:after="120"/>
              <w:jc w:val="both"/>
              <w:rPr>
                <w:rFonts w:eastAsia="Calibri" w:cs="Calibri"/>
                <w:sz w:val="18"/>
                <w:lang w:val="es-BO"/>
              </w:rPr>
            </w:pPr>
            <w:r>
              <w:rPr>
                <w:rFonts w:eastAsia="Calibri" w:cs="Calibri"/>
                <w:sz w:val="18"/>
                <w:lang w:val="es-BO"/>
              </w:rPr>
              <w:t>Solicitar</w:t>
            </w:r>
            <w:r w:rsidRPr="0005177D">
              <w:rPr>
                <w:rFonts w:eastAsia="Calibri" w:cs="Calibri"/>
                <w:sz w:val="18"/>
                <w:lang w:val="es-BO"/>
              </w:rPr>
              <w:t xml:space="preserve"> a la Comisión de Naveg</w:t>
            </w:r>
            <w:r>
              <w:rPr>
                <w:rFonts w:eastAsia="Calibri" w:cs="Calibri"/>
                <w:sz w:val="18"/>
                <w:lang w:val="es-BO"/>
              </w:rPr>
              <w:t xml:space="preserve">ación Aérea (ANC) de la OACI que: </w:t>
            </w:r>
          </w:p>
          <w:p w14:paraId="35C24DA8" w14:textId="77777777" w:rsidR="00DB6514" w:rsidRDefault="00DB6514" w:rsidP="008A682E">
            <w:pPr>
              <w:pStyle w:val="ListParagraph"/>
              <w:numPr>
                <w:ilvl w:val="0"/>
                <w:numId w:val="6"/>
              </w:numPr>
              <w:spacing w:after="120"/>
              <w:ind w:left="304" w:hanging="304"/>
              <w:jc w:val="both"/>
              <w:rPr>
                <w:rFonts w:eastAsia="Calibri" w:cs="Calibri"/>
                <w:sz w:val="18"/>
                <w:lang w:val="es-BO"/>
              </w:rPr>
            </w:pPr>
            <w:r w:rsidRPr="007614FD">
              <w:rPr>
                <w:rFonts w:eastAsia="Calibri" w:cs="Calibri"/>
                <w:sz w:val="18"/>
                <w:lang w:val="es-BO"/>
              </w:rPr>
              <w:t xml:space="preserve">se considere el desarrollo de un </w:t>
            </w:r>
            <w:proofErr w:type="spellStart"/>
            <w:r w:rsidRPr="007614FD">
              <w:rPr>
                <w:rFonts w:eastAsia="Calibri" w:cs="Calibri"/>
                <w:sz w:val="18"/>
                <w:lang w:val="es-BO"/>
              </w:rPr>
              <w:t>iPACK</w:t>
            </w:r>
            <w:proofErr w:type="spellEnd"/>
            <w:r w:rsidRPr="007614FD">
              <w:rPr>
                <w:rFonts w:eastAsia="Calibri" w:cs="Calibri"/>
                <w:sz w:val="18"/>
                <w:lang w:val="es-BO"/>
              </w:rPr>
              <w:t xml:space="preserve"> para apoyar la implementación de un SSP efectivo en los Estados, y que la impartición del mismo esté a cargo de especialistas provistos por aquellos Estados que cuenten con un SSP implementado, y que hubieran obtenido un resultado satisfactorio durante una evaluación de la implantación de los programas estatales de seguridad operacional (SSPIA)</w:t>
            </w:r>
            <w:r>
              <w:rPr>
                <w:rFonts w:eastAsia="Calibri" w:cs="Calibri"/>
                <w:sz w:val="18"/>
                <w:lang w:val="es-BO"/>
              </w:rPr>
              <w:t>; y</w:t>
            </w:r>
          </w:p>
          <w:p w14:paraId="7A29EDF6" w14:textId="77777777" w:rsidR="00DB6514" w:rsidRPr="007614FD" w:rsidRDefault="00DB6514" w:rsidP="008A682E">
            <w:pPr>
              <w:pStyle w:val="ListParagraph"/>
              <w:numPr>
                <w:ilvl w:val="0"/>
                <w:numId w:val="6"/>
              </w:numPr>
              <w:spacing w:after="120"/>
              <w:ind w:left="304" w:hanging="304"/>
              <w:jc w:val="both"/>
              <w:rPr>
                <w:rFonts w:eastAsia="Calibri" w:cs="Calibri"/>
                <w:sz w:val="18"/>
                <w:lang w:val="es-BO"/>
              </w:rPr>
            </w:pPr>
            <w:r>
              <w:rPr>
                <w:rFonts w:eastAsia="Calibri" w:cs="Calibri"/>
                <w:sz w:val="18"/>
                <w:lang w:val="es-BO"/>
              </w:rPr>
              <w:t xml:space="preserve">se programe una mayor cantidad de </w:t>
            </w:r>
            <w:proofErr w:type="spellStart"/>
            <w:r>
              <w:rPr>
                <w:rFonts w:eastAsia="Calibri" w:cs="Calibri"/>
                <w:sz w:val="18"/>
                <w:lang w:val="es-BO"/>
              </w:rPr>
              <w:t>SSPIAs</w:t>
            </w:r>
            <w:proofErr w:type="spellEnd"/>
            <w:r>
              <w:rPr>
                <w:rFonts w:eastAsia="Calibri" w:cs="Calibri"/>
                <w:sz w:val="18"/>
                <w:lang w:val="es-BO"/>
              </w:rPr>
              <w:t xml:space="preserve"> en cada región, por lo menos dos (2) por año, a partir de 2025, informando a los Estados con dos (2) años de anticipación de tal manera que tengan suficiente tiempo para su preparación.</w:t>
            </w:r>
          </w:p>
        </w:tc>
        <w:tc>
          <w:tcPr>
            <w:tcW w:w="1669" w:type="pct"/>
            <w:tcBorders>
              <w:left w:val="single" w:sz="4" w:space="0" w:color="auto"/>
              <w:bottom w:val="single" w:sz="4" w:space="0" w:color="auto"/>
              <w:right w:val="single" w:sz="4" w:space="0" w:color="auto"/>
            </w:tcBorders>
          </w:tcPr>
          <w:p w14:paraId="359ADE98" w14:textId="77777777" w:rsidR="00DB6514" w:rsidRPr="005879C4" w:rsidRDefault="00DB6514" w:rsidP="00392658">
            <w:pPr>
              <w:rPr>
                <w:rFonts w:eastAsia="Calibri" w:cs="Calibri"/>
                <w:bCs/>
                <w:sz w:val="18"/>
                <w:lang w:val="es-BO"/>
              </w:rPr>
            </w:pPr>
            <w:r>
              <w:rPr>
                <w:rFonts w:ascii="MS Gothic" w:eastAsia="MS Gothic" w:hAnsi="MS Gothic" w:cs="Calibri" w:hint="eastAsia"/>
                <w:bCs/>
                <w:sz w:val="18"/>
                <w:lang w:val="es-BO"/>
              </w:rPr>
              <w:t>☐</w:t>
            </w:r>
            <w:r w:rsidRPr="005879C4">
              <w:rPr>
                <w:rFonts w:eastAsia="Calibri" w:cs="Calibri"/>
                <w:bCs/>
                <w:sz w:val="18"/>
                <w:lang w:val="es-BO"/>
              </w:rPr>
              <w:t xml:space="preserve"> Político/Global</w:t>
            </w:r>
          </w:p>
          <w:p w14:paraId="115A3A2C" w14:textId="77777777" w:rsidR="00DB6514" w:rsidRPr="005879C4" w:rsidRDefault="00DB6514" w:rsidP="00392658">
            <w:pPr>
              <w:rPr>
                <w:rFonts w:eastAsia="Calibri" w:cs="Calibri"/>
                <w:bCs/>
                <w:sz w:val="18"/>
                <w:lang w:val="es-BO"/>
              </w:rPr>
            </w:pPr>
            <w:r>
              <w:rPr>
                <w:rFonts w:ascii="MS Gothic" w:eastAsia="MS Gothic" w:hAnsi="MS Gothic" w:cs="Calibri" w:hint="eastAsia"/>
                <w:bCs/>
                <w:sz w:val="18"/>
                <w:lang w:val="es-BO"/>
              </w:rPr>
              <w:t>☒</w:t>
            </w:r>
            <w:r w:rsidRPr="005879C4">
              <w:rPr>
                <w:rFonts w:eastAsia="Calibri" w:cs="Calibri"/>
                <w:bCs/>
                <w:sz w:val="18"/>
                <w:lang w:val="es-BO"/>
              </w:rPr>
              <w:t xml:space="preserve"> Inter-regional</w:t>
            </w:r>
          </w:p>
          <w:p w14:paraId="4D76725D" w14:textId="77777777" w:rsidR="00DB6514" w:rsidRPr="005879C4" w:rsidRDefault="00DB6514" w:rsidP="00392658">
            <w:pPr>
              <w:rPr>
                <w:rFonts w:eastAsia="Calibri" w:cs="Calibri"/>
                <w:bCs/>
                <w:sz w:val="18"/>
                <w:lang w:val="es-BO"/>
              </w:rPr>
            </w:pPr>
            <w:r>
              <w:rPr>
                <w:rFonts w:ascii="MS Gothic" w:eastAsia="MS Gothic" w:hAnsi="MS Gothic" w:cs="Calibri" w:hint="eastAsia"/>
                <w:bCs/>
                <w:sz w:val="18"/>
                <w:lang w:val="es-BO"/>
              </w:rPr>
              <w:t>☐</w:t>
            </w:r>
            <w:r w:rsidRPr="005879C4">
              <w:rPr>
                <w:rFonts w:eastAsia="Calibri" w:cs="Calibri"/>
                <w:bCs/>
                <w:sz w:val="18"/>
                <w:lang w:val="es-BO"/>
              </w:rPr>
              <w:t xml:space="preserve"> Económico</w:t>
            </w:r>
          </w:p>
          <w:p w14:paraId="540E4575" w14:textId="77777777" w:rsidR="00DB6514" w:rsidRPr="005879C4" w:rsidRDefault="00DB6514" w:rsidP="00392658">
            <w:pPr>
              <w:rPr>
                <w:rFonts w:eastAsia="Calibri" w:cs="Calibri"/>
                <w:bCs/>
                <w:sz w:val="18"/>
                <w:lang w:val="es-BO"/>
              </w:rPr>
            </w:pPr>
            <w:r w:rsidRPr="005879C4">
              <w:rPr>
                <w:rFonts w:ascii="Segoe UI Symbol" w:eastAsia="Calibri" w:hAnsi="Segoe UI Symbol" w:cs="Segoe UI Symbol"/>
                <w:bCs/>
                <w:sz w:val="18"/>
                <w:lang w:val="es-BO"/>
              </w:rPr>
              <w:t>☐</w:t>
            </w:r>
            <w:r w:rsidRPr="005879C4">
              <w:rPr>
                <w:rFonts w:eastAsia="Calibri" w:cs="Calibri"/>
                <w:bCs/>
                <w:sz w:val="18"/>
                <w:lang w:val="es-BO"/>
              </w:rPr>
              <w:t xml:space="preserve"> Ambiental</w:t>
            </w:r>
          </w:p>
          <w:p w14:paraId="428B7404" w14:textId="77777777" w:rsidR="00DB6514" w:rsidRPr="00894F2F" w:rsidRDefault="00DB6514" w:rsidP="00392658">
            <w:pPr>
              <w:rPr>
                <w:rFonts w:eastAsia="Calibri" w:cs="Calibri"/>
                <w:bCs/>
                <w:sz w:val="18"/>
                <w:lang w:val="es-BO"/>
              </w:rPr>
            </w:pPr>
            <w:r w:rsidRPr="00894F2F">
              <w:rPr>
                <w:rFonts w:ascii="Segoe UI Symbol" w:eastAsia="Calibri" w:hAnsi="Segoe UI Symbol" w:cs="Segoe UI Symbol"/>
                <w:bCs/>
                <w:sz w:val="18"/>
                <w:lang w:val="es-BO"/>
              </w:rPr>
              <w:t>☒</w:t>
            </w:r>
            <w:r w:rsidRPr="00894F2F">
              <w:rPr>
                <w:rFonts w:eastAsia="Calibri" w:cs="Calibri"/>
                <w:bCs/>
                <w:sz w:val="18"/>
                <w:lang w:val="es-BO"/>
              </w:rPr>
              <w:t xml:space="preserve"> Operacional/Técnico</w:t>
            </w:r>
          </w:p>
        </w:tc>
      </w:tr>
      <w:tr w:rsidR="00DB6514" w:rsidRPr="008A682E" w14:paraId="643A0E4B" w14:textId="77777777" w:rsidTr="00392658">
        <w:trPr>
          <w:trHeight w:val="432"/>
        </w:trPr>
        <w:tc>
          <w:tcPr>
            <w:tcW w:w="5000" w:type="pct"/>
            <w:gridSpan w:val="8"/>
            <w:tcBorders>
              <w:top w:val="single" w:sz="4" w:space="0" w:color="auto"/>
              <w:left w:val="single" w:sz="4" w:space="0" w:color="auto"/>
              <w:bottom w:val="single" w:sz="4" w:space="0" w:color="auto"/>
              <w:right w:val="single" w:sz="4" w:space="0" w:color="auto"/>
            </w:tcBorders>
            <w:vAlign w:val="center"/>
          </w:tcPr>
          <w:p w14:paraId="309BCDFC" w14:textId="77777777" w:rsidR="00DB6514" w:rsidRPr="005879C4" w:rsidRDefault="00DB6514" w:rsidP="00392658">
            <w:pPr>
              <w:ind w:left="1019" w:hanging="1019"/>
              <w:rPr>
                <w:rFonts w:eastAsia="Calibri" w:cs="Calibri"/>
                <w:b/>
                <w:sz w:val="18"/>
                <w:lang w:val="es-BO"/>
              </w:rPr>
            </w:pPr>
            <w:r w:rsidRPr="005879C4">
              <w:rPr>
                <w:rFonts w:eastAsia="Calibri" w:cs="Calibri"/>
                <w:b/>
                <w:sz w:val="18"/>
                <w:lang w:val="es-BO"/>
              </w:rPr>
              <w:t xml:space="preserve">Porqué:          </w:t>
            </w:r>
            <w:r>
              <w:rPr>
                <w:rFonts w:eastAsia="Calibri" w:cs="Calibri"/>
                <w:sz w:val="18"/>
                <w:lang w:val="es-BO"/>
              </w:rPr>
              <w:t xml:space="preserve">Para fortalecer e impulsar el proceso de establecimiento e implementación de los SSP en los Estados de la Región. </w:t>
            </w:r>
          </w:p>
        </w:tc>
      </w:tr>
      <w:tr w:rsidR="00DB6514" w:rsidRPr="0005177D" w14:paraId="1EB928C4" w14:textId="77777777" w:rsidTr="00392658">
        <w:trPr>
          <w:trHeight w:val="432"/>
        </w:trPr>
        <w:tc>
          <w:tcPr>
            <w:tcW w:w="565" w:type="pct"/>
            <w:gridSpan w:val="2"/>
            <w:tcBorders>
              <w:top w:val="single" w:sz="4" w:space="0" w:color="auto"/>
              <w:left w:val="single" w:sz="4" w:space="0" w:color="auto"/>
              <w:bottom w:val="single" w:sz="4" w:space="0" w:color="auto"/>
            </w:tcBorders>
            <w:vAlign w:val="center"/>
          </w:tcPr>
          <w:p w14:paraId="2243339B" w14:textId="77777777" w:rsidR="00DB6514" w:rsidRPr="008E74C3" w:rsidRDefault="00DB6514" w:rsidP="00392658">
            <w:pPr>
              <w:rPr>
                <w:rFonts w:eastAsia="Calibri" w:cs="Calibri"/>
                <w:b/>
                <w:sz w:val="18"/>
                <w:lang w:val="es-PE"/>
              </w:rPr>
            </w:pPr>
            <w:r w:rsidRPr="008E74C3">
              <w:rPr>
                <w:rFonts w:eastAsia="Calibri" w:cs="Calibri"/>
                <w:b/>
                <w:sz w:val="18"/>
                <w:lang w:val="es-PE"/>
              </w:rPr>
              <w:t>Cuándo:</w:t>
            </w:r>
          </w:p>
        </w:tc>
        <w:tc>
          <w:tcPr>
            <w:tcW w:w="1794" w:type="pct"/>
            <w:gridSpan w:val="2"/>
            <w:tcBorders>
              <w:top w:val="single" w:sz="4" w:space="0" w:color="auto"/>
              <w:bottom w:val="single" w:sz="4" w:space="0" w:color="auto"/>
              <w:right w:val="single" w:sz="4" w:space="0" w:color="auto"/>
            </w:tcBorders>
            <w:vAlign w:val="center"/>
          </w:tcPr>
          <w:p w14:paraId="071F8B6B" w14:textId="77777777" w:rsidR="00DB6514" w:rsidRPr="003C140B" w:rsidRDefault="00DB6514" w:rsidP="00392658">
            <w:pPr>
              <w:rPr>
                <w:rFonts w:eastAsia="Calibri" w:cs="Calibri"/>
                <w:b/>
                <w:sz w:val="18"/>
                <w:lang w:val="es-BO"/>
              </w:rPr>
            </w:pPr>
            <w:r>
              <w:rPr>
                <w:rFonts w:eastAsia="Calibri" w:cs="Calibri"/>
                <w:sz w:val="18"/>
                <w:lang w:val="es-BO"/>
              </w:rPr>
              <w:t xml:space="preserve">Como parte del próximo informe anual de los </w:t>
            </w:r>
            <w:proofErr w:type="spellStart"/>
            <w:r>
              <w:rPr>
                <w:rFonts w:eastAsia="Calibri" w:cs="Calibri"/>
                <w:sz w:val="18"/>
                <w:lang w:val="es-BO"/>
              </w:rPr>
              <w:t>RASGs</w:t>
            </w:r>
            <w:proofErr w:type="spellEnd"/>
            <w:r>
              <w:rPr>
                <w:rFonts w:eastAsia="Calibri" w:cs="Calibri"/>
                <w:sz w:val="18"/>
                <w:lang w:val="es-BO"/>
              </w:rPr>
              <w:t xml:space="preserve"> a la ANC.  </w:t>
            </w:r>
          </w:p>
        </w:tc>
        <w:tc>
          <w:tcPr>
            <w:tcW w:w="566" w:type="pct"/>
            <w:gridSpan w:val="2"/>
            <w:tcBorders>
              <w:top w:val="single" w:sz="4" w:space="0" w:color="auto"/>
              <w:left w:val="single" w:sz="4" w:space="0" w:color="auto"/>
              <w:bottom w:val="single" w:sz="4" w:space="0" w:color="auto"/>
            </w:tcBorders>
            <w:vAlign w:val="center"/>
          </w:tcPr>
          <w:p w14:paraId="60342DA2" w14:textId="77777777" w:rsidR="00DB6514" w:rsidRPr="00894F2F" w:rsidRDefault="00DB6514" w:rsidP="00392658">
            <w:pPr>
              <w:rPr>
                <w:rFonts w:eastAsia="Calibri" w:cs="Calibri"/>
                <w:b/>
                <w:sz w:val="18"/>
                <w:lang w:val="es-BO"/>
              </w:rPr>
            </w:pPr>
            <w:r w:rsidRPr="00894F2F">
              <w:rPr>
                <w:rFonts w:eastAsia="Calibri" w:cs="Calibri"/>
                <w:b/>
                <w:sz w:val="18"/>
                <w:lang w:val="es-BO"/>
              </w:rPr>
              <w:t>Estado:</w:t>
            </w:r>
          </w:p>
        </w:tc>
        <w:tc>
          <w:tcPr>
            <w:tcW w:w="2075" w:type="pct"/>
            <w:gridSpan w:val="2"/>
            <w:tcBorders>
              <w:top w:val="single" w:sz="4" w:space="0" w:color="auto"/>
              <w:bottom w:val="single" w:sz="4" w:space="0" w:color="auto"/>
              <w:right w:val="single" w:sz="4" w:space="0" w:color="auto"/>
            </w:tcBorders>
            <w:vAlign w:val="center"/>
          </w:tcPr>
          <w:p w14:paraId="4CC78EAC" w14:textId="77777777" w:rsidR="00DB6514" w:rsidRPr="00894F2F" w:rsidRDefault="00DB6514" w:rsidP="00392658">
            <w:pPr>
              <w:ind w:left="-9"/>
              <w:rPr>
                <w:rFonts w:eastAsia="Calibri" w:cs="Calibri"/>
                <w:sz w:val="18"/>
                <w:lang w:val="es-BO"/>
              </w:rPr>
            </w:pPr>
            <w:r w:rsidRPr="00894F2F">
              <w:rPr>
                <w:rFonts w:eastAsia="MS Gothic" w:cs="Calibri"/>
                <w:bCs/>
                <w:sz w:val="18"/>
                <w:lang w:val="es-BO"/>
              </w:rPr>
              <w:t>Válido</w:t>
            </w:r>
          </w:p>
        </w:tc>
      </w:tr>
      <w:tr w:rsidR="00DB6514" w:rsidRPr="0005177D" w14:paraId="468CC7AC" w14:textId="77777777" w:rsidTr="00392658">
        <w:trPr>
          <w:trHeight w:val="432"/>
        </w:trPr>
        <w:tc>
          <w:tcPr>
            <w:tcW w:w="565" w:type="pct"/>
            <w:gridSpan w:val="2"/>
            <w:tcBorders>
              <w:top w:val="single" w:sz="4" w:space="0" w:color="auto"/>
              <w:left w:val="single" w:sz="4" w:space="0" w:color="auto"/>
              <w:bottom w:val="single" w:sz="4" w:space="0" w:color="auto"/>
            </w:tcBorders>
            <w:vAlign w:val="center"/>
          </w:tcPr>
          <w:p w14:paraId="405D973C" w14:textId="77777777" w:rsidR="00DB6514" w:rsidRPr="00894F2F" w:rsidRDefault="00DB6514" w:rsidP="00392658">
            <w:pPr>
              <w:rPr>
                <w:rFonts w:eastAsia="Calibri" w:cs="Calibri"/>
                <w:b/>
                <w:sz w:val="18"/>
                <w:lang w:val="es-BO"/>
              </w:rPr>
            </w:pPr>
            <w:r>
              <w:rPr>
                <w:rFonts w:eastAsia="Calibri" w:cs="Calibri"/>
                <w:b/>
                <w:sz w:val="18"/>
                <w:lang w:val="es-BO"/>
              </w:rPr>
              <w:t>Quié</w:t>
            </w:r>
            <w:r w:rsidRPr="00894F2F">
              <w:rPr>
                <w:rFonts w:eastAsia="Calibri" w:cs="Calibri"/>
                <w:b/>
                <w:sz w:val="18"/>
                <w:lang w:val="es-BO"/>
              </w:rPr>
              <w:t>n:</w:t>
            </w:r>
          </w:p>
        </w:tc>
        <w:tc>
          <w:tcPr>
            <w:tcW w:w="2218" w:type="pct"/>
            <w:gridSpan w:val="3"/>
            <w:tcBorders>
              <w:top w:val="single" w:sz="4" w:space="0" w:color="auto"/>
              <w:bottom w:val="single" w:sz="4" w:space="0" w:color="auto"/>
              <w:right w:val="single" w:sz="4" w:space="0" w:color="auto"/>
            </w:tcBorders>
            <w:vAlign w:val="center"/>
          </w:tcPr>
          <w:p w14:paraId="617F9CD4" w14:textId="77777777" w:rsidR="00DB6514" w:rsidRPr="001461B3" w:rsidRDefault="00DB6514" w:rsidP="00392658">
            <w:pPr>
              <w:ind w:left="-9"/>
              <w:rPr>
                <w:rFonts w:eastAsia="Calibri" w:cs="Calibri"/>
                <w:bCs/>
                <w:sz w:val="18"/>
                <w:lang w:val="es-PE"/>
              </w:rPr>
            </w:pPr>
            <w:r w:rsidRPr="001461B3">
              <w:rPr>
                <w:rFonts w:eastAsia="Calibri" w:cs="Calibri"/>
                <w:bCs/>
                <w:sz w:val="18"/>
                <w:lang w:val="es-PE"/>
              </w:rPr>
              <w:t xml:space="preserve"> </w:t>
            </w:r>
            <w:sdt>
              <w:sdtPr>
                <w:rPr>
                  <w:rFonts w:eastAsia="Calibri" w:cs="Calibri"/>
                  <w:bCs/>
                  <w:sz w:val="18"/>
                  <w:lang w:val="es-PE"/>
                </w:rPr>
                <w:id w:val="1472868449"/>
                <w14:checkbox>
                  <w14:checked w14:val="1"/>
                  <w14:checkedState w14:val="2612" w14:font="MS Gothic"/>
                  <w14:uncheckedState w14:val="2610" w14:font="MS Gothic"/>
                </w14:checkbox>
              </w:sdtPr>
              <w:sdtEndPr/>
              <w:sdtContent>
                <w:r w:rsidRPr="001461B3">
                  <w:rPr>
                    <w:rFonts w:ascii="MS Gothic" w:eastAsia="MS Gothic" w:hAnsi="MS Gothic" w:cs="Calibri" w:hint="eastAsia"/>
                    <w:bCs/>
                    <w:sz w:val="18"/>
                    <w:lang w:val="es-PE"/>
                  </w:rPr>
                  <w:t>☒</w:t>
                </w:r>
              </w:sdtContent>
            </w:sdt>
            <w:r w:rsidRPr="001461B3">
              <w:rPr>
                <w:rFonts w:eastAsia="Calibri" w:cs="Calibri"/>
                <w:bCs/>
                <w:sz w:val="18"/>
                <w:lang w:val="es-PE"/>
              </w:rPr>
              <w:t xml:space="preserve"> </w:t>
            </w:r>
            <w:r>
              <w:rPr>
                <w:rFonts w:eastAsia="Calibri" w:cs="Calibri"/>
                <w:bCs/>
                <w:sz w:val="18"/>
                <w:lang w:val="es-PE"/>
              </w:rPr>
              <w:t>Secretaría</w:t>
            </w:r>
          </w:p>
        </w:tc>
        <w:tc>
          <w:tcPr>
            <w:tcW w:w="2218" w:type="pct"/>
            <w:gridSpan w:val="3"/>
            <w:tcBorders>
              <w:top w:val="single" w:sz="4" w:space="0" w:color="auto"/>
              <w:bottom w:val="single" w:sz="4" w:space="0" w:color="auto"/>
              <w:right w:val="single" w:sz="4" w:space="0" w:color="auto"/>
            </w:tcBorders>
            <w:vAlign w:val="center"/>
          </w:tcPr>
          <w:p w14:paraId="77B06E84" w14:textId="77777777" w:rsidR="00DB6514" w:rsidRPr="00A01B25" w:rsidRDefault="00DB6514" w:rsidP="00392658">
            <w:pPr>
              <w:ind w:left="-9"/>
              <w:rPr>
                <w:rFonts w:eastAsia="Calibri" w:cs="Calibri"/>
                <w:sz w:val="18"/>
                <w:lang w:val="es-BO"/>
              </w:rPr>
            </w:pPr>
            <w:r w:rsidRPr="00A01B25">
              <w:rPr>
                <w:rFonts w:eastAsia="Calibri" w:cs="Calibri"/>
                <w:b/>
                <w:sz w:val="18"/>
                <w:lang w:val="es-BO"/>
              </w:rPr>
              <w:t>Responsable</w:t>
            </w:r>
            <w:r>
              <w:rPr>
                <w:rFonts w:eastAsia="Calibri" w:cs="Calibri"/>
                <w:b/>
                <w:sz w:val="18"/>
                <w:lang w:val="es-BO"/>
              </w:rPr>
              <w:t>s</w:t>
            </w:r>
            <w:r w:rsidRPr="00A01B25">
              <w:rPr>
                <w:rFonts w:eastAsia="Calibri" w:cs="Calibri"/>
                <w:sz w:val="18"/>
                <w:lang w:val="es-BO"/>
              </w:rPr>
              <w:t xml:space="preserve">: </w:t>
            </w:r>
            <w:r>
              <w:rPr>
                <w:rFonts w:eastAsia="Calibri" w:cs="Calibri"/>
                <w:sz w:val="18"/>
                <w:lang w:val="es-BO"/>
              </w:rPr>
              <w:t xml:space="preserve">Javier Puente </w:t>
            </w:r>
          </w:p>
        </w:tc>
      </w:tr>
    </w:tbl>
    <w:p w14:paraId="21D4E5EE" w14:textId="77777777" w:rsidR="0005177D" w:rsidRPr="005406D9" w:rsidRDefault="0005177D" w:rsidP="00A62CAD">
      <w:pPr>
        <w:tabs>
          <w:tab w:val="left" w:pos="1440"/>
        </w:tabs>
        <w:spacing w:after="120"/>
        <w:jc w:val="both"/>
        <w:rPr>
          <w:rFonts w:asciiTheme="minorHAnsi" w:hAnsiTheme="minorHAnsi"/>
          <w:lang w:val="es-ES_tradnl"/>
        </w:rPr>
      </w:pPr>
    </w:p>
    <w:p w14:paraId="7F85AA22" w14:textId="54B4AEBA" w:rsidR="00A62CAD" w:rsidRDefault="00D0513B" w:rsidP="008A682E">
      <w:pPr>
        <w:tabs>
          <w:tab w:val="left" w:pos="1440"/>
        </w:tabs>
        <w:jc w:val="both"/>
        <w:rPr>
          <w:rFonts w:asciiTheme="minorHAnsi" w:hAnsiTheme="minorHAnsi"/>
          <w:b/>
          <w:lang w:val="es-ES_tradnl"/>
        </w:rPr>
      </w:pPr>
      <w:r>
        <w:rPr>
          <w:rFonts w:asciiTheme="minorHAnsi" w:hAnsiTheme="minorHAnsi"/>
          <w:b/>
          <w:lang w:val="es-ES_tradnl"/>
        </w:rPr>
        <w:t>4</w:t>
      </w:r>
      <w:r w:rsidR="00A62CAD">
        <w:rPr>
          <w:rFonts w:asciiTheme="minorHAnsi" w:hAnsiTheme="minorHAnsi"/>
          <w:b/>
          <w:lang w:val="es-ES_tradnl"/>
        </w:rPr>
        <w:tab/>
        <w:t>Acciones Sugeridas:</w:t>
      </w:r>
    </w:p>
    <w:p w14:paraId="329FE9DE" w14:textId="77777777" w:rsidR="008A682E" w:rsidRPr="00F52AA7" w:rsidRDefault="008A682E" w:rsidP="008A682E">
      <w:pPr>
        <w:tabs>
          <w:tab w:val="left" w:pos="1440"/>
        </w:tabs>
        <w:jc w:val="both"/>
        <w:rPr>
          <w:rFonts w:asciiTheme="minorHAnsi" w:hAnsiTheme="minorHAnsi"/>
          <w:b/>
          <w:lang w:val="es-ES_tradnl"/>
        </w:rPr>
      </w:pPr>
    </w:p>
    <w:p w14:paraId="45DCCFEA" w14:textId="308E141E" w:rsidR="00A62CAD" w:rsidRDefault="00D0513B" w:rsidP="008A682E">
      <w:pPr>
        <w:tabs>
          <w:tab w:val="left" w:pos="1440"/>
        </w:tabs>
        <w:jc w:val="both"/>
        <w:rPr>
          <w:rFonts w:asciiTheme="minorHAnsi" w:hAnsiTheme="minorHAnsi"/>
          <w:lang w:val="es-ES_tradnl"/>
        </w:rPr>
      </w:pPr>
      <w:r>
        <w:rPr>
          <w:rFonts w:asciiTheme="minorHAnsi" w:hAnsiTheme="minorHAnsi"/>
          <w:lang w:val="es-ES_tradnl"/>
        </w:rPr>
        <w:t>4</w:t>
      </w:r>
      <w:r w:rsidR="00A62CAD" w:rsidRPr="00B22749">
        <w:rPr>
          <w:rFonts w:asciiTheme="minorHAnsi" w:hAnsiTheme="minorHAnsi"/>
          <w:lang w:val="es-ES_tradnl"/>
        </w:rPr>
        <w:t xml:space="preserve">.1 </w:t>
      </w:r>
      <w:r w:rsidR="00A62CAD" w:rsidRPr="00B22749">
        <w:rPr>
          <w:rFonts w:asciiTheme="minorHAnsi" w:hAnsiTheme="minorHAnsi"/>
          <w:lang w:val="es-ES_tradnl"/>
        </w:rPr>
        <w:tab/>
        <w:t>Se invita a la Reunión a:</w:t>
      </w:r>
    </w:p>
    <w:p w14:paraId="55A6A175" w14:textId="77777777" w:rsidR="008A682E" w:rsidRPr="00B22749" w:rsidRDefault="008A682E" w:rsidP="008A682E">
      <w:pPr>
        <w:tabs>
          <w:tab w:val="left" w:pos="1440"/>
        </w:tabs>
        <w:jc w:val="both"/>
        <w:rPr>
          <w:rFonts w:asciiTheme="minorHAnsi" w:hAnsiTheme="minorHAnsi"/>
          <w:lang w:val="es-ES_tradnl"/>
        </w:rPr>
      </w:pPr>
    </w:p>
    <w:p w14:paraId="43211DB2" w14:textId="08D85D3D" w:rsidR="00A62CAD" w:rsidRPr="008A682E" w:rsidRDefault="00A62CAD" w:rsidP="008A682E">
      <w:pPr>
        <w:pStyle w:val="ListParagraph"/>
        <w:numPr>
          <w:ilvl w:val="0"/>
          <w:numId w:val="7"/>
        </w:numPr>
        <w:ind w:firstLine="106"/>
        <w:jc w:val="both"/>
        <w:rPr>
          <w:rFonts w:asciiTheme="minorHAnsi" w:hAnsiTheme="minorHAnsi"/>
          <w:lang w:val="es-ES_tradnl"/>
        </w:rPr>
      </w:pPr>
      <w:r w:rsidRPr="008A682E">
        <w:rPr>
          <w:rFonts w:asciiTheme="minorHAnsi" w:hAnsiTheme="minorHAnsi"/>
          <w:lang w:val="es-ES_tradnl"/>
        </w:rPr>
        <w:t>Revisar el contenido de la presente</w:t>
      </w:r>
      <w:r w:rsidR="006F16D7">
        <w:rPr>
          <w:rFonts w:asciiTheme="minorHAnsi" w:hAnsiTheme="minorHAnsi"/>
          <w:lang w:val="es-ES_tradnl"/>
        </w:rPr>
        <w:t xml:space="preserve"> n</w:t>
      </w:r>
      <w:r w:rsidRPr="008A682E">
        <w:rPr>
          <w:rFonts w:asciiTheme="minorHAnsi" w:hAnsiTheme="minorHAnsi"/>
          <w:lang w:val="es-ES_tradnl"/>
        </w:rPr>
        <w:t>ota</w:t>
      </w:r>
      <w:r w:rsidR="006F16D7">
        <w:rPr>
          <w:rFonts w:asciiTheme="minorHAnsi" w:hAnsiTheme="minorHAnsi"/>
          <w:lang w:val="es-ES_tradnl"/>
        </w:rPr>
        <w:t xml:space="preserve"> de e</w:t>
      </w:r>
      <w:bookmarkStart w:id="0" w:name="_GoBack"/>
      <w:bookmarkEnd w:id="0"/>
      <w:r w:rsidRPr="008A682E">
        <w:rPr>
          <w:rFonts w:asciiTheme="minorHAnsi" w:hAnsiTheme="minorHAnsi"/>
          <w:lang w:val="es-ES_tradnl"/>
        </w:rPr>
        <w:t>studi</w:t>
      </w:r>
      <w:r w:rsidR="001461B3" w:rsidRPr="008A682E">
        <w:rPr>
          <w:rFonts w:asciiTheme="minorHAnsi" w:hAnsiTheme="minorHAnsi"/>
          <w:lang w:val="es-ES_tradnl"/>
        </w:rPr>
        <w:t>o</w:t>
      </w:r>
      <w:r w:rsidRPr="008A682E">
        <w:rPr>
          <w:rFonts w:asciiTheme="minorHAnsi" w:hAnsiTheme="minorHAnsi"/>
          <w:lang w:val="es-ES_tradnl"/>
        </w:rPr>
        <w:t>; y</w:t>
      </w:r>
    </w:p>
    <w:p w14:paraId="2A3A6D36" w14:textId="77777777" w:rsidR="008A682E" w:rsidRPr="008A682E" w:rsidRDefault="008A682E" w:rsidP="008A682E">
      <w:pPr>
        <w:pStyle w:val="ListParagraph"/>
        <w:ind w:left="1350" w:firstLine="106"/>
        <w:jc w:val="both"/>
        <w:rPr>
          <w:rFonts w:asciiTheme="minorHAnsi" w:hAnsiTheme="minorHAnsi"/>
          <w:lang w:val="es-ES_tradnl"/>
        </w:rPr>
      </w:pPr>
    </w:p>
    <w:p w14:paraId="687D1FC3" w14:textId="1237265D" w:rsidR="00A62CAD" w:rsidRPr="008A682E" w:rsidRDefault="00A62CAD" w:rsidP="008A682E">
      <w:pPr>
        <w:pStyle w:val="ListParagraph"/>
        <w:numPr>
          <w:ilvl w:val="0"/>
          <w:numId w:val="7"/>
        </w:numPr>
        <w:ind w:left="2127" w:hanging="671"/>
        <w:jc w:val="both"/>
        <w:rPr>
          <w:rFonts w:asciiTheme="minorHAnsi" w:hAnsiTheme="minorHAnsi"/>
          <w:lang w:val="es-ES_tradnl"/>
        </w:rPr>
      </w:pPr>
      <w:r w:rsidRPr="008A682E">
        <w:rPr>
          <w:rFonts w:asciiTheme="minorHAnsi" w:hAnsiTheme="minorHAnsi"/>
          <w:lang w:val="es-ES_tradnl"/>
        </w:rPr>
        <w:t>Comentar y aprobar la</w:t>
      </w:r>
      <w:r w:rsidR="0005177D" w:rsidRPr="008A682E">
        <w:rPr>
          <w:rFonts w:asciiTheme="minorHAnsi" w:hAnsiTheme="minorHAnsi"/>
          <w:lang w:val="es-ES_tradnl"/>
        </w:rPr>
        <w:t xml:space="preserve">s Conclusiones </w:t>
      </w:r>
      <w:r w:rsidR="001461B3" w:rsidRPr="008A682E">
        <w:rPr>
          <w:rFonts w:asciiTheme="minorHAnsi" w:hAnsiTheme="minorHAnsi"/>
          <w:lang w:val="es-ES_tradnl"/>
        </w:rPr>
        <w:t>propuesta</w:t>
      </w:r>
      <w:r w:rsidR="0005177D" w:rsidRPr="008A682E">
        <w:rPr>
          <w:rFonts w:asciiTheme="minorHAnsi" w:hAnsiTheme="minorHAnsi"/>
          <w:lang w:val="es-ES_tradnl"/>
        </w:rPr>
        <w:t>s</w:t>
      </w:r>
      <w:r w:rsidR="001461B3" w:rsidRPr="008A682E">
        <w:rPr>
          <w:rFonts w:asciiTheme="minorHAnsi" w:hAnsiTheme="minorHAnsi"/>
          <w:lang w:val="es-ES_tradnl"/>
        </w:rPr>
        <w:t xml:space="preserve"> </w:t>
      </w:r>
      <w:r w:rsidR="008E74C3" w:rsidRPr="008A682E">
        <w:rPr>
          <w:rFonts w:asciiTheme="minorHAnsi" w:hAnsiTheme="minorHAnsi"/>
          <w:lang w:val="es-ES_tradnl"/>
        </w:rPr>
        <w:t>en 3.1, 3.2 y 3.3</w:t>
      </w:r>
      <w:r w:rsidR="008A682E">
        <w:rPr>
          <w:rFonts w:asciiTheme="minorHAnsi" w:hAnsiTheme="minorHAnsi"/>
          <w:lang w:val="es-ES_tradnl"/>
        </w:rPr>
        <w:t xml:space="preserve"> de esta n</w:t>
      </w:r>
      <w:r w:rsidR="0005177D" w:rsidRPr="008A682E">
        <w:rPr>
          <w:rFonts w:asciiTheme="minorHAnsi" w:hAnsiTheme="minorHAnsi"/>
          <w:lang w:val="es-ES_tradnl"/>
        </w:rPr>
        <w:t xml:space="preserve">ota de </w:t>
      </w:r>
      <w:r w:rsidR="008A682E">
        <w:rPr>
          <w:rFonts w:asciiTheme="minorHAnsi" w:hAnsiTheme="minorHAnsi"/>
          <w:lang w:val="es-ES_tradnl"/>
        </w:rPr>
        <w:t>estudio</w:t>
      </w:r>
      <w:r w:rsidR="0005177D" w:rsidRPr="008A682E">
        <w:rPr>
          <w:rFonts w:asciiTheme="minorHAnsi" w:hAnsiTheme="minorHAnsi"/>
          <w:lang w:val="es-ES_tradnl"/>
        </w:rPr>
        <w:t xml:space="preserve">. </w:t>
      </w:r>
      <w:r w:rsidRPr="008A682E">
        <w:rPr>
          <w:rFonts w:asciiTheme="minorHAnsi" w:hAnsiTheme="minorHAnsi"/>
          <w:lang w:val="es-ES_tradnl"/>
        </w:rPr>
        <w:t xml:space="preserve"> </w:t>
      </w:r>
    </w:p>
    <w:p w14:paraId="1E93C51F" w14:textId="77777777" w:rsidR="008A682E" w:rsidRPr="008A682E" w:rsidRDefault="008A682E" w:rsidP="008A682E">
      <w:pPr>
        <w:pStyle w:val="ListParagraph"/>
        <w:ind w:firstLine="106"/>
        <w:rPr>
          <w:rFonts w:asciiTheme="minorHAnsi" w:hAnsiTheme="minorHAnsi"/>
          <w:lang w:val="es-ES_tradnl"/>
        </w:rPr>
      </w:pPr>
    </w:p>
    <w:p w14:paraId="155AAD26" w14:textId="77777777" w:rsidR="008A682E" w:rsidRPr="008A682E" w:rsidRDefault="008A682E" w:rsidP="008A682E">
      <w:pPr>
        <w:pStyle w:val="ListParagraph"/>
        <w:ind w:left="1350" w:firstLine="106"/>
        <w:jc w:val="both"/>
        <w:rPr>
          <w:rFonts w:asciiTheme="minorHAnsi" w:hAnsiTheme="minorHAnsi"/>
          <w:lang w:val="es-ES_tradnl"/>
        </w:rPr>
      </w:pPr>
    </w:p>
    <w:p w14:paraId="23385D79" w14:textId="77777777" w:rsidR="00F3409C" w:rsidRPr="003F4F43" w:rsidRDefault="00F3409C" w:rsidP="00F3409C">
      <w:pPr>
        <w:jc w:val="center"/>
        <w:rPr>
          <w:rFonts w:asciiTheme="minorHAnsi" w:hAnsiTheme="minorHAnsi"/>
          <w:lang w:val="es-ES_tradnl"/>
        </w:rPr>
      </w:pPr>
    </w:p>
    <w:p w14:paraId="4466B86F" w14:textId="77777777" w:rsidR="00592C78" w:rsidRPr="003F4F43" w:rsidRDefault="00F3409C" w:rsidP="00D433F2">
      <w:pPr>
        <w:jc w:val="center"/>
        <w:rPr>
          <w:rFonts w:asciiTheme="minorHAnsi" w:hAnsiTheme="minorHAnsi"/>
          <w:lang w:val="es-ES_tradnl"/>
        </w:rPr>
      </w:pPr>
      <w:r w:rsidRPr="003F4F43">
        <w:rPr>
          <w:rFonts w:asciiTheme="minorHAnsi" w:hAnsiTheme="minorHAnsi" w:cs="Times New Roman"/>
          <w:lang w:val="es-ES_tradnl"/>
        </w:rPr>
        <w:t>—</w:t>
      </w:r>
      <w:r w:rsidRPr="003F4F43">
        <w:rPr>
          <w:rFonts w:asciiTheme="minorHAnsi" w:hAnsiTheme="minorHAnsi"/>
          <w:lang w:val="es-ES_tradnl"/>
        </w:rPr>
        <w:t xml:space="preserve"> </w:t>
      </w:r>
      <w:r w:rsidR="000F694F" w:rsidRPr="003F4F43">
        <w:rPr>
          <w:rFonts w:asciiTheme="minorHAnsi" w:hAnsiTheme="minorHAnsi"/>
          <w:lang w:val="es-ES_tradnl"/>
        </w:rPr>
        <w:t>FIN</w:t>
      </w:r>
      <w:r w:rsidRPr="003F4F43">
        <w:rPr>
          <w:rFonts w:asciiTheme="minorHAnsi" w:hAnsiTheme="minorHAnsi"/>
          <w:lang w:val="es-ES_tradnl"/>
        </w:rPr>
        <w:t xml:space="preserve"> </w:t>
      </w:r>
      <w:r w:rsidRPr="003F4F43">
        <w:rPr>
          <w:rFonts w:asciiTheme="minorHAnsi" w:hAnsiTheme="minorHAnsi" w:cs="Times New Roman"/>
          <w:lang w:val="es-ES_tradnl"/>
        </w:rPr>
        <w:t>—</w:t>
      </w:r>
    </w:p>
    <w:sectPr w:rsidR="00592C78" w:rsidRPr="003F4F43" w:rsidSect="008A682E">
      <w:headerReference w:type="even" r:id="rId11"/>
      <w:headerReference w:type="default" r:id="rId12"/>
      <w:headerReference w:type="first" r:id="rId13"/>
      <w:pgSz w:w="12240" w:h="15840" w:code="1"/>
      <w:pgMar w:top="2127" w:right="1440" w:bottom="1080" w:left="1440" w:header="993"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DD59C" w14:textId="77777777" w:rsidR="00A57BC7" w:rsidRDefault="00A57BC7" w:rsidP="00F3409C">
      <w:r>
        <w:separator/>
      </w:r>
    </w:p>
  </w:endnote>
  <w:endnote w:type="continuationSeparator" w:id="0">
    <w:p w14:paraId="704809DF" w14:textId="77777777" w:rsidR="00A57BC7" w:rsidRDefault="00A57BC7" w:rsidP="00F34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81193" w14:textId="77777777" w:rsidR="00A57BC7" w:rsidRDefault="00A57BC7" w:rsidP="00F3409C">
      <w:r>
        <w:separator/>
      </w:r>
    </w:p>
  </w:footnote>
  <w:footnote w:type="continuationSeparator" w:id="0">
    <w:p w14:paraId="426C44D2" w14:textId="77777777" w:rsidR="00A57BC7" w:rsidRDefault="00A57BC7" w:rsidP="00F3409C">
      <w:r>
        <w:continuationSeparator/>
      </w:r>
    </w:p>
  </w:footnote>
  <w:footnote w:id="1">
    <w:p w14:paraId="02249A81" w14:textId="77777777" w:rsidR="005C1623" w:rsidRPr="00DB6514" w:rsidRDefault="005C1623">
      <w:pPr>
        <w:pStyle w:val="FootnoteText"/>
        <w:rPr>
          <w:sz w:val="16"/>
          <w:szCs w:val="16"/>
          <w:lang w:val="es-PE"/>
        </w:rPr>
      </w:pPr>
      <w:r>
        <w:rPr>
          <w:rStyle w:val="FootnoteReference"/>
        </w:rPr>
        <w:footnoteRef/>
      </w:r>
      <w:r w:rsidRPr="00DB6514">
        <w:rPr>
          <w:lang w:val="es-PE"/>
        </w:rPr>
        <w:t xml:space="preserve"> </w:t>
      </w:r>
      <w:r w:rsidRPr="00DB6514">
        <w:rPr>
          <w:sz w:val="16"/>
          <w:szCs w:val="16"/>
          <w:lang w:val="es-PE"/>
        </w:rPr>
        <w:t xml:space="preserve">En el siguiente link se encueta un estudio realizado por OECD en conjunto con las Oficinas Regionales NACC y SAM que puede servir como referencia inicial para el desarrollo de material guía y futuras </w:t>
      </w:r>
      <w:proofErr w:type="spellStart"/>
      <w:r w:rsidRPr="00DB6514">
        <w:rPr>
          <w:sz w:val="16"/>
          <w:szCs w:val="16"/>
          <w:lang w:val="es-PE"/>
        </w:rPr>
        <w:t>PQs</w:t>
      </w:r>
      <w:proofErr w:type="spellEnd"/>
      <w:r w:rsidRPr="00DB6514">
        <w:rPr>
          <w:sz w:val="16"/>
          <w:szCs w:val="16"/>
          <w:lang w:val="es-PE"/>
        </w:rPr>
        <w:t xml:space="preserve"> del USOAP</w:t>
      </w:r>
      <w:r w:rsidR="00171B1D">
        <w:rPr>
          <w:sz w:val="16"/>
          <w:szCs w:val="16"/>
          <w:lang w:val="es-PE"/>
        </w:rPr>
        <w:t xml:space="preserve">  </w:t>
      </w:r>
      <w:r w:rsidR="00171B1D" w:rsidRPr="00171B1D">
        <w:rPr>
          <w:sz w:val="16"/>
          <w:szCs w:val="16"/>
          <w:lang w:val="es-PE"/>
        </w:rPr>
        <w:t xml:space="preserve"> </w:t>
      </w:r>
      <w:hyperlink r:id="rId1" w:history="1">
        <w:r w:rsidR="00DB6514" w:rsidRPr="0005577B">
          <w:rPr>
            <w:rStyle w:val="Hyperlink"/>
            <w:sz w:val="16"/>
            <w:szCs w:val="16"/>
            <w:lang w:val="es-PE"/>
          </w:rPr>
          <w:t>https://www.oecd-ilibrary.org/governance/the-governance-of-civil-aviation-authorities-in-latin-american-countries_e8bdf362-en</w:t>
        </w:r>
      </w:hyperlink>
      <w:r w:rsidR="00DB6514">
        <w:rPr>
          <w:sz w:val="16"/>
          <w:szCs w:val="16"/>
          <w:lang w:val="es-P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DF561" w14:textId="77777777" w:rsidR="001F0044" w:rsidRPr="003F4F43" w:rsidRDefault="001F0044" w:rsidP="001F0044">
    <w:pPr>
      <w:pStyle w:val="Header"/>
      <w:rPr>
        <w:rFonts w:asciiTheme="minorHAnsi" w:hAnsiTheme="minorHAnsi"/>
        <w:lang w:val="fr-CA"/>
      </w:rPr>
    </w:pPr>
    <w:r>
      <w:rPr>
        <w:rFonts w:asciiTheme="minorHAnsi" w:hAnsiTheme="minorHAnsi"/>
        <w:lang w:val="fr-CA"/>
      </w:rPr>
      <w:t>RASG-PA/12</w:t>
    </w:r>
    <w:r w:rsidRPr="003F4F43">
      <w:rPr>
        <w:rFonts w:asciiTheme="minorHAnsi" w:hAnsiTheme="minorHAnsi"/>
        <w:lang w:val="fr-CA"/>
      </w:rPr>
      <w:t xml:space="preserve"> — NE/</w:t>
    </w:r>
    <w:r w:rsidR="008C3DC9">
      <w:rPr>
        <w:rFonts w:asciiTheme="minorHAnsi" w:hAnsiTheme="minorHAnsi"/>
        <w:lang w:val="fr-CA"/>
      </w:rPr>
      <w:t>06</w:t>
    </w:r>
  </w:p>
  <w:p w14:paraId="5CEB7A2E" w14:textId="401226A0" w:rsidR="001F0044" w:rsidRPr="003F4F43" w:rsidRDefault="001F0044" w:rsidP="001F0044">
    <w:pPr>
      <w:pStyle w:val="Header"/>
      <w:jc w:val="center"/>
      <w:rPr>
        <w:rFonts w:asciiTheme="minorHAnsi" w:hAnsiTheme="minorHAnsi"/>
      </w:rPr>
    </w:pPr>
    <w:r w:rsidRPr="003F4F43">
      <w:rPr>
        <w:rStyle w:val="PageNumber"/>
        <w:rFonts w:asciiTheme="minorHAnsi" w:hAnsiTheme="minorHAnsi"/>
      </w:rPr>
      <w:t>—</w:t>
    </w:r>
    <w:r w:rsidRPr="003F4F43">
      <w:rPr>
        <w:rFonts w:asciiTheme="minorHAnsi" w:hAnsiTheme="minorHAnsi"/>
        <w:lang w:val="fr-CA"/>
      </w:rPr>
      <w:t xml:space="preserve"> </w:t>
    </w:r>
    <w:r w:rsidRPr="003F4F43">
      <w:rPr>
        <w:rStyle w:val="PageNumber"/>
        <w:rFonts w:asciiTheme="minorHAnsi" w:hAnsiTheme="minorHAnsi"/>
      </w:rPr>
      <w:fldChar w:fldCharType="begin"/>
    </w:r>
    <w:r w:rsidRPr="003F4F43">
      <w:rPr>
        <w:rStyle w:val="PageNumber"/>
        <w:rFonts w:asciiTheme="minorHAnsi" w:hAnsiTheme="minorHAnsi"/>
      </w:rPr>
      <w:instrText xml:space="preserve"> PAGE </w:instrText>
    </w:r>
    <w:r w:rsidRPr="003F4F43">
      <w:rPr>
        <w:rStyle w:val="PageNumber"/>
        <w:rFonts w:asciiTheme="minorHAnsi" w:hAnsiTheme="minorHAnsi"/>
      </w:rPr>
      <w:fldChar w:fldCharType="separate"/>
    </w:r>
    <w:r w:rsidR="006F16D7">
      <w:rPr>
        <w:rStyle w:val="PageNumber"/>
        <w:rFonts w:asciiTheme="minorHAnsi" w:hAnsiTheme="minorHAnsi"/>
        <w:noProof/>
      </w:rPr>
      <w:t>4</w:t>
    </w:r>
    <w:r w:rsidRPr="003F4F43">
      <w:rPr>
        <w:rStyle w:val="PageNumber"/>
        <w:rFonts w:asciiTheme="minorHAnsi" w:hAnsiTheme="minorHAnsi"/>
      </w:rPr>
      <w:fldChar w:fldCharType="end"/>
    </w:r>
    <w:r w:rsidRPr="003F4F43">
      <w:rPr>
        <w:rStyle w:val="PageNumber"/>
        <w:rFonts w:asciiTheme="minorHAnsi" w:hAnsiTheme="minorHAnsi"/>
      </w:rPr>
      <w:t xml:space="preserve"> —</w:t>
    </w:r>
  </w:p>
  <w:p w14:paraId="50BB1EEF" w14:textId="77777777" w:rsidR="001F0044" w:rsidRPr="003F4F43" w:rsidRDefault="001F0044">
    <w:pPr>
      <w:pStyle w:val="Header"/>
      <w:rPr>
        <w:rFonts w:asciiTheme="minorHAnsi" w:hAnsiTheme="minorHAns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F0F97" w14:textId="77777777" w:rsidR="001F0044" w:rsidRPr="003F4F43" w:rsidRDefault="001F0044" w:rsidP="001F0044">
    <w:pPr>
      <w:pStyle w:val="Header"/>
      <w:jc w:val="right"/>
      <w:rPr>
        <w:rFonts w:asciiTheme="minorHAnsi" w:hAnsiTheme="minorHAnsi"/>
        <w:lang w:val="fr-CA"/>
      </w:rPr>
    </w:pPr>
    <w:r>
      <w:rPr>
        <w:rFonts w:asciiTheme="minorHAnsi" w:hAnsiTheme="minorHAnsi"/>
        <w:lang w:val="fr-CA"/>
      </w:rPr>
      <w:t>RASG-PA/12</w:t>
    </w:r>
    <w:r w:rsidRPr="003F4F43">
      <w:rPr>
        <w:rFonts w:asciiTheme="minorHAnsi" w:hAnsiTheme="minorHAnsi"/>
        <w:lang w:val="fr-CA"/>
      </w:rPr>
      <w:t xml:space="preserve"> — NE/</w:t>
    </w:r>
    <w:r>
      <w:rPr>
        <w:rFonts w:asciiTheme="minorHAnsi" w:hAnsiTheme="minorHAnsi"/>
        <w:lang w:val="fr-CA"/>
      </w:rPr>
      <w:t>06</w:t>
    </w:r>
  </w:p>
  <w:p w14:paraId="4835DD49" w14:textId="7B130AD7" w:rsidR="001F0044" w:rsidRPr="003F4F43" w:rsidRDefault="001F0044" w:rsidP="001F0044">
    <w:pPr>
      <w:pStyle w:val="Header"/>
      <w:jc w:val="center"/>
      <w:rPr>
        <w:rFonts w:asciiTheme="minorHAnsi" w:hAnsiTheme="minorHAnsi"/>
      </w:rPr>
    </w:pPr>
    <w:r w:rsidRPr="003F4F43">
      <w:rPr>
        <w:rStyle w:val="PageNumber"/>
        <w:rFonts w:asciiTheme="minorHAnsi" w:hAnsiTheme="minorHAnsi"/>
      </w:rPr>
      <w:t>—</w:t>
    </w:r>
    <w:r w:rsidRPr="003F4F43">
      <w:rPr>
        <w:rFonts w:asciiTheme="minorHAnsi" w:hAnsiTheme="minorHAnsi"/>
        <w:lang w:val="fr-CA"/>
      </w:rPr>
      <w:t xml:space="preserve"> </w:t>
    </w:r>
    <w:r w:rsidRPr="003F4F43">
      <w:rPr>
        <w:rStyle w:val="PageNumber"/>
        <w:rFonts w:asciiTheme="minorHAnsi" w:hAnsiTheme="minorHAnsi"/>
      </w:rPr>
      <w:fldChar w:fldCharType="begin"/>
    </w:r>
    <w:r w:rsidRPr="003F4F43">
      <w:rPr>
        <w:rStyle w:val="PageNumber"/>
        <w:rFonts w:asciiTheme="minorHAnsi" w:hAnsiTheme="minorHAnsi"/>
      </w:rPr>
      <w:instrText xml:space="preserve"> PAGE </w:instrText>
    </w:r>
    <w:r w:rsidRPr="003F4F43">
      <w:rPr>
        <w:rStyle w:val="PageNumber"/>
        <w:rFonts w:asciiTheme="minorHAnsi" w:hAnsiTheme="minorHAnsi"/>
      </w:rPr>
      <w:fldChar w:fldCharType="separate"/>
    </w:r>
    <w:r w:rsidR="006F16D7">
      <w:rPr>
        <w:rStyle w:val="PageNumber"/>
        <w:rFonts w:asciiTheme="minorHAnsi" w:hAnsiTheme="minorHAnsi"/>
        <w:noProof/>
      </w:rPr>
      <w:t>5</w:t>
    </w:r>
    <w:r w:rsidRPr="003F4F43">
      <w:rPr>
        <w:rStyle w:val="PageNumber"/>
        <w:rFonts w:asciiTheme="minorHAnsi" w:hAnsiTheme="minorHAnsi"/>
      </w:rPr>
      <w:fldChar w:fldCharType="end"/>
    </w:r>
    <w:r w:rsidRPr="003F4F43">
      <w:rPr>
        <w:rStyle w:val="PageNumber"/>
        <w:rFonts w:asciiTheme="minorHAnsi" w:hAnsiTheme="minorHAnsi"/>
      </w:rPr>
      <w:t xml:space="preserve"> —</w:t>
    </w:r>
  </w:p>
  <w:p w14:paraId="557713A8" w14:textId="77777777" w:rsidR="001F0044" w:rsidRPr="003F4F43" w:rsidRDefault="001F0044">
    <w:pPr>
      <w:pStyle w:val="Header"/>
      <w:rPr>
        <w:rFonts w:asciiTheme="minorHAnsi" w:hAnsiTheme="minorHAns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B53AC" w14:textId="77777777" w:rsidR="001F0044" w:rsidRDefault="001F0044">
    <w:pPr>
      <w:pStyle w:val="Header"/>
    </w:pPr>
    <w:r>
      <w:rPr>
        <w:noProof/>
        <w:lang w:val="en-US"/>
      </w:rPr>
      <w:drawing>
        <wp:inline distT="0" distB="0" distL="0" distR="0" wp14:anchorId="31ECDBA5" wp14:editId="66B32879">
          <wp:extent cx="5943600" cy="864235"/>
          <wp:effectExtent l="0" t="0" r="0" b="0"/>
          <wp:docPr id="1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SGPA-NE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8642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3169A"/>
    <w:multiLevelType w:val="hybridMultilevel"/>
    <w:tmpl w:val="7166E2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6E3DA9"/>
    <w:multiLevelType w:val="hybridMultilevel"/>
    <w:tmpl w:val="86828B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3A5E8D"/>
    <w:multiLevelType w:val="hybridMultilevel"/>
    <w:tmpl w:val="0A40B788"/>
    <w:lvl w:ilvl="0" w:tplc="B0B82CFC">
      <w:start w:val="1"/>
      <w:numFmt w:val="lowerLetter"/>
      <w:lvlText w:val="%1)"/>
      <w:lvlJc w:val="left"/>
      <w:pPr>
        <w:ind w:left="1350" w:hanging="54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49E81BB0"/>
    <w:multiLevelType w:val="multilevel"/>
    <w:tmpl w:val="E6AE3148"/>
    <w:lvl w:ilvl="0">
      <w:start w:val="1"/>
      <w:numFmt w:val="decimal"/>
      <w:lvlText w:val="%1"/>
      <w:lvlJc w:val="left"/>
      <w:pPr>
        <w:ind w:left="1440" w:hanging="1440"/>
      </w:pPr>
      <w:rPr>
        <w:rFonts w:hint="default"/>
      </w:rPr>
    </w:lvl>
    <w:lvl w:ilvl="1">
      <w:start w:val="1"/>
      <w:numFmt w:val="decimal"/>
      <w:lvlText w:val="%1.%2"/>
      <w:lvlJc w:val="left"/>
      <w:pPr>
        <w:ind w:left="1440" w:hanging="144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75F2A50"/>
    <w:multiLevelType w:val="hybridMultilevel"/>
    <w:tmpl w:val="5E0C84E8"/>
    <w:lvl w:ilvl="0" w:tplc="0DA2646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B90AF7"/>
    <w:multiLevelType w:val="hybridMultilevel"/>
    <w:tmpl w:val="AF4A18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C47EC1"/>
    <w:multiLevelType w:val="hybridMultilevel"/>
    <w:tmpl w:val="0142A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4"/>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AFA"/>
    <w:rsid w:val="00003073"/>
    <w:rsid w:val="0000634D"/>
    <w:rsid w:val="00010A26"/>
    <w:rsid w:val="00013118"/>
    <w:rsid w:val="0001404B"/>
    <w:rsid w:val="000160A3"/>
    <w:rsid w:val="00017052"/>
    <w:rsid w:val="00021971"/>
    <w:rsid w:val="00023563"/>
    <w:rsid w:val="000307CB"/>
    <w:rsid w:val="000420BB"/>
    <w:rsid w:val="0004212D"/>
    <w:rsid w:val="00043513"/>
    <w:rsid w:val="00044C2C"/>
    <w:rsid w:val="000461E6"/>
    <w:rsid w:val="0005042A"/>
    <w:rsid w:val="00050DF8"/>
    <w:rsid w:val="0005177D"/>
    <w:rsid w:val="00053904"/>
    <w:rsid w:val="0006577C"/>
    <w:rsid w:val="00071543"/>
    <w:rsid w:val="00072011"/>
    <w:rsid w:val="00072BE6"/>
    <w:rsid w:val="00083B25"/>
    <w:rsid w:val="00084A3E"/>
    <w:rsid w:val="000A3CFD"/>
    <w:rsid w:val="000B23AE"/>
    <w:rsid w:val="000B3D33"/>
    <w:rsid w:val="000D355C"/>
    <w:rsid w:val="000D792C"/>
    <w:rsid w:val="000E2B1C"/>
    <w:rsid w:val="000E66ED"/>
    <w:rsid w:val="000F05D8"/>
    <w:rsid w:val="000F516B"/>
    <w:rsid w:val="000F694F"/>
    <w:rsid w:val="000F708B"/>
    <w:rsid w:val="000F72BD"/>
    <w:rsid w:val="00101A03"/>
    <w:rsid w:val="0010235F"/>
    <w:rsid w:val="001038C5"/>
    <w:rsid w:val="00107AFA"/>
    <w:rsid w:val="00112788"/>
    <w:rsid w:val="00112D8A"/>
    <w:rsid w:val="00115AB1"/>
    <w:rsid w:val="001243CF"/>
    <w:rsid w:val="00127527"/>
    <w:rsid w:val="00130FA3"/>
    <w:rsid w:val="0013443E"/>
    <w:rsid w:val="001353AC"/>
    <w:rsid w:val="001439CE"/>
    <w:rsid w:val="001461B3"/>
    <w:rsid w:val="00146576"/>
    <w:rsid w:val="0015675A"/>
    <w:rsid w:val="00163B8F"/>
    <w:rsid w:val="001666FA"/>
    <w:rsid w:val="00171B1D"/>
    <w:rsid w:val="00186F70"/>
    <w:rsid w:val="00195C6A"/>
    <w:rsid w:val="001A0712"/>
    <w:rsid w:val="001A6668"/>
    <w:rsid w:val="001A73E1"/>
    <w:rsid w:val="001C48D2"/>
    <w:rsid w:val="001C5044"/>
    <w:rsid w:val="001D070E"/>
    <w:rsid w:val="001D1287"/>
    <w:rsid w:val="001D4251"/>
    <w:rsid w:val="001D4D9E"/>
    <w:rsid w:val="001D60D1"/>
    <w:rsid w:val="001E28D7"/>
    <w:rsid w:val="001F0044"/>
    <w:rsid w:val="001F6E65"/>
    <w:rsid w:val="00203A21"/>
    <w:rsid w:val="002104B0"/>
    <w:rsid w:val="0021269B"/>
    <w:rsid w:val="00224EB5"/>
    <w:rsid w:val="00244592"/>
    <w:rsid w:val="00247808"/>
    <w:rsid w:val="00247A1E"/>
    <w:rsid w:val="00247AED"/>
    <w:rsid w:val="00260FF9"/>
    <w:rsid w:val="00270CBC"/>
    <w:rsid w:val="00287F14"/>
    <w:rsid w:val="00293906"/>
    <w:rsid w:val="002A48F8"/>
    <w:rsid w:val="002B72F1"/>
    <w:rsid w:val="002C5EB4"/>
    <w:rsid w:val="002C6590"/>
    <w:rsid w:val="002C73E1"/>
    <w:rsid w:val="002C782A"/>
    <w:rsid w:val="002D154C"/>
    <w:rsid w:val="002D5670"/>
    <w:rsid w:val="002D7C03"/>
    <w:rsid w:val="002E1FFA"/>
    <w:rsid w:val="002E69F7"/>
    <w:rsid w:val="002E7AA2"/>
    <w:rsid w:val="002F29BE"/>
    <w:rsid w:val="00306B71"/>
    <w:rsid w:val="003076D8"/>
    <w:rsid w:val="003107CA"/>
    <w:rsid w:val="00323A39"/>
    <w:rsid w:val="00323AFC"/>
    <w:rsid w:val="00334693"/>
    <w:rsid w:val="0035178C"/>
    <w:rsid w:val="00354074"/>
    <w:rsid w:val="00361FBA"/>
    <w:rsid w:val="00362EEF"/>
    <w:rsid w:val="003652B9"/>
    <w:rsid w:val="0036685D"/>
    <w:rsid w:val="003731F8"/>
    <w:rsid w:val="00381FB0"/>
    <w:rsid w:val="00385846"/>
    <w:rsid w:val="003873B4"/>
    <w:rsid w:val="003875C0"/>
    <w:rsid w:val="00387983"/>
    <w:rsid w:val="00390FFF"/>
    <w:rsid w:val="00394722"/>
    <w:rsid w:val="003C0F1F"/>
    <w:rsid w:val="003D0244"/>
    <w:rsid w:val="003D2C85"/>
    <w:rsid w:val="003D7188"/>
    <w:rsid w:val="003E2D06"/>
    <w:rsid w:val="003E7431"/>
    <w:rsid w:val="003F057A"/>
    <w:rsid w:val="003F210C"/>
    <w:rsid w:val="003F4F43"/>
    <w:rsid w:val="00400B12"/>
    <w:rsid w:val="0040393C"/>
    <w:rsid w:val="0040701C"/>
    <w:rsid w:val="00411F36"/>
    <w:rsid w:val="00413172"/>
    <w:rsid w:val="0041654A"/>
    <w:rsid w:val="00432332"/>
    <w:rsid w:val="004355CC"/>
    <w:rsid w:val="0045172C"/>
    <w:rsid w:val="004544FA"/>
    <w:rsid w:val="00456888"/>
    <w:rsid w:val="00463456"/>
    <w:rsid w:val="00464BEB"/>
    <w:rsid w:val="004717EF"/>
    <w:rsid w:val="00474AF0"/>
    <w:rsid w:val="00492FA1"/>
    <w:rsid w:val="004950BB"/>
    <w:rsid w:val="004977F5"/>
    <w:rsid w:val="004A591A"/>
    <w:rsid w:val="004C0E93"/>
    <w:rsid w:val="004C2C96"/>
    <w:rsid w:val="004C4ACE"/>
    <w:rsid w:val="004D5358"/>
    <w:rsid w:val="004E373B"/>
    <w:rsid w:val="004E51E9"/>
    <w:rsid w:val="004F05E5"/>
    <w:rsid w:val="004F0802"/>
    <w:rsid w:val="004F66E6"/>
    <w:rsid w:val="004F7F22"/>
    <w:rsid w:val="00502CC0"/>
    <w:rsid w:val="0051624E"/>
    <w:rsid w:val="00523329"/>
    <w:rsid w:val="00523E6C"/>
    <w:rsid w:val="00527D07"/>
    <w:rsid w:val="00533DF6"/>
    <w:rsid w:val="00545C6D"/>
    <w:rsid w:val="00550FFA"/>
    <w:rsid w:val="00551F98"/>
    <w:rsid w:val="00552CB6"/>
    <w:rsid w:val="00556364"/>
    <w:rsid w:val="00557542"/>
    <w:rsid w:val="00562D27"/>
    <w:rsid w:val="005670C9"/>
    <w:rsid w:val="005732EE"/>
    <w:rsid w:val="005740C2"/>
    <w:rsid w:val="00574911"/>
    <w:rsid w:val="00590FDC"/>
    <w:rsid w:val="005929DD"/>
    <w:rsid w:val="00592C78"/>
    <w:rsid w:val="005A2989"/>
    <w:rsid w:val="005A71BF"/>
    <w:rsid w:val="005B1ED6"/>
    <w:rsid w:val="005C07AB"/>
    <w:rsid w:val="005C1623"/>
    <w:rsid w:val="005C6E92"/>
    <w:rsid w:val="005D1393"/>
    <w:rsid w:val="005D1CC3"/>
    <w:rsid w:val="005D37A5"/>
    <w:rsid w:val="005D7A45"/>
    <w:rsid w:val="005E0B62"/>
    <w:rsid w:val="005E27C8"/>
    <w:rsid w:val="005E57DC"/>
    <w:rsid w:val="00614416"/>
    <w:rsid w:val="00615127"/>
    <w:rsid w:val="0061626A"/>
    <w:rsid w:val="00620B33"/>
    <w:rsid w:val="00620F3B"/>
    <w:rsid w:val="00627952"/>
    <w:rsid w:val="00645AB0"/>
    <w:rsid w:val="0065112C"/>
    <w:rsid w:val="006547A2"/>
    <w:rsid w:val="00655FF7"/>
    <w:rsid w:val="00662E72"/>
    <w:rsid w:val="0066304F"/>
    <w:rsid w:val="00672174"/>
    <w:rsid w:val="00682EBB"/>
    <w:rsid w:val="00692842"/>
    <w:rsid w:val="0069457F"/>
    <w:rsid w:val="006A2D14"/>
    <w:rsid w:val="006B0D59"/>
    <w:rsid w:val="006B79E3"/>
    <w:rsid w:val="006E0898"/>
    <w:rsid w:val="006E3B39"/>
    <w:rsid w:val="006E4165"/>
    <w:rsid w:val="006F1239"/>
    <w:rsid w:val="006F1358"/>
    <w:rsid w:val="006F16D7"/>
    <w:rsid w:val="006F3091"/>
    <w:rsid w:val="006F4A9F"/>
    <w:rsid w:val="006F7199"/>
    <w:rsid w:val="006F7765"/>
    <w:rsid w:val="006F77E4"/>
    <w:rsid w:val="007045C4"/>
    <w:rsid w:val="00705910"/>
    <w:rsid w:val="00711F44"/>
    <w:rsid w:val="0071521C"/>
    <w:rsid w:val="00726238"/>
    <w:rsid w:val="00727186"/>
    <w:rsid w:val="00736A2F"/>
    <w:rsid w:val="00742C7F"/>
    <w:rsid w:val="00743248"/>
    <w:rsid w:val="007449B1"/>
    <w:rsid w:val="0075276A"/>
    <w:rsid w:val="007548FD"/>
    <w:rsid w:val="00761B7D"/>
    <w:rsid w:val="00770806"/>
    <w:rsid w:val="0077279B"/>
    <w:rsid w:val="00772C10"/>
    <w:rsid w:val="00773C19"/>
    <w:rsid w:val="00773ECD"/>
    <w:rsid w:val="00776B4A"/>
    <w:rsid w:val="00793608"/>
    <w:rsid w:val="007A0CD5"/>
    <w:rsid w:val="007A19CD"/>
    <w:rsid w:val="007A291E"/>
    <w:rsid w:val="007A4F77"/>
    <w:rsid w:val="007A5EB3"/>
    <w:rsid w:val="007A610F"/>
    <w:rsid w:val="007D58BE"/>
    <w:rsid w:val="007D58F7"/>
    <w:rsid w:val="007F3BEF"/>
    <w:rsid w:val="007F5C71"/>
    <w:rsid w:val="007F66F2"/>
    <w:rsid w:val="007F6EA2"/>
    <w:rsid w:val="00803E3E"/>
    <w:rsid w:val="0080575A"/>
    <w:rsid w:val="00806114"/>
    <w:rsid w:val="008201C2"/>
    <w:rsid w:val="00821C85"/>
    <w:rsid w:val="00822570"/>
    <w:rsid w:val="00825A3E"/>
    <w:rsid w:val="00827AF8"/>
    <w:rsid w:val="0083252F"/>
    <w:rsid w:val="008340B5"/>
    <w:rsid w:val="008341D3"/>
    <w:rsid w:val="00834292"/>
    <w:rsid w:val="00834A29"/>
    <w:rsid w:val="0083537A"/>
    <w:rsid w:val="00846991"/>
    <w:rsid w:val="0085043C"/>
    <w:rsid w:val="00850DB6"/>
    <w:rsid w:val="0086021F"/>
    <w:rsid w:val="00875EC3"/>
    <w:rsid w:val="008824A0"/>
    <w:rsid w:val="00893F73"/>
    <w:rsid w:val="00895762"/>
    <w:rsid w:val="008A42DA"/>
    <w:rsid w:val="008A682E"/>
    <w:rsid w:val="008B2C7B"/>
    <w:rsid w:val="008B5313"/>
    <w:rsid w:val="008C1749"/>
    <w:rsid w:val="008C3DC9"/>
    <w:rsid w:val="008C541C"/>
    <w:rsid w:val="008C7E0F"/>
    <w:rsid w:val="008D242D"/>
    <w:rsid w:val="008D45A4"/>
    <w:rsid w:val="008D4885"/>
    <w:rsid w:val="008E56CD"/>
    <w:rsid w:val="008E5953"/>
    <w:rsid w:val="008E74C3"/>
    <w:rsid w:val="008F50CB"/>
    <w:rsid w:val="00903713"/>
    <w:rsid w:val="00904B58"/>
    <w:rsid w:val="00904CF3"/>
    <w:rsid w:val="00904D4B"/>
    <w:rsid w:val="00910DA5"/>
    <w:rsid w:val="00915A5E"/>
    <w:rsid w:val="00916A85"/>
    <w:rsid w:val="009236FE"/>
    <w:rsid w:val="00932112"/>
    <w:rsid w:val="00935909"/>
    <w:rsid w:val="00937A37"/>
    <w:rsid w:val="009417AB"/>
    <w:rsid w:val="0094306A"/>
    <w:rsid w:val="009468F4"/>
    <w:rsid w:val="009539C9"/>
    <w:rsid w:val="009550ED"/>
    <w:rsid w:val="00970CA7"/>
    <w:rsid w:val="009739EE"/>
    <w:rsid w:val="00973D97"/>
    <w:rsid w:val="00974FFB"/>
    <w:rsid w:val="00976143"/>
    <w:rsid w:val="00987C4F"/>
    <w:rsid w:val="00987F2C"/>
    <w:rsid w:val="0099057D"/>
    <w:rsid w:val="009908F4"/>
    <w:rsid w:val="009A2D84"/>
    <w:rsid w:val="009B37FE"/>
    <w:rsid w:val="009C2ACC"/>
    <w:rsid w:val="009D06AC"/>
    <w:rsid w:val="009D07B7"/>
    <w:rsid w:val="009D4B72"/>
    <w:rsid w:val="009E5FE7"/>
    <w:rsid w:val="009E633B"/>
    <w:rsid w:val="009F788E"/>
    <w:rsid w:val="00A166D2"/>
    <w:rsid w:val="00A22566"/>
    <w:rsid w:val="00A23AD4"/>
    <w:rsid w:val="00A27760"/>
    <w:rsid w:val="00A279A0"/>
    <w:rsid w:val="00A37271"/>
    <w:rsid w:val="00A4563B"/>
    <w:rsid w:val="00A47DC5"/>
    <w:rsid w:val="00A5405E"/>
    <w:rsid w:val="00A558C8"/>
    <w:rsid w:val="00A57BC7"/>
    <w:rsid w:val="00A62CAD"/>
    <w:rsid w:val="00A63F46"/>
    <w:rsid w:val="00A66F9D"/>
    <w:rsid w:val="00A709D9"/>
    <w:rsid w:val="00A7503D"/>
    <w:rsid w:val="00A870BC"/>
    <w:rsid w:val="00A971AD"/>
    <w:rsid w:val="00AA229C"/>
    <w:rsid w:val="00AC1CD8"/>
    <w:rsid w:val="00AC4937"/>
    <w:rsid w:val="00AC4B66"/>
    <w:rsid w:val="00AD30E6"/>
    <w:rsid w:val="00AD7699"/>
    <w:rsid w:val="00AE1F38"/>
    <w:rsid w:val="00AE5EA5"/>
    <w:rsid w:val="00AE7508"/>
    <w:rsid w:val="00AF17B4"/>
    <w:rsid w:val="00AF2927"/>
    <w:rsid w:val="00AF7CF8"/>
    <w:rsid w:val="00B05D2A"/>
    <w:rsid w:val="00B07C76"/>
    <w:rsid w:val="00B172A1"/>
    <w:rsid w:val="00B1784A"/>
    <w:rsid w:val="00B2136D"/>
    <w:rsid w:val="00B33FB2"/>
    <w:rsid w:val="00B40DC7"/>
    <w:rsid w:val="00B421A3"/>
    <w:rsid w:val="00B42385"/>
    <w:rsid w:val="00B43409"/>
    <w:rsid w:val="00B43553"/>
    <w:rsid w:val="00B46FED"/>
    <w:rsid w:val="00B47FAB"/>
    <w:rsid w:val="00B61B0D"/>
    <w:rsid w:val="00B61BD6"/>
    <w:rsid w:val="00B64C96"/>
    <w:rsid w:val="00B652BA"/>
    <w:rsid w:val="00B655E7"/>
    <w:rsid w:val="00B708E5"/>
    <w:rsid w:val="00B76D81"/>
    <w:rsid w:val="00B84391"/>
    <w:rsid w:val="00B93430"/>
    <w:rsid w:val="00B952FD"/>
    <w:rsid w:val="00BA6937"/>
    <w:rsid w:val="00BA6EA1"/>
    <w:rsid w:val="00BB5287"/>
    <w:rsid w:val="00BC2534"/>
    <w:rsid w:val="00BC59DC"/>
    <w:rsid w:val="00BD5C5C"/>
    <w:rsid w:val="00BE5E98"/>
    <w:rsid w:val="00BF0510"/>
    <w:rsid w:val="00BF232F"/>
    <w:rsid w:val="00C07A1F"/>
    <w:rsid w:val="00C138D2"/>
    <w:rsid w:val="00C21329"/>
    <w:rsid w:val="00C30FBE"/>
    <w:rsid w:val="00C34082"/>
    <w:rsid w:val="00C36423"/>
    <w:rsid w:val="00C47521"/>
    <w:rsid w:val="00C54B91"/>
    <w:rsid w:val="00C65EA0"/>
    <w:rsid w:val="00C87028"/>
    <w:rsid w:val="00C87516"/>
    <w:rsid w:val="00CA1219"/>
    <w:rsid w:val="00CA167D"/>
    <w:rsid w:val="00CA1FA8"/>
    <w:rsid w:val="00CB0764"/>
    <w:rsid w:val="00CB1DF8"/>
    <w:rsid w:val="00CB268A"/>
    <w:rsid w:val="00CB30B5"/>
    <w:rsid w:val="00CB5E6C"/>
    <w:rsid w:val="00CC6436"/>
    <w:rsid w:val="00CD0470"/>
    <w:rsid w:val="00CD41EA"/>
    <w:rsid w:val="00CF0D10"/>
    <w:rsid w:val="00CF24B0"/>
    <w:rsid w:val="00CF5785"/>
    <w:rsid w:val="00D01F98"/>
    <w:rsid w:val="00D0513B"/>
    <w:rsid w:val="00D052E1"/>
    <w:rsid w:val="00D058BC"/>
    <w:rsid w:val="00D05A80"/>
    <w:rsid w:val="00D06B6D"/>
    <w:rsid w:val="00D11C0E"/>
    <w:rsid w:val="00D149B4"/>
    <w:rsid w:val="00D37889"/>
    <w:rsid w:val="00D41143"/>
    <w:rsid w:val="00D4183C"/>
    <w:rsid w:val="00D433F2"/>
    <w:rsid w:val="00D44D83"/>
    <w:rsid w:val="00D45A10"/>
    <w:rsid w:val="00D50F1A"/>
    <w:rsid w:val="00D54297"/>
    <w:rsid w:val="00D56EB6"/>
    <w:rsid w:val="00D64B97"/>
    <w:rsid w:val="00D6548D"/>
    <w:rsid w:val="00D7346F"/>
    <w:rsid w:val="00D73B47"/>
    <w:rsid w:val="00D818E0"/>
    <w:rsid w:val="00D91A06"/>
    <w:rsid w:val="00D9543D"/>
    <w:rsid w:val="00D95C21"/>
    <w:rsid w:val="00DA0C40"/>
    <w:rsid w:val="00DA1CEA"/>
    <w:rsid w:val="00DA3F39"/>
    <w:rsid w:val="00DB31DC"/>
    <w:rsid w:val="00DB47BB"/>
    <w:rsid w:val="00DB489F"/>
    <w:rsid w:val="00DB6514"/>
    <w:rsid w:val="00DD021B"/>
    <w:rsid w:val="00DD4C97"/>
    <w:rsid w:val="00DD57F2"/>
    <w:rsid w:val="00DE0F05"/>
    <w:rsid w:val="00DE11D7"/>
    <w:rsid w:val="00DE3D75"/>
    <w:rsid w:val="00DF28DD"/>
    <w:rsid w:val="00DF5743"/>
    <w:rsid w:val="00E13A34"/>
    <w:rsid w:val="00E232EA"/>
    <w:rsid w:val="00E2605F"/>
    <w:rsid w:val="00E260FD"/>
    <w:rsid w:val="00E300FD"/>
    <w:rsid w:val="00E30B85"/>
    <w:rsid w:val="00E313EB"/>
    <w:rsid w:val="00E35488"/>
    <w:rsid w:val="00E405C5"/>
    <w:rsid w:val="00E46652"/>
    <w:rsid w:val="00E526F6"/>
    <w:rsid w:val="00E562DD"/>
    <w:rsid w:val="00E602DC"/>
    <w:rsid w:val="00E6051E"/>
    <w:rsid w:val="00E65462"/>
    <w:rsid w:val="00E676DE"/>
    <w:rsid w:val="00E72342"/>
    <w:rsid w:val="00E74126"/>
    <w:rsid w:val="00E763E6"/>
    <w:rsid w:val="00E9420E"/>
    <w:rsid w:val="00EA1F58"/>
    <w:rsid w:val="00EB0290"/>
    <w:rsid w:val="00EB4561"/>
    <w:rsid w:val="00EB5920"/>
    <w:rsid w:val="00EB6574"/>
    <w:rsid w:val="00EC08D0"/>
    <w:rsid w:val="00EC2094"/>
    <w:rsid w:val="00EC4CE9"/>
    <w:rsid w:val="00ED0552"/>
    <w:rsid w:val="00ED33C6"/>
    <w:rsid w:val="00ED45F0"/>
    <w:rsid w:val="00ED62F7"/>
    <w:rsid w:val="00EE1EB8"/>
    <w:rsid w:val="00EE625B"/>
    <w:rsid w:val="00EE764C"/>
    <w:rsid w:val="00EE76FC"/>
    <w:rsid w:val="00F008DF"/>
    <w:rsid w:val="00F0199B"/>
    <w:rsid w:val="00F07D4F"/>
    <w:rsid w:val="00F129E1"/>
    <w:rsid w:val="00F13688"/>
    <w:rsid w:val="00F13E1F"/>
    <w:rsid w:val="00F14A27"/>
    <w:rsid w:val="00F25CA6"/>
    <w:rsid w:val="00F3409C"/>
    <w:rsid w:val="00F40310"/>
    <w:rsid w:val="00F50AC4"/>
    <w:rsid w:val="00F52F20"/>
    <w:rsid w:val="00F56230"/>
    <w:rsid w:val="00F65F99"/>
    <w:rsid w:val="00F67C79"/>
    <w:rsid w:val="00F74500"/>
    <w:rsid w:val="00F80989"/>
    <w:rsid w:val="00F91108"/>
    <w:rsid w:val="00F92113"/>
    <w:rsid w:val="00F95782"/>
    <w:rsid w:val="00F95AC3"/>
    <w:rsid w:val="00FA2ADC"/>
    <w:rsid w:val="00FA61C1"/>
    <w:rsid w:val="00FB28CC"/>
    <w:rsid w:val="00FB3221"/>
    <w:rsid w:val="00FB3F33"/>
    <w:rsid w:val="00FB50C3"/>
    <w:rsid w:val="00FC1130"/>
    <w:rsid w:val="00FC61F6"/>
    <w:rsid w:val="00FC6359"/>
    <w:rsid w:val="00FC76C5"/>
    <w:rsid w:val="00FD24A9"/>
    <w:rsid w:val="00FD3AFD"/>
    <w:rsid w:val="00FD5292"/>
    <w:rsid w:val="00FE1C13"/>
    <w:rsid w:val="00FE255C"/>
    <w:rsid w:val="00FE7719"/>
    <w:rsid w:val="00FF0540"/>
    <w:rsid w:val="00FF6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8594A7"/>
  <w15:docId w15:val="{7C8A0B75-0939-475E-9F3C-CDBCC169F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GB"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09C"/>
    <w:pPr>
      <w:jc w:val="left"/>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4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3409C"/>
    <w:pPr>
      <w:tabs>
        <w:tab w:val="center" w:pos="4419"/>
        <w:tab w:val="right" w:pos="8838"/>
      </w:tabs>
      <w:jc w:val="both"/>
    </w:pPr>
    <w:rPr>
      <w:rFonts w:eastAsiaTheme="minorHAnsi" w:cs="Times New Roman"/>
    </w:rPr>
  </w:style>
  <w:style w:type="character" w:customStyle="1" w:styleId="HeaderChar">
    <w:name w:val="Header Char"/>
    <w:basedOn w:val="DefaultParagraphFont"/>
    <w:link w:val="Header"/>
    <w:rsid w:val="00F3409C"/>
  </w:style>
  <w:style w:type="paragraph" w:styleId="ListParagraph">
    <w:name w:val="List Paragraph"/>
    <w:basedOn w:val="Normal"/>
    <w:uiPriority w:val="34"/>
    <w:qFormat/>
    <w:rsid w:val="00F3409C"/>
    <w:pPr>
      <w:ind w:left="720"/>
      <w:contextualSpacing/>
    </w:pPr>
  </w:style>
  <w:style w:type="character" w:styleId="PageNumber">
    <w:name w:val="page number"/>
    <w:basedOn w:val="DefaultParagraphFont"/>
    <w:rsid w:val="00F3409C"/>
  </w:style>
  <w:style w:type="paragraph" w:styleId="Footer">
    <w:name w:val="footer"/>
    <w:basedOn w:val="Normal"/>
    <w:link w:val="FooterChar"/>
    <w:uiPriority w:val="99"/>
    <w:unhideWhenUsed/>
    <w:rsid w:val="00F3409C"/>
    <w:pPr>
      <w:tabs>
        <w:tab w:val="center" w:pos="4419"/>
        <w:tab w:val="right" w:pos="8838"/>
      </w:tabs>
    </w:pPr>
  </w:style>
  <w:style w:type="character" w:customStyle="1" w:styleId="FooterChar">
    <w:name w:val="Footer Char"/>
    <w:basedOn w:val="DefaultParagraphFont"/>
    <w:link w:val="Footer"/>
    <w:uiPriority w:val="99"/>
    <w:rsid w:val="00F3409C"/>
    <w:rPr>
      <w:rFonts w:eastAsia="Times New Roman" w:cs="Arial"/>
    </w:rPr>
  </w:style>
  <w:style w:type="table" w:customStyle="1" w:styleId="TableGrid1">
    <w:name w:val="Table Grid1"/>
    <w:basedOn w:val="TableNormal"/>
    <w:next w:val="TableGrid"/>
    <w:uiPriority w:val="59"/>
    <w:rsid w:val="00A62CAD"/>
    <w:pPr>
      <w:jc w:val="left"/>
    </w:pPr>
    <w:rPr>
      <w:rFonts w:ascii="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70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0C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670C9"/>
    <w:rPr>
      <w:sz w:val="16"/>
      <w:szCs w:val="16"/>
    </w:rPr>
  </w:style>
  <w:style w:type="paragraph" w:styleId="CommentText">
    <w:name w:val="annotation text"/>
    <w:basedOn w:val="Normal"/>
    <w:link w:val="CommentTextChar"/>
    <w:uiPriority w:val="99"/>
    <w:semiHidden/>
    <w:unhideWhenUsed/>
    <w:rsid w:val="005670C9"/>
    <w:rPr>
      <w:sz w:val="20"/>
      <w:szCs w:val="20"/>
    </w:rPr>
  </w:style>
  <w:style w:type="character" w:customStyle="1" w:styleId="CommentTextChar">
    <w:name w:val="Comment Text Char"/>
    <w:basedOn w:val="DefaultParagraphFont"/>
    <w:link w:val="CommentText"/>
    <w:uiPriority w:val="99"/>
    <w:semiHidden/>
    <w:rsid w:val="005670C9"/>
    <w:rPr>
      <w:rFonts w:eastAsia="Times New Roman" w:cs="Arial"/>
      <w:sz w:val="20"/>
      <w:szCs w:val="20"/>
    </w:rPr>
  </w:style>
  <w:style w:type="paragraph" w:styleId="CommentSubject">
    <w:name w:val="annotation subject"/>
    <w:basedOn w:val="CommentText"/>
    <w:next w:val="CommentText"/>
    <w:link w:val="CommentSubjectChar"/>
    <w:uiPriority w:val="99"/>
    <w:semiHidden/>
    <w:unhideWhenUsed/>
    <w:rsid w:val="005670C9"/>
    <w:rPr>
      <w:b/>
      <w:bCs/>
    </w:rPr>
  </w:style>
  <w:style w:type="character" w:customStyle="1" w:styleId="CommentSubjectChar">
    <w:name w:val="Comment Subject Char"/>
    <w:basedOn w:val="CommentTextChar"/>
    <w:link w:val="CommentSubject"/>
    <w:uiPriority w:val="99"/>
    <w:semiHidden/>
    <w:rsid w:val="005670C9"/>
    <w:rPr>
      <w:rFonts w:eastAsia="Times New Roman" w:cs="Arial"/>
      <w:b/>
      <w:bCs/>
      <w:sz w:val="20"/>
      <w:szCs w:val="20"/>
    </w:rPr>
  </w:style>
  <w:style w:type="paragraph" w:styleId="FootnoteText">
    <w:name w:val="footnote text"/>
    <w:basedOn w:val="Normal"/>
    <w:link w:val="FootnoteTextChar"/>
    <w:uiPriority w:val="99"/>
    <w:semiHidden/>
    <w:unhideWhenUsed/>
    <w:rsid w:val="005C1623"/>
    <w:rPr>
      <w:sz w:val="20"/>
      <w:szCs w:val="20"/>
    </w:rPr>
  </w:style>
  <w:style w:type="character" w:customStyle="1" w:styleId="FootnoteTextChar">
    <w:name w:val="Footnote Text Char"/>
    <w:basedOn w:val="DefaultParagraphFont"/>
    <w:link w:val="FootnoteText"/>
    <w:uiPriority w:val="99"/>
    <w:semiHidden/>
    <w:rsid w:val="005C1623"/>
    <w:rPr>
      <w:rFonts w:eastAsia="Times New Roman" w:cs="Arial"/>
      <w:sz w:val="20"/>
      <w:szCs w:val="20"/>
    </w:rPr>
  </w:style>
  <w:style w:type="character" w:styleId="FootnoteReference">
    <w:name w:val="footnote reference"/>
    <w:basedOn w:val="DefaultParagraphFont"/>
    <w:uiPriority w:val="99"/>
    <w:semiHidden/>
    <w:unhideWhenUsed/>
    <w:rsid w:val="005C1623"/>
    <w:rPr>
      <w:vertAlign w:val="superscript"/>
    </w:rPr>
  </w:style>
  <w:style w:type="character" w:styleId="Hyperlink">
    <w:name w:val="Hyperlink"/>
    <w:basedOn w:val="DefaultParagraphFont"/>
    <w:uiPriority w:val="99"/>
    <w:unhideWhenUsed/>
    <w:rsid w:val="005C16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639960">
      <w:bodyDiv w:val="1"/>
      <w:marLeft w:val="0"/>
      <w:marRight w:val="0"/>
      <w:marTop w:val="0"/>
      <w:marBottom w:val="0"/>
      <w:divBdr>
        <w:top w:val="none" w:sz="0" w:space="0" w:color="auto"/>
        <w:left w:val="none" w:sz="0" w:space="0" w:color="auto"/>
        <w:bottom w:val="none" w:sz="0" w:space="0" w:color="auto"/>
        <w:right w:val="none" w:sz="0" w:space="0" w:color="auto"/>
      </w:divBdr>
    </w:div>
    <w:div w:id="1290164089">
      <w:bodyDiv w:val="1"/>
      <w:marLeft w:val="0"/>
      <w:marRight w:val="0"/>
      <w:marTop w:val="0"/>
      <w:marBottom w:val="0"/>
      <w:divBdr>
        <w:top w:val="none" w:sz="0" w:space="0" w:color="auto"/>
        <w:left w:val="none" w:sz="0" w:space="0" w:color="auto"/>
        <w:bottom w:val="none" w:sz="0" w:space="0" w:color="auto"/>
        <w:right w:val="none" w:sz="0" w:space="0" w:color="auto"/>
      </w:divBdr>
    </w:div>
    <w:div w:id="157524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ecd-ilibrary.org/governance/the-governance-of-civil-aviation-authorities-in-latin-american-countries_e8bdf362-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orales.ICAORO\AppData\Roaming\Microsoft\Templates\MeetingRASGPATemplatefor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927D94646DC549B7465903FE9FE1A3" ma:contentTypeVersion="118" ma:contentTypeDescription="Create a new document." ma:contentTypeScope="" ma:versionID="b7dfd1b413e7d33dabde76de4b79de8f">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9f0411c7a8c78232c53993795c6232c"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101a94fc-4fb7-49fc-ab36-dbb3e9e3ccdb">1</Category>
    <Title1 xmlns="101a94fc-4fb7-49fc-ab36-dbb3e9e3ccdb" xsi:nil="true"/>
    <CategoryOrder xmlns="101a94fc-4fb7-49fc-ab36-dbb3e9e3ccdb" xsi:nil="true"/>
    <DocumentName xmlns="101a94fc-4fb7-49fc-ab36-dbb3e9e3ccdb" xsi:nil="true"/>
    <acro xmlns="101a94fc-4fb7-49fc-ab36-dbb3e9e3ccdb" xsi:nil="true"/>
    <ArchivedDocumentsProperties xmlns="101a94fc-4fb7-49fc-ab36-dbb3e9e3ccdb" xsi:nil="true"/>
    <Revised xmlns="101a94fc-4fb7-49fc-ab36-dbb3e9e3ccdb">false</Revised>
    <LongTitle xmlns="101a94fc-4fb7-49fc-ab36-dbb3e9e3ccdb">NE/06 - Medidas específicas y mejoras que requieren consideración de la Comisión De Navegación Aérea (ANC) y del Consejo de la OACI</LongTitle>
    <cat xmlns="101a94fc-4fb7-49fc-ab36-dbb3e9e3ccdb" xsi:nil="true"/>
    <PublishingExpirationDate xmlns="http://schemas.microsoft.com/sharepoint/v3" xsi:nil="true"/>
    <Language xmlns="101a94fc-4fb7-49fc-ab36-dbb3e9e3ccdb">Spanish</Language>
    <aaa xmlns="101a94fc-4fb7-49fc-ab36-dbb3e9e3ccdb">false</aaa>
    <a xmlns="101a94fc-4fb7-49fc-ab36-dbb3e9e3ccdb">1558</a>
    <Title2 xmlns="101a94fc-4fb7-49fc-ab36-dbb3e9e3ccdb" xsi:nil="true"/>
    <PublishingStartDate xmlns="http://schemas.microsoft.com/sharepoint/v3" xsi:nil="true"/>
    <Presenter xmlns="101a94fc-4fb7-49fc-ab36-dbb3e9e3ccdb">Secretaría</Present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258CF-A1DE-41A1-B6D4-2BB7A0A51A1B}"/>
</file>

<file path=customXml/itemProps2.xml><?xml version="1.0" encoding="utf-8"?>
<ds:datastoreItem xmlns:ds="http://schemas.openxmlformats.org/officeDocument/2006/customXml" ds:itemID="{A8444CA9-63C8-4D0E-B300-B039267C1B5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077ecc2-a151-4698-97f0-9aa9d3f1c951"/>
    <ds:schemaRef ds:uri="http://purl.org/dc/terms/"/>
    <ds:schemaRef ds:uri="http://schemas.openxmlformats.org/package/2006/metadata/core-properties"/>
    <ds:schemaRef ds:uri="a44cf9a1-0b2b-4960-96f3-2ab0428eaeae"/>
    <ds:schemaRef ds:uri="http://www.w3.org/XML/1998/namespace"/>
    <ds:schemaRef ds:uri="http://purl.org/dc/dcmitype/"/>
  </ds:schemaRefs>
</ds:datastoreItem>
</file>

<file path=customXml/itemProps3.xml><?xml version="1.0" encoding="utf-8"?>
<ds:datastoreItem xmlns:ds="http://schemas.openxmlformats.org/officeDocument/2006/customXml" ds:itemID="{40A9B2BD-A985-41C4-B1E9-73F002D0205B}">
  <ds:schemaRefs>
    <ds:schemaRef ds:uri="http://schemas.microsoft.com/sharepoint/v3/contenttype/forms"/>
  </ds:schemaRefs>
</ds:datastoreItem>
</file>

<file path=customXml/itemProps4.xml><?xml version="1.0" encoding="utf-8"?>
<ds:datastoreItem xmlns:ds="http://schemas.openxmlformats.org/officeDocument/2006/customXml" ds:itemID="{1293C1B8-8EF2-4528-8458-264AECA1F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MeetingRASGPATemplateforNE.dotx</Template>
  <TotalTime>48</TotalTime>
  <Pages>5</Pages>
  <Words>1820</Words>
  <Characters>10374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04</vt:lpstr>
    </vt:vector>
  </TitlesOfParts>
  <Company>Microsoft</Company>
  <LinksUpToDate>false</LinksUpToDate>
  <CharactersWithSpaces>12170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dc:title>
  <dc:creator>Gandara, Leslie</dc:creator>
  <cp:lastModifiedBy>Rodriguez Patron, Mariel</cp:lastModifiedBy>
  <cp:revision>6</cp:revision>
  <cp:lastPrinted>2014-01-09T17:37:00Z</cp:lastPrinted>
  <dcterms:created xsi:type="dcterms:W3CDTF">2022-11-06T17:54:00Z</dcterms:created>
  <dcterms:modified xsi:type="dcterms:W3CDTF">2022-11-07T16:35:00Z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0x010100A3927D94646DC549B7465903FE9FE1A3</vt:lpwstr>
  </property>
</Properties>
</file>