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ECBAC" w14:textId="77777777" w:rsidR="00A266BA" w:rsidRPr="00670FB2" w:rsidRDefault="00A266BA" w:rsidP="00A266BA">
      <w:pPr>
        <w:pStyle w:val="Note"/>
        <w:rPr>
          <w:lang w:val="es-ES_tradnl"/>
        </w:rPr>
      </w:pPr>
      <w:r w:rsidRPr="005D35BC">
        <w:rPr>
          <w:lang w:val="es-ES_tradnl"/>
        </w:rPr>
        <w:t>Nota 1.— Las preguntas del protocolo (PQ) de 2018 relativas a la SSPIA se publicaron por primera vez en junio de 2018 y la matriz del nivel de madurez conexa</w:t>
      </w:r>
      <w:r>
        <w:rPr>
          <w:lang w:val="es-ES_tradnl"/>
        </w:rPr>
        <w:t xml:space="preserve"> se agregó en diciembre de 2020 </w:t>
      </w:r>
      <w:r w:rsidRPr="005D35BC">
        <w:rPr>
          <w:lang w:val="es-ES_tradnl"/>
        </w:rPr>
        <w:t>(Rev</w:t>
      </w:r>
      <w:r>
        <w:rPr>
          <w:lang w:val="es-ES_tradnl"/>
        </w:rPr>
        <w:t>.</w:t>
      </w:r>
      <w:r w:rsidRPr="005D35BC">
        <w:rPr>
          <w:lang w:val="es-ES_tradnl"/>
        </w:rPr>
        <w:t xml:space="preserve"> 1). </w:t>
      </w:r>
      <w:r w:rsidRPr="00D03495">
        <w:rPr>
          <w:lang w:val="es-ES_tradnl"/>
        </w:rPr>
        <w:t>La versi</w:t>
      </w:r>
      <w:r w:rsidRPr="00D03495">
        <w:rPr>
          <w:rFonts w:cs="Times New Roman"/>
          <w:lang w:val="es-ES_tradnl"/>
        </w:rPr>
        <w:t>ó</w:t>
      </w:r>
      <w:r w:rsidRPr="00D03495">
        <w:rPr>
          <w:lang w:val="es-ES_tradnl"/>
        </w:rPr>
        <w:t xml:space="preserve">n de febrero de 2022 </w:t>
      </w:r>
      <w:r>
        <w:rPr>
          <w:lang w:val="es-ES_tradnl"/>
        </w:rPr>
        <w:t xml:space="preserve">(Rev. 2) </w:t>
      </w:r>
      <w:r w:rsidRPr="00D03495">
        <w:rPr>
          <w:lang w:val="es-ES_tradnl"/>
        </w:rPr>
        <w:t>incluye</w:t>
      </w:r>
      <w:r>
        <w:rPr>
          <w:lang w:val="es-ES_tradnl"/>
        </w:rPr>
        <w:t xml:space="preserve"> las</w:t>
      </w:r>
      <w:r w:rsidRPr="00D03495">
        <w:rPr>
          <w:lang w:val="es-ES_tradnl"/>
        </w:rPr>
        <w:t xml:space="preserve"> revisiones </w:t>
      </w:r>
      <w:r>
        <w:rPr>
          <w:lang w:val="es-ES_tradnl"/>
        </w:rPr>
        <w:t>de</w:t>
      </w:r>
      <w:r w:rsidRPr="00D03495">
        <w:rPr>
          <w:lang w:val="es-ES_tradnl"/>
        </w:rPr>
        <w:t xml:space="preserve"> varias “Orientaciones para revisión” tras las pruebas beta de las herramientas de evaluación del SSP </w:t>
      </w:r>
      <w:r>
        <w:rPr>
          <w:lang w:val="es-ES_tradnl"/>
        </w:rPr>
        <w:t xml:space="preserve">realizadas </w:t>
      </w:r>
      <w:r w:rsidRPr="00D03495">
        <w:rPr>
          <w:lang w:val="es-ES_tradnl"/>
        </w:rPr>
        <w:t>en diciembre de 2021.</w:t>
      </w:r>
    </w:p>
    <w:p w14:paraId="02086027" w14:textId="77777777" w:rsidR="00A266BA" w:rsidRPr="00A266BA" w:rsidRDefault="00A266BA" w:rsidP="00A266BA"/>
    <w:tbl>
      <w:tblPr>
        <w:tblStyle w:val="TableGrid"/>
        <w:tblW w:w="5000" w:type="pct"/>
        <w:tblLook w:val="04A0" w:firstRow="1" w:lastRow="0" w:firstColumn="1" w:lastColumn="0" w:noHBand="0" w:noVBand="1"/>
      </w:tblPr>
      <w:tblGrid>
        <w:gridCol w:w="2015"/>
        <w:gridCol w:w="2014"/>
        <w:gridCol w:w="1019"/>
        <w:gridCol w:w="1340"/>
        <w:gridCol w:w="1527"/>
        <w:gridCol w:w="1496"/>
        <w:gridCol w:w="1561"/>
        <w:gridCol w:w="6301"/>
      </w:tblGrid>
      <w:tr w:rsidR="00A266BA" w:rsidRPr="00B11D40" w14:paraId="1D5D0540" w14:textId="77777777" w:rsidTr="00A266BA">
        <w:trPr>
          <w:trHeight w:val="323"/>
          <w:tblHeader/>
        </w:trPr>
        <w:tc>
          <w:tcPr>
            <w:tcW w:w="583" w:type="pct"/>
            <w:vMerge w:val="restart"/>
            <w:shd w:val="clear" w:color="auto" w:fill="DAEEF3" w:themeFill="accent5" w:themeFillTint="33"/>
            <w:vAlign w:val="center"/>
          </w:tcPr>
          <w:p w14:paraId="165D6368" w14:textId="77777777" w:rsidR="00A266BA" w:rsidRPr="002B4FAB" w:rsidRDefault="00A266BA" w:rsidP="00EE195A">
            <w:pPr>
              <w:pStyle w:val="Tableheading"/>
              <w:rPr>
                <w:lang w:val="es-ES_tradnl"/>
              </w:rPr>
            </w:pPr>
            <w:r w:rsidRPr="002B4FAB">
              <w:rPr>
                <w:lang w:val="es-ES_tradnl"/>
              </w:rPr>
              <w:t xml:space="preserve">Rev 1 </w:t>
            </w:r>
            <w:r w:rsidRPr="002B4FAB">
              <w:rPr>
                <w:lang w:val="es-ES_tradnl"/>
              </w:rPr>
              <w:br/>
              <w:t>dic 2020</w:t>
            </w:r>
          </w:p>
        </w:tc>
        <w:tc>
          <w:tcPr>
            <w:tcW w:w="583" w:type="pct"/>
            <w:vMerge w:val="restart"/>
            <w:shd w:val="clear" w:color="auto" w:fill="DAEEF3" w:themeFill="accent5" w:themeFillTint="33"/>
            <w:vAlign w:val="center"/>
          </w:tcPr>
          <w:p w14:paraId="17BB38D8" w14:textId="77777777" w:rsidR="00A266BA" w:rsidRPr="002B4FAB" w:rsidRDefault="00A266BA" w:rsidP="00EE195A">
            <w:pPr>
              <w:pStyle w:val="Tableheading"/>
              <w:rPr>
                <w:lang w:val="es-ES_tradnl"/>
              </w:rPr>
            </w:pPr>
            <w:r w:rsidRPr="002B4FAB">
              <w:rPr>
                <w:lang w:val="es-ES_tradnl"/>
              </w:rPr>
              <w:t xml:space="preserve">Rev 2 </w:t>
            </w:r>
            <w:r w:rsidRPr="002B4FAB">
              <w:rPr>
                <w:lang w:val="es-ES_tradnl"/>
              </w:rPr>
              <w:br/>
              <w:t>feb 2022</w:t>
            </w:r>
          </w:p>
        </w:tc>
        <w:tc>
          <w:tcPr>
            <w:tcW w:w="2010" w:type="pct"/>
            <w:gridSpan w:val="5"/>
            <w:shd w:val="clear" w:color="auto" w:fill="DAEEF3" w:themeFill="accent5" w:themeFillTint="33"/>
            <w:vAlign w:val="center"/>
          </w:tcPr>
          <w:p w14:paraId="04807975" w14:textId="77777777" w:rsidR="00A266BA" w:rsidRPr="002B4FAB" w:rsidRDefault="00A266BA" w:rsidP="00EE195A">
            <w:pPr>
              <w:pStyle w:val="Tableheading"/>
              <w:rPr>
                <w:lang w:val="es-ES_tradnl"/>
              </w:rPr>
            </w:pPr>
            <w:r w:rsidRPr="002B4FAB">
              <w:rPr>
                <w:lang w:val="es-ES_tradnl"/>
              </w:rPr>
              <w:t>Tipo de enmienda</w:t>
            </w:r>
          </w:p>
        </w:tc>
        <w:tc>
          <w:tcPr>
            <w:tcW w:w="1824" w:type="pct"/>
            <w:vMerge w:val="restart"/>
            <w:shd w:val="clear" w:color="auto" w:fill="DAEEF3" w:themeFill="accent5" w:themeFillTint="33"/>
            <w:vAlign w:val="center"/>
          </w:tcPr>
          <w:p w14:paraId="4FC03FD1" w14:textId="77777777" w:rsidR="00A266BA" w:rsidRPr="002B4FAB" w:rsidRDefault="00A266BA" w:rsidP="00EE195A">
            <w:pPr>
              <w:pStyle w:val="Tableheading"/>
              <w:rPr>
                <w:lang w:val="es-ES_tradnl"/>
              </w:rPr>
            </w:pPr>
            <w:r w:rsidRPr="002B4FAB">
              <w:rPr>
                <w:lang w:val="es-ES_tradnl"/>
              </w:rPr>
              <w:t>Descripción de las enmiendas</w:t>
            </w:r>
          </w:p>
        </w:tc>
      </w:tr>
      <w:tr w:rsidR="00A266BA" w14:paraId="54B759DF" w14:textId="77777777" w:rsidTr="00A266BA">
        <w:trPr>
          <w:trHeight w:val="368"/>
          <w:tblHeader/>
        </w:trPr>
        <w:tc>
          <w:tcPr>
            <w:tcW w:w="583" w:type="pct"/>
            <w:vMerge/>
          </w:tcPr>
          <w:p w14:paraId="149F374D" w14:textId="77777777" w:rsidR="00A266BA" w:rsidRPr="002B4FAB" w:rsidRDefault="00A266BA" w:rsidP="00EE195A"/>
        </w:tc>
        <w:tc>
          <w:tcPr>
            <w:tcW w:w="583" w:type="pct"/>
            <w:vMerge/>
          </w:tcPr>
          <w:p w14:paraId="3B1950A7" w14:textId="77777777" w:rsidR="00A266BA" w:rsidRPr="002B4FAB" w:rsidRDefault="00A266BA" w:rsidP="00EE195A"/>
        </w:tc>
        <w:tc>
          <w:tcPr>
            <w:tcW w:w="295" w:type="pct"/>
            <w:shd w:val="clear" w:color="auto" w:fill="DAEEF3" w:themeFill="accent5" w:themeFillTint="33"/>
            <w:vAlign w:val="center"/>
          </w:tcPr>
          <w:p w14:paraId="5537DBAD" w14:textId="77777777" w:rsidR="00A266BA" w:rsidRPr="002B4FAB" w:rsidRDefault="00A266BA" w:rsidP="00EE195A">
            <w:pPr>
              <w:pStyle w:val="Tableheading"/>
              <w:rPr>
                <w:lang w:val="es-ES_tradnl"/>
              </w:rPr>
            </w:pPr>
            <w:r w:rsidRPr="002B4FAB">
              <w:rPr>
                <w:lang w:val="es-ES_tradnl"/>
              </w:rPr>
              <w:t>Nueva</w:t>
            </w:r>
          </w:p>
        </w:tc>
        <w:tc>
          <w:tcPr>
            <w:tcW w:w="388" w:type="pct"/>
            <w:shd w:val="clear" w:color="auto" w:fill="DAEEF3" w:themeFill="accent5" w:themeFillTint="33"/>
            <w:vAlign w:val="center"/>
          </w:tcPr>
          <w:p w14:paraId="5AF360DA" w14:textId="77777777" w:rsidR="00A266BA" w:rsidRPr="002B4FAB" w:rsidRDefault="00A266BA" w:rsidP="00EE195A">
            <w:pPr>
              <w:pStyle w:val="Tableheading"/>
              <w:rPr>
                <w:lang w:val="es-ES_tradnl"/>
              </w:rPr>
            </w:pPr>
            <w:r w:rsidRPr="002B4FAB">
              <w:rPr>
                <w:lang w:val="es-ES_tradnl"/>
              </w:rPr>
              <w:t>Revisada</w:t>
            </w:r>
          </w:p>
        </w:tc>
        <w:tc>
          <w:tcPr>
            <w:tcW w:w="442" w:type="pct"/>
            <w:shd w:val="clear" w:color="auto" w:fill="DAEEF3" w:themeFill="accent5" w:themeFillTint="33"/>
            <w:vAlign w:val="center"/>
          </w:tcPr>
          <w:p w14:paraId="45D75F57" w14:textId="77777777" w:rsidR="00A266BA" w:rsidRPr="002B4FAB" w:rsidRDefault="00A266BA" w:rsidP="00EE195A">
            <w:pPr>
              <w:pStyle w:val="Tableheading"/>
              <w:rPr>
                <w:lang w:val="es-ES_tradnl"/>
              </w:rPr>
            </w:pPr>
            <w:r w:rsidRPr="002B4FAB">
              <w:rPr>
                <w:lang w:val="es-ES_tradnl"/>
              </w:rPr>
              <w:t>S</w:t>
            </w:r>
            <w:r>
              <w:rPr>
                <w:lang w:val="es-ES_tradnl"/>
              </w:rPr>
              <w:t>uprimi</w:t>
            </w:r>
            <w:r w:rsidRPr="002B4FAB">
              <w:rPr>
                <w:lang w:val="es-ES_tradnl"/>
              </w:rPr>
              <w:t>da</w:t>
            </w:r>
          </w:p>
        </w:tc>
        <w:tc>
          <w:tcPr>
            <w:tcW w:w="433" w:type="pct"/>
            <w:shd w:val="clear" w:color="auto" w:fill="DAEEF3" w:themeFill="accent5" w:themeFillTint="33"/>
            <w:vAlign w:val="center"/>
          </w:tcPr>
          <w:p w14:paraId="727165C4" w14:textId="77777777" w:rsidR="00A266BA" w:rsidRPr="002B4FAB" w:rsidRDefault="00A266BA" w:rsidP="00EE195A">
            <w:pPr>
              <w:pStyle w:val="Tableheading"/>
              <w:rPr>
                <w:lang w:val="es-ES_tradnl"/>
              </w:rPr>
            </w:pPr>
            <w:r w:rsidRPr="002B4FAB">
              <w:rPr>
                <w:lang w:val="es-ES_tradnl"/>
              </w:rPr>
              <w:t>Fusionada</w:t>
            </w:r>
          </w:p>
        </w:tc>
        <w:tc>
          <w:tcPr>
            <w:tcW w:w="452" w:type="pct"/>
            <w:shd w:val="clear" w:color="auto" w:fill="DAEEF3" w:themeFill="accent5" w:themeFillTint="33"/>
            <w:vAlign w:val="center"/>
          </w:tcPr>
          <w:p w14:paraId="035A1641" w14:textId="77777777" w:rsidR="00A266BA" w:rsidRPr="002B4FAB" w:rsidRDefault="00A266BA" w:rsidP="00EE195A">
            <w:pPr>
              <w:pStyle w:val="Tableheading"/>
              <w:rPr>
                <w:lang w:val="es-ES_tradnl"/>
              </w:rPr>
            </w:pPr>
            <w:r w:rsidRPr="002B4FAB">
              <w:rPr>
                <w:lang w:val="es-ES_tradnl"/>
              </w:rPr>
              <w:t>Sin cambio</w:t>
            </w:r>
          </w:p>
        </w:tc>
        <w:tc>
          <w:tcPr>
            <w:tcW w:w="1824" w:type="pct"/>
            <w:vMerge/>
          </w:tcPr>
          <w:p w14:paraId="32146D71" w14:textId="77777777" w:rsidR="00A266BA" w:rsidRDefault="00A266BA" w:rsidP="00EE195A">
            <w:pPr>
              <w:rPr>
                <w:lang w:val="en-US"/>
              </w:rPr>
            </w:pPr>
          </w:p>
        </w:tc>
      </w:tr>
      <w:tr w:rsidR="00A266BA" w:rsidRPr="00A266BA" w14:paraId="22C37A97" w14:textId="77777777" w:rsidTr="00A266BA">
        <w:trPr>
          <w:trHeight w:val="431"/>
        </w:trPr>
        <w:tc>
          <w:tcPr>
            <w:tcW w:w="5000" w:type="pct"/>
            <w:gridSpan w:val="8"/>
            <w:shd w:val="clear" w:color="auto" w:fill="E5B8B7" w:themeFill="accent2" w:themeFillTint="66"/>
            <w:vAlign w:val="center"/>
          </w:tcPr>
          <w:p w14:paraId="18FFA757" w14:textId="77777777" w:rsidR="00A266BA" w:rsidRPr="00A266BA" w:rsidRDefault="00A266BA" w:rsidP="00EE195A">
            <w:pPr>
              <w:rPr>
                <w:rStyle w:val="Emphasis"/>
                <w:lang w:val="es-ES_tradnl"/>
              </w:rPr>
            </w:pPr>
            <w:r w:rsidRPr="00A266BA">
              <w:rPr>
                <w:rStyle w:val="Emphasis"/>
                <w:lang w:val="es-ES_tradnl"/>
              </w:rPr>
              <w:t>SSP.ANS — Servicios de navegación aérea</w:t>
            </w:r>
          </w:p>
        </w:tc>
      </w:tr>
      <w:tr w:rsidR="00A266BA" w14:paraId="7C0DE85A" w14:textId="77777777" w:rsidTr="00A266BA">
        <w:tc>
          <w:tcPr>
            <w:tcW w:w="583" w:type="pct"/>
            <w:vAlign w:val="center"/>
          </w:tcPr>
          <w:p w14:paraId="4042BF5C" w14:textId="77777777" w:rsidR="00A266BA" w:rsidRPr="002B4FAB" w:rsidRDefault="00A266BA" w:rsidP="00A266BA">
            <w:pPr>
              <w:pStyle w:val="Tabletext"/>
            </w:pPr>
            <w:r w:rsidRPr="002B4FAB">
              <w:t>SSP.ANS 01</w:t>
            </w:r>
          </w:p>
        </w:tc>
        <w:tc>
          <w:tcPr>
            <w:tcW w:w="583" w:type="pct"/>
            <w:vAlign w:val="center"/>
          </w:tcPr>
          <w:p w14:paraId="5BB3F15B" w14:textId="77777777" w:rsidR="00A266BA" w:rsidRPr="002B4FAB" w:rsidRDefault="00A266BA" w:rsidP="00A266BA">
            <w:pPr>
              <w:pStyle w:val="Tabletext"/>
            </w:pPr>
            <w:r w:rsidRPr="002B4FAB">
              <w:t>SSP.ANS 01</w:t>
            </w:r>
          </w:p>
        </w:tc>
        <w:tc>
          <w:tcPr>
            <w:tcW w:w="295" w:type="pct"/>
            <w:vAlign w:val="center"/>
          </w:tcPr>
          <w:p w14:paraId="213F0E19" w14:textId="77777777" w:rsidR="00A266BA" w:rsidRPr="002B4FAB" w:rsidRDefault="00A266BA" w:rsidP="00A266BA">
            <w:pPr>
              <w:pStyle w:val="ColumnCenter"/>
            </w:pPr>
          </w:p>
        </w:tc>
        <w:tc>
          <w:tcPr>
            <w:tcW w:w="388" w:type="pct"/>
            <w:vAlign w:val="center"/>
          </w:tcPr>
          <w:p w14:paraId="0B0C86FD" w14:textId="77777777" w:rsidR="00A266BA" w:rsidRPr="002B4FAB" w:rsidRDefault="00A266BA" w:rsidP="00A266BA">
            <w:pPr>
              <w:pStyle w:val="ColumnCenter"/>
            </w:pPr>
          </w:p>
        </w:tc>
        <w:tc>
          <w:tcPr>
            <w:tcW w:w="442" w:type="pct"/>
            <w:vAlign w:val="center"/>
          </w:tcPr>
          <w:p w14:paraId="7AA34A55" w14:textId="77777777" w:rsidR="00A266BA" w:rsidRPr="002B4FAB" w:rsidRDefault="00A266BA" w:rsidP="00A266BA">
            <w:pPr>
              <w:pStyle w:val="ColumnCenter"/>
            </w:pPr>
          </w:p>
        </w:tc>
        <w:tc>
          <w:tcPr>
            <w:tcW w:w="433" w:type="pct"/>
            <w:vAlign w:val="center"/>
          </w:tcPr>
          <w:p w14:paraId="6567A872" w14:textId="77777777" w:rsidR="00A266BA" w:rsidRPr="002B4FAB" w:rsidRDefault="00A266BA" w:rsidP="00A266BA">
            <w:pPr>
              <w:pStyle w:val="ColumnCenter"/>
            </w:pPr>
          </w:p>
        </w:tc>
        <w:tc>
          <w:tcPr>
            <w:tcW w:w="452" w:type="pct"/>
            <w:vAlign w:val="center"/>
          </w:tcPr>
          <w:p w14:paraId="54B60A22" w14:textId="7536C7DB" w:rsidR="00A266BA" w:rsidRPr="002B4FAB" w:rsidRDefault="00A266BA" w:rsidP="00A266BA">
            <w:pPr>
              <w:pStyle w:val="ColumnCenter"/>
            </w:pPr>
            <w:r w:rsidRPr="002B4FAB">
              <w:rPr>
                <w:rFonts w:ascii="MS Gothic" w:eastAsia="MS Gothic" w:hAnsi="MS Gothic"/>
              </w:rPr>
              <w:t>☒</w:t>
            </w:r>
          </w:p>
        </w:tc>
        <w:tc>
          <w:tcPr>
            <w:tcW w:w="1824" w:type="pct"/>
          </w:tcPr>
          <w:p w14:paraId="66AFA9B1" w14:textId="77777777" w:rsidR="00A266BA" w:rsidRPr="00EE0148" w:rsidRDefault="00A266BA" w:rsidP="00A266BA">
            <w:pPr>
              <w:pStyle w:val="Tabletext"/>
            </w:pPr>
            <w:r w:rsidRPr="00EE0148">
              <w:t>Sin cambio.</w:t>
            </w:r>
          </w:p>
        </w:tc>
      </w:tr>
      <w:tr w:rsidR="00A266BA" w14:paraId="1AFA5EC6" w14:textId="77777777" w:rsidTr="00A266BA">
        <w:tc>
          <w:tcPr>
            <w:tcW w:w="583" w:type="pct"/>
            <w:vAlign w:val="center"/>
          </w:tcPr>
          <w:p w14:paraId="3C97CAF8" w14:textId="77777777" w:rsidR="00A266BA" w:rsidRDefault="00A266BA" w:rsidP="00A266BA">
            <w:pPr>
              <w:pStyle w:val="Tabletext"/>
            </w:pPr>
            <w:r>
              <w:t>SSP.ANS 02</w:t>
            </w:r>
          </w:p>
        </w:tc>
        <w:tc>
          <w:tcPr>
            <w:tcW w:w="583" w:type="pct"/>
            <w:vAlign w:val="center"/>
          </w:tcPr>
          <w:p w14:paraId="265252C1" w14:textId="77777777" w:rsidR="00A266BA" w:rsidRDefault="00A266BA" w:rsidP="00A266BA">
            <w:pPr>
              <w:pStyle w:val="Tabletext"/>
            </w:pPr>
            <w:r>
              <w:t>SSP.ANS 02</w:t>
            </w:r>
          </w:p>
        </w:tc>
        <w:tc>
          <w:tcPr>
            <w:tcW w:w="295" w:type="pct"/>
            <w:vAlign w:val="center"/>
          </w:tcPr>
          <w:p w14:paraId="3F3D749B" w14:textId="77777777" w:rsidR="00A266BA" w:rsidRDefault="00A266BA" w:rsidP="00A266BA">
            <w:pPr>
              <w:pStyle w:val="ColumnCenter"/>
              <w:rPr>
                <w:lang w:val="en-US"/>
              </w:rPr>
            </w:pPr>
          </w:p>
        </w:tc>
        <w:tc>
          <w:tcPr>
            <w:tcW w:w="388" w:type="pct"/>
            <w:vAlign w:val="center"/>
          </w:tcPr>
          <w:p w14:paraId="33AF2484" w14:textId="77777777" w:rsidR="00A266BA" w:rsidRDefault="00A266BA" w:rsidP="00A266BA">
            <w:pPr>
              <w:pStyle w:val="ColumnCenter"/>
              <w:rPr>
                <w:lang w:val="en-US"/>
              </w:rPr>
            </w:pPr>
          </w:p>
        </w:tc>
        <w:tc>
          <w:tcPr>
            <w:tcW w:w="442" w:type="pct"/>
            <w:vAlign w:val="center"/>
          </w:tcPr>
          <w:p w14:paraId="6118BD5C" w14:textId="77777777" w:rsidR="00A266BA" w:rsidRDefault="00A266BA" w:rsidP="00A266BA">
            <w:pPr>
              <w:pStyle w:val="ColumnCenter"/>
              <w:rPr>
                <w:lang w:val="en-US"/>
              </w:rPr>
            </w:pPr>
          </w:p>
        </w:tc>
        <w:tc>
          <w:tcPr>
            <w:tcW w:w="433" w:type="pct"/>
            <w:vAlign w:val="center"/>
          </w:tcPr>
          <w:p w14:paraId="0D25515C" w14:textId="77777777" w:rsidR="00A266BA" w:rsidRDefault="00A266BA" w:rsidP="00A266BA">
            <w:pPr>
              <w:pStyle w:val="ColumnCenter"/>
              <w:rPr>
                <w:lang w:val="en-US"/>
              </w:rPr>
            </w:pPr>
          </w:p>
        </w:tc>
        <w:tc>
          <w:tcPr>
            <w:tcW w:w="452" w:type="pct"/>
            <w:vAlign w:val="center"/>
          </w:tcPr>
          <w:p w14:paraId="6BAEEF37" w14:textId="0E3A76EA" w:rsidR="00A266BA" w:rsidRDefault="00A266BA" w:rsidP="00A266BA">
            <w:pPr>
              <w:pStyle w:val="ColumnCenter"/>
              <w:rPr>
                <w:lang w:val="en-US"/>
              </w:rPr>
            </w:pPr>
            <w:r>
              <w:rPr>
                <w:rFonts w:ascii="MS Gothic" w:eastAsia="MS Gothic" w:hAnsi="MS Gothic" w:hint="eastAsia"/>
                <w:lang w:val="en-US"/>
              </w:rPr>
              <w:t>☒</w:t>
            </w:r>
          </w:p>
        </w:tc>
        <w:tc>
          <w:tcPr>
            <w:tcW w:w="1824" w:type="pct"/>
          </w:tcPr>
          <w:p w14:paraId="311C050C" w14:textId="77777777" w:rsidR="00A266BA" w:rsidRPr="00EE0148" w:rsidRDefault="00A266BA" w:rsidP="00A266BA">
            <w:pPr>
              <w:pStyle w:val="Tabletext"/>
            </w:pPr>
            <w:r w:rsidRPr="00EE0148">
              <w:t>Sin cambio.</w:t>
            </w:r>
          </w:p>
        </w:tc>
      </w:tr>
      <w:tr w:rsidR="00A266BA" w:rsidRPr="00A266BA" w14:paraId="5F28D650" w14:textId="77777777" w:rsidTr="00A266BA">
        <w:tc>
          <w:tcPr>
            <w:tcW w:w="583" w:type="pct"/>
            <w:vAlign w:val="center"/>
          </w:tcPr>
          <w:p w14:paraId="12129B5D" w14:textId="77777777" w:rsidR="00A266BA" w:rsidRDefault="00A266BA" w:rsidP="00A266BA">
            <w:pPr>
              <w:pStyle w:val="Tabletext"/>
            </w:pPr>
            <w:r>
              <w:t>SSP.ANS 03</w:t>
            </w:r>
          </w:p>
        </w:tc>
        <w:tc>
          <w:tcPr>
            <w:tcW w:w="583" w:type="pct"/>
            <w:vAlign w:val="center"/>
          </w:tcPr>
          <w:p w14:paraId="6EDEF28F" w14:textId="77777777" w:rsidR="00A266BA" w:rsidRDefault="00A266BA" w:rsidP="00A266BA">
            <w:pPr>
              <w:pStyle w:val="Tabletext"/>
            </w:pPr>
            <w:r>
              <w:t>SSP.ANS 03</w:t>
            </w:r>
          </w:p>
        </w:tc>
        <w:tc>
          <w:tcPr>
            <w:tcW w:w="295" w:type="pct"/>
            <w:vAlign w:val="center"/>
          </w:tcPr>
          <w:p w14:paraId="7A0C457E" w14:textId="77777777" w:rsidR="00A266BA" w:rsidRDefault="00A266BA" w:rsidP="00A266BA">
            <w:pPr>
              <w:pStyle w:val="ColumnCenter"/>
              <w:rPr>
                <w:lang w:val="en-US"/>
              </w:rPr>
            </w:pPr>
          </w:p>
        </w:tc>
        <w:tc>
          <w:tcPr>
            <w:tcW w:w="388" w:type="pct"/>
            <w:vAlign w:val="center"/>
          </w:tcPr>
          <w:p w14:paraId="43D2E231" w14:textId="3A627326" w:rsidR="00A266BA" w:rsidRDefault="00A266BA" w:rsidP="00A266BA">
            <w:pPr>
              <w:pStyle w:val="ColumnCenter"/>
              <w:rPr>
                <w:lang w:val="en-US"/>
              </w:rPr>
            </w:pPr>
            <w:r>
              <w:rPr>
                <w:rFonts w:ascii="MS Gothic" w:eastAsia="MS Gothic" w:hAnsi="MS Gothic" w:hint="eastAsia"/>
                <w:lang w:val="en-US"/>
              </w:rPr>
              <w:t>☒</w:t>
            </w:r>
          </w:p>
        </w:tc>
        <w:tc>
          <w:tcPr>
            <w:tcW w:w="442" w:type="pct"/>
            <w:vAlign w:val="center"/>
          </w:tcPr>
          <w:p w14:paraId="0C3C4F8A" w14:textId="77777777" w:rsidR="00A266BA" w:rsidRDefault="00A266BA" w:rsidP="00A266BA">
            <w:pPr>
              <w:pStyle w:val="ColumnCenter"/>
              <w:rPr>
                <w:lang w:val="en-US"/>
              </w:rPr>
            </w:pPr>
          </w:p>
        </w:tc>
        <w:tc>
          <w:tcPr>
            <w:tcW w:w="433" w:type="pct"/>
            <w:vAlign w:val="center"/>
          </w:tcPr>
          <w:p w14:paraId="00C41D87" w14:textId="77777777" w:rsidR="00A266BA" w:rsidRDefault="00A266BA" w:rsidP="00A266BA">
            <w:pPr>
              <w:pStyle w:val="ColumnCenter"/>
              <w:rPr>
                <w:lang w:val="en-US"/>
              </w:rPr>
            </w:pPr>
          </w:p>
        </w:tc>
        <w:tc>
          <w:tcPr>
            <w:tcW w:w="452" w:type="pct"/>
            <w:vAlign w:val="center"/>
          </w:tcPr>
          <w:p w14:paraId="7EAD86F3" w14:textId="77777777" w:rsidR="00A266BA" w:rsidRDefault="00A266BA" w:rsidP="00A266BA">
            <w:pPr>
              <w:pStyle w:val="ColumnCenter"/>
              <w:rPr>
                <w:lang w:val="en-US"/>
              </w:rPr>
            </w:pPr>
          </w:p>
        </w:tc>
        <w:tc>
          <w:tcPr>
            <w:tcW w:w="1824" w:type="pct"/>
          </w:tcPr>
          <w:p w14:paraId="621F2059" w14:textId="77777777" w:rsidR="00A266BA" w:rsidRPr="00EE0148" w:rsidRDefault="00A266BA" w:rsidP="00A266BA">
            <w:pPr>
              <w:pStyle w:val="Tabletext"/>
            </w:pPr>
            <w:r w:rsidRPr="00EE0148">
              <w:t>Orientación revisada para “Existe y es eficaz”.</w:t>
            </w:r>
          </w:p>
        </w:tc>
      </w:tr>
      <w:tr w:rsidR="00A266BA" w14:paraId="3BF19938" w14:textId="77777777" w:rsidTr="00A266BA">
        <w:tc>
          <w:tcPr>
            <w:tcW w:w="583" w:type="pct"/>
            <w:vAlign w:val="center"/>
          </w:tcPr>
          <w:p w14:paraId="3CB2AF0D" w14:textId="77777777" w:rsidR="00A266BA" w:rsidRDefault="00A266BA" w:rsidP="00A266BA">
            <w:pPr>
              <w:pStyle w:val="Tabletext"/>
            </w:pPr>
            <w:r>
              <w:t>SSP.ANS 04</w:t>
            </w:r>
          </w:p>
        </w:tc>
        <w:tc>
          <w:tcPr>
            <w:tcW w:w="583" w:type="pct"/>
            <w:vAlign w:val="center"/>
          </w:tcPr>
          <w:p w14:paraId="2DF26675" w14:textId="77777777" w:rsidR="00A266BA" w:rsidRDefault="00A266BA" w:rsidP="00A266BA">
            <w:pPr>
              <w:pStyle w:val="Tabletext"/>
            </w:pPr>
            <w:r>
              <w:t>SSP.ANS 04</w:t>
            </w:r>
          </w:p>
        </w:tc>
        <w:tc>
          <w:tcPr>
            <w:tcW w:w="295" w:type="pct"/>
            <w:vAlign w:val="center"/>
          </w:tcPr>
          <w:p w14:paraId="47515D16" w14:textId="77777777" w:rsidR="00A266BA" w:rsidRDefault="00A266BA" w:rsidP="00A266BA">
            <w:pPr>
              <w:pStyle w:val="ColumnCenter"/>
              <w:rPr>
                <w:lang w:val="en-US"/>
              </w:rPr>
            </w:pPr>
          </w:p>
        </w:tc>
        <w:tc>
          <w:tcPr>
            <w:tcW w:w="388" w:type="pct"/>
            <w:vAlign w:val="center"/>
          </w:tcPr>
          <w:p w14:paraId="176CF2E1" w14:textId="77777777" w:rsidR="00A266BA" w:rsidRDefault="00A266BA" w:rsidP="00A266BA">
            <w:pPr>
              <w:pStyle w:val="ColumnCenter"/>
              <w:rPr>
                <w:lang w:val="en-US"/>
              </w:rPr>
            </w:pPr>
          </w:p>
        </w:tc>
        <w:tc>
          <w:tcPr>
            <w:tcW w:w="442" w:type="pct"/>
            <w:vAlign w:val="center"/>
          </w:tcPr>
          <w:p w14:paraId="49AE6C11" w14:textId="77777777" w:rsidR="00A266BA" w:rsidRDefault="00A266BA" w:rsidP="00A266BA">
            <w:pPr>
              <w:pStyle w:val="ColumnCenter"/>
              <w:rPr>
                <w:lang w:val="en-US"/>
              </w:rPr>
            </w:pPr>
          </w:p>
        </w:tc>
        <w:tc>
          <w:tcPr>
            <w:tcW w:w="433" w:type="pct"/>
            <w:vAlign w:val="center"/>
          </w:tcPr>
          <w:p w14:paraId="4374A935" w14:textId="77777777" w:rsidR="00A266BA" w:rsidRDefault="00A266BA" w:rsidP="00A266BA">
            <w:pPr>
              <w:pStyle w:val="ColumnCenter"/>
              <w:rPr>
                <w:lang w:val="en-US"/>
              </w:rPr>
            </w:pPr>
          </w:p>
        </w:tc>
        <w:tc>
          <w:tcPr>
            <w:tcW w:w="452" w:type="pct"/>
            <w:vAlign w:val="center"/>
          </w:tcPr>
          <w:p w14:paraId="6D8C38B5" w14:textId="235AA603" w:rsidR="00A266BA" w:rsidRDefault="00A266BA" w:rsidP="00A266BA">
            <w:pPr>
              <w:pStyle w:val="ColumnCenter"/>
              <w:rPr>
                <w:lang w:val="en-US"/>
              </w:rPr>
            </w:pPr>
            <w:r>
              <w:rPr>
                <w:rFonts w:ascii="MS Gothic" w:eastAsia="MS Gothic" w:hAnsi="MS Gothic" w:hint="eastAsia"/>
                <w:lang w:val="en-US"/>
              </w:rPr>
              <w:t>☒</w:t>
            </w:r>
          </w:p>
        </w:tc>
        <w:tc>
          <w:tcPr>
            <w:tcW w:w="1824" w:type="pct"/>
          </w:tcPr>
          <w:p w14:paraId="37686B85" w14:textId="77777777" w:rsidR="00A266BA" w:rsidRPr="00EE0148" w:rsidRDefault="00A266BA" w:rsidP="00A266BA">
            <w:pPr>
              <w:pStyle w:val="Tabletext"/>
            </w:pPr>
            <w:r w:rsidRPr="00EE0148">
              <w:t>Sin cambio.</w:t>
            </w:r>
          </w:p>
        </w:tc>
      </w:tr>
      <w:tr w:rsidR="00A266BA" w:rsidRPr="00A266BA" w14:paraId="43A88CAC" w14:textId="77777777" w:rsidTr="00A266BA">
        <w:tc>
          <w:tcPr>
            <w:tcW w:w="583" w:type="pct"/>
            <w:vAlign w:val="center"/>
          </w:tcPr>
          <w:p w14:paraId="3E8FD342" w14:textId="77777777" w:rsidR="00A266BA" w:rsidRDefault="00A266BA" w:rsidP="00A266BA">
            <w:pPr>
              <w:pStyle w:val="Tabletext"/>
            </w:pPr>
            <w:r>
              <w:t>SSP.ANS 05</w:t>
            </w:r>
          </w:p>
        </w:tc>
        <w:tc>
          <w:tcPr>
            <w:tcW w:w="583" w:type="pct"/>
            <w:vAlign w:val="center"/>
          </w:tcPr>
          <w:p w14:paraId="2EA8639E" w14:textId="77777777" w:rsidR="00A266BA" w:rsidRDefault="00A266BA" w:rsidP="00A266BA">
            <w:pPr>
              <w:pStyle w:val="Tabletext"/>
            </w:pPr>
            <w:r>
              <w:t>SSP.ANS 05</w:t>
            </w:r>
          </w:p>
        </w:tc>
        <w:tc>
          <w:tcPr>
            <w:tcW w:w="295" w:type="pct"/>
            <w:vAlign w:val="center"/>
          </w:tcPr>
          <w:p w14:paraId="0D0279AC" w14:textId="77777777" w:rsidR="00A266BA" w:rsidRDefault="00A266BA" w:rsidP="00A266BA">
            <w:pPr>
              <w:pStyle w:val="ColumnCenter"/>
              <w:rPr>
                <w:lang w:val="en-US"/>
              </w:rPr>
            </w:pPr>
          </w:p>
        </w:tc>
        <w:tc>
          <w:tcPr>
            <w:tcW w:w="388" w:type="pct"/>
            <w:vAlign w:val="center"/>
          </w:tcPr>
          <w:p w14:paraId="330263B9" w14:textId="176AE182" w:rsidR="00A266BA" w:rsidRDefault="00A266BA" w:rsidP="00A266BA">
            <w:pPr>
              <w:pStyle w:val="ColumnCenter"/>
              <w:rPr>
                <w:lang w:val="en-US"/>
              </w:rPr>
            </w:pPr>
            <w:r>
              <w:rPr>
                <w:rFonts w:ascii="MS Gothic" w:eastAsia="MS Gothic" w:hAnsi="MS Gothic" w:hint="eastAsia"/>
                <w:lang w:val="en-US"/>
              </w:rPr>
              <w:t>☒</w:t>
            </w:r>
          </w:p>
        </w:tc>
        <w:tc>
          <w:tcPr>
            <w:tcW w:w="442" w:type="pct"/>
            <w:vAlign w:val="center"/>
          </w:tcPr>
          <w:p w14:paraId="7DB8786F" w14:textId="77777777" w:rsidR="00A266BA" w:rsidRDefault="00A266BA" w:rsidP="00A266BA">
            <w:pPr>
              <w:pStyle w:val="ColumnCenter"/>
              <w:rPr>
                <w:lang w:val="en-US"/>
              </w:rPr>
            </w:pPr>
          </w:p>
        </w:tc>
        <w:tc>
          <w:tcPr>
            <w:tcW w:w="433" w:type="pct"/>
            <w:vAlign w:val="center"/>
          </w:tcPr>
          <w:p w14:paraId="28F13E6D" w14:textId="77777777" w:rsidR="00A266BA" w:rsidRDefault="00A266BA" w:rsidP="00A266BA">
            <w:pPr>
              <w:pStyle w:val="ColumnCenter"/>
              <w:rPr>
                <w:lang w:val="en-US"/>
              </w:rPr>
            </w:pPr>
          </w:p>
        </w:tc>
        <w:tc>
          <w:tcPr>
            <w:tcW w:w="452" w:type="pct"/>
            <w:vAlign w:val="center"/>
          </w:tcPr>
          <w:p w14:paraId="49F49811" w14:textId="77777777" w:rsidR="00A266BA" w:rsidRDefault="00A266BA" w:rsidP="00A266BA">
            <w:pPr>
              <w:pStyle w:val="ColumnCenter"/>
              <w:rPr>
                <w:lang w:val="en-US"/>
              </w:rPr>
            </w:pPr>
          </w:p>
        </w:tc>
        <w:tc>
          <w:tcPr>
            <w:tcW w:w="1824" w:type="pct"/>
          </w:tcPr>
          <w:p w14:paraId="477A8E0E" w14:textId="77777777" w:rsidR="00A266BA" w:rsidRPr="00EE0148" w:rsidRDefault="00A266BA" w:rsidP="00A266BA">
            <w:pPr>
              <w:pStyle w:val="Tabletext"/>
            </w:pPr>
            <w:r w:rsidRPr="00EE0148">
              <w:t>Orientación revisada para “Existe y es eficaz”.</w:t>
            </w:r>
          </w:p>
        </w:tc>
      </w:tr>
      <w:tr w:rsidR="00A266BA" w:rsidRPr="00A266BA" w14:paraId="2933AFB1" w14:textId="77777777" w:rsidTr="00A266BA">
        <w:tc>
          <w:tcPr>
            <w:tcW w:w="583" w:type="pct"/>
            <w:vAlign w:val="center"/>
          </w:tcPr>
          <w:p w14:paraId="3429774E" w14:textId="77777777" w:rsidR="00A266BA" w:rsidRDefault="00A266BA" w:rsidP="00A266BA">
            <w:pPr>
              <w:pStyle w:val="Tabletext"/>
            </w:pPr>
            <w:r>
              <w:t>SSP.ANS 06</w:t>
            </w:r>
          </w:p>
        </w:tc>
        <w:tc>
          <w:tcPr>
            <w:tcW w:w="583" w:type="pct"/>
            <w:vAlign w:val="center"/>
          </w:tcPr>
          <w:p w14:paraId="35D2B67D" w14:textId="77777777" w:rsidR="00A266BA" w:rsidRDefault="00A266BA" w:rsidP="00A266BA">
            <w:pPr>
              <w:pStyle w:val="Tabletext"/>
            </w:pPr>
            <w:r>
              <w:t>SSP.ANS 06</w:t>
            </w:r>
          </w:p>
        </w:tc>
        <w:tc>
          <w:tcPr>
            <w:tcW w:w="295" w:type="pct"/>
            <w:vAlign w:val="center"/>
          </w:tcPr>
          <w:p w14:paraId="6FAFBA5D" w14:textId="77777777" w:rsidR="00A266BA" w:rsidRDefault="00A266BA" w:rsidP="00A266BA">
            <w:pPr>
              <w:pStyle w:val="ColumnCenter"/>
              <w:rPr>
                <w:lang w:val="en-US"/>
              </w:rPr>
            </w:pPr>
          </w:p>
        </w:tc>
        <w:tc>
          <w:tcPr>
            <w:tcW w:w="388" w:type="pct"/>
            <w:vAlign w:val="center"/>
          </w:tcPr>
          <w:p w14:paraId="438D83A3" w14:textId="7F4B902B" w:rsidR="00A266BA" w:rsidRDefault="00A266BA" w:rsidP="00A266BA">
            <w:pPr>
              <w:pStyle w:val="ColumnCenter"/>
              <w:rPr>
                <w:lang w:val="en-US"/>
              </w:rPr>
            </w:pPr>
            <w:r>
              <w:rPr>
                <w:rFonts w:ascii="MS Gothic" w:eastAsia="MS Gothic" w:hAnsi="MS Gothic" w:hint="eastAsia"/>
                <w:lang w:val="en-US"/>
              </w:rPr>
              <w:t>☒</w:t>
            </w:r>
          </w:p>
        </w:tc>
        <w:tc>
          <w:tcPr>
            <w:tcW w:w="442" w:type="pct"/>
            <w:vAlign w:val="center"/>
          </w:tcPr>
          <w:p w14:paraId="26FFD5D0" w14:textId="77777777" w:rsidR="00A266BA" w:rsidRDefault="00A266BA" w:rsidP="00A266BA">
            <w:pPr>
              <w:pStyle w:val="ColumnCenter"/>
              <w:rPr>
                <w:lang w:val="en-US"/>
              </w:rPr>
            </w:pPr>
          </w:p>
        </w:tc>
        <w:tc>
          <w:tcPr>
            <w:tcW w:w="433" w:type="pct"/>
            <w:vAlign w:val="center"/>
          </w:tcPr>
          <w:p w14:paraId="3FBA5EFC" w14:textId="77777777" w:rsidR="00A266BA" w:rsidRDefault="00A266BA" w:rsidP="00A266BA">
            <w:pPr>
              <w:pStyle w:val="ColumnCenter"/>
              <w:rPr>
                <w:lang w:val="en-US"/>
              </w:rPr>
            </w:pPr>
          </w:p>
        </w:tc>
        <w:tc>
          <w:tcPr>
            <w:tcW w:w="452" w:type="pct"/>
            <w:vAlign w:val="center"/>
          </w:tcPr>
          <w:p w14:paraId="6BDABBE4" w14:textId="77777777" w:rsidR="00A266BA" w:rsidRDefault="00A266BA" w:rsidP="00A266BA">
            <w:pPr>
              <w:pStyle w:val="ColumnCenter"/>
              <w:rPr>
                <w:lang w:val="en-US"/>
              </w:rPr>
            </w:pPr>
          </w:p>
        </w:tc>
        <w:tc>
          <w:tcPr>
            <w:tcW w:w="1824" w:type="pct"/>
          </w:tcPr>
          <w:p w14:paraId="41670B92" w14:textId="77777777" w:rsidR="00A266BA" w:rsidRPr="00EE0148" w:rsidRDefault="00A266BA" w:rsidP="00A266BA">
            <w:pPr>
              <w:pStyle w:val="Tabletext"/>
            </w:pPr>
            <w:r w:rsidRPr="00EE0148">
              <w:t>Orientación revisada para “Existe” and “Existe y es eficaz”.</w:t>
            </w:r>
          </w:p>
        </w:tc>
      </w:tr>
      <w:tr w:rsidR="00A266BA" w14:paraId="768BF60D" w14:textId="77777777" w:rsidTr="00A266BA">
        <w:tc>
          <w:tcPr>
            <w:tcW w:w="583" w:type="pct"/>
            <w:vAlign w:val="center"/>
          </w:tcPr>
          <w:p w14:paraId="3EE7D000" w14:textId="77777777" w:rsidR="00A266BA" w:rsidRDefault="00A266BA" w:rsidP="00A266BA">
            <w:pPr>
              <w:pStyle w:val="Tabletext"/>
            </w:pPr>
            <w:r>
              <w:t>SSP.ANS 07</w:t>
            </w:r>
          </w:p>
        </w:tc>
        <w:tc>
          <w:tcPr>
            <w:tcW w:w="583" w:type="pct"/>
            <w:vAlign w:val="center"/>
          </w:tcPr>
          <w:p w14:paraId="5E235A67" w14:textId="77777777" w:rsidR="00A266BA" w:rsidRDefault="00A266BA" w:rsidP="00A266BA">
            <w:pPr>
              <w:pStyle w:val="Tabletext"/>
            </w:pPr>
            <w:r>
              <w:t>SSP.ANS 07</w:t>
            </w:r>
          </w:p>
        </w:tc>
        <w:tc>
          <w:tcPr>
            <w:tcW w:w="295" w:type="pct"/>
            <w:vAlign w:val="center"/>
          </w:tcPr>
          <w:p w14:paraId="0D50096C" w14:textId="77777777" w:rsidR="00A266BA" w:rsidRDefault="00A266BA" w:rsidP="00A266BA">
            <w:pPr>
              <w:pStyle w:val="ColumnCenter"/>
              <w:rPr>
                <w:lang w:val="en-US"/>
              </w:rPr>
            </w:pPr>
          </w:p>
        </w:tc>
        <w:tc>
          <w:tcPr>
            <w:tcW w:w="388" w:type="pct"/>
            <w:vAlign w:val="center"/>
          </w:tcPr>
          <w:p w14:paraId="52862C34" w14:textId="77777777" w:rsidR="00A266BA" w:rsidRDefault="00A266BA" w:rsidP="00A266BA">
            <w:pPr>
              <w:pStyle w:val="ColumnCenter"/>
              <w:rPr>
                <w:lang w:val="en-US"/>
              </w:rPr>
            </w:pPr>
          </w:p>
        </w:tc>
        <w:tc>
          <w:tcPr>
            <w:tcW w:w="442" w:type="pct"/>
            <w:vAlign w:val="center"/>
          </w:tcPr>
          <w:p w14:paraId="005ABB09" w14:textId="77777777" w:rsidR="00A266BA" w:rsidRDefault="00A266BA" w:rsidP="00A266BA">
            <w:pPr>
              <w:pStyle w:val="ColumnCenter"/>
              <w:rPr>
                <w:lang w:val="en-US"/>
              </w:rPr>
            </w:pPr>
          </w:p>
        </w:tc>
        <w:tc>
          <w:tcPr>
            <w:tcW w:w="433" w:type="pct"/>
            <w:vAlign w:val="center"/>
          </w:tcPr>
          <w:p w14:paraId="33C5EA37" w14:textId="77777777" w:rsidR="00A266BA" w:rsidRDefault="00A266BA" w:rsidP="00A266BA">
            <w:pPr>
              <w:pStyle w:val="ColumnCenter"/>
              <w:rPr>
                <w:lang w:val="en-US"/>
              </w:rPr>
            </w:pPr>
          </w:p>
        </w:tc>
        <w:tc>
          <w:tcPr>
            <w:tcW w:w="452" w:type="pct"/>
            <w:vAlign w:val="center"/>
          </w:tcPr>
          <w:p w14:paraId="4AB6FE52" w14:textId="1E68D814" w:rsidR="00A266BA" w:rsidRDefault="00A266BA" w:rsidP="00A266BA">
            <w:pPr>
              <w:pStyle w:val="ColumnCenter"/>
              <w:rPr>
                <w:lang w:val="en-US"/>
              </w:rPr>
            </w:pPr>
            <w:r>
              <w:rPr>
                <w:rFonts w:ascii="MS Gothic" w:eastAsia="MS Gothic" w:hAnsi="MS Gothic" w:hint="eastAsia"/>
                <w:lang w:val="en-US"/>
              </w:rPr>
              <w:t>☒</w:t>
            </w:r>
          </w:p>
        </w:tc>
        <w:tc>
          <w:tcPr>
            <w:tcW w:w="1824" w:type="pct"/>
          </w:tcPr>
          <w:p w14:paraId="69477CCF" w14:textId="77777777" w:rsidR="00A266BA" w:rsidRPr="00EE0148" w:rsidRDefault="00A266BA" w:rsidP="00A266BA">
            <w:pPr>
              <w:pStyle w:val="Tabletext"/>
            </w:pPr>
            <w:r w:rsidRPr="00EE0148">
              <w:t>Sin cambio.</w:t>
            </w:r>
          </w:p>
        </w:tc>
      </w:tr>
      <w:tr w:rsidR="00A266BA" w:rsidRPr="00A266BA" w14:paraId="1C46DF86" w14:textId="77777777" w:rsidTr="00A266BA">
        <w:tc>
          <w:tcPr>
            <w:tcW w:w="583" w:type="pct"/>
            <w:vAlign w:val="center"/>
          </w:tcPr>
          <w:p w14:paraId="726B3D4A" w14:textId="77777777" w:rsidR="00A266BA" w:rsidRDefault="00A266BA" w:rsidP="00A266BA">
            <w:pPr>
              <w:pStyle w:val="Tabletext"/>
            </w:pPr>
            <w:r>
              <w:t>SSP.ANS 08</w:t>
            </w:r>
          </w:p>
        </w:tc>
        <w:tc>
          <w:tcPr>
            <w:tcW w:w="583" w:type="pct"/>
            <w:vAlign w:val="center"/>
          </w:tcPr>
          <w:p w14:paraId="171B47BB" w14:textId="77777777" w:rsidR="00A266BA" w:rsidRDefault="00A266BA" w:rsidP="00A266BA">
            <w:pPr>
              <w:pStyle w:val="Tabletext"/>
            </w:pPr>
            <w:r>
              <w:t>SSP.ANS 08</w:t>
            </w:r>
          </w:p>
        </w:tc>
        <w:tc>
          <w:tcPr>
            <w:tcW w:w="295" w:type="pct"/>
            <w:vAlign w:val="center"/>
          </w:tcPr>
          <w:p w14:paraId="0C9B908D" w14:textId="77777777" w:rsidR="00A266BA" w:rsidRDefault="00A266BA" w:rsidP="00A266BA">
            <w:pPr>
              <w:pStyle w:val="ColumnCenter"/>
              <w:rPr>
                <w:lang w:val="en-US"/>
              </w:rPr>
            </w:pPr>
          </w:p>
        </w:tc>
        <w:tc>
          <w:tcPr>
            <w:tcW w:w="388" w:type="pct"/>
            <w:vAlign w:val="center"/>
          </w:tcPr>
          <w:p w14:paraId="47052CDE" w14:textId="7F477E82" w:rsidR="00A266BA" w:rsidRDefault="00A266BA" w:rsidP="00A266BA">
            <w:pPr>
              <w:pStyle w:val="ColumnCenter"/>
              <w:rPr>
                <w:lang w:val="en-US"/>
              </w:rPr>
            </w:pPr>
            <w:r>
              <w:rPr>
                <w:rFonts w:ascii="MS Gothic" w:eastAsia="MS Gothic" w:hAnsi="MS Gothic" w:hint="eastAsia"/>
                <w:lang w:val="en-US"/>
              </w:rPr>
              <w:t>☒</w:t>
            </w:r>
          </w:p>
        </w:tc>
        <w:tc>
          <w:tcPr>
            <w:tcW w:w="442" w:type="pct"/>
            <w:vAlign w:val="center"/>
          </w:tcPr>
          <w:p w14:paraId="2C970A9B" w14:textId="77777777" w:rsidR="00A266BA" w:rsidRDefault="00A266BA" w:rsidP="00A266BA">
            <w:pPr>
              <w:pStyle w:val="ColumnCenter"/>
              <w:rPr>
                <w:lang w:val="en-US"/>
              </w:rPr>
            </w:pPr>
          </w:p>
        </w:tc>
        <w:tc>
          <w:tcPr>
            <w:tcW w:w="433" w:type="pct"/>
            <w:vAlign w:val="center"/>
          </w:tcPr>
          <w:p w14:paraId="397E9A80" w14:textId="77777777" w:rsidR="00A266BA" w:rsidRDefault="00A266BA" w:rsidP="00A266BA">
            <w:pPr>
              <w:pStyle w:val="ColumnCenter"/>
              <w:rPr>
                <w:lang w:val="en-US"/>
              </w:rPr>
            </w:pPr>
          </w:p>
        </w:tc>
        <w:tc>
          <w:tcPr>
            <w:tcW w:w="452" w:type="pct"/>
            <w:vAlign w:val="center"/>
          </w:tcPr>
          <w:p w14:paraId="48F9F133" w14:textId="77777777" w:rsidR="00A266BA" w:rsidRDefault="00A266BA" w:rsidP="00A266BA">
            <w:pPr>
              <w:pStyle w:val="ColumnCenter"/>
              <w:rPr>
                <w:lang w:val="en-US"/>
              </w:rPr>
            </w:pPr>
          </w:p>
        </w:tc>
        <w:tc>
          <w:tcPr>
            <w:tcW w:w="1824" w:type="pct"/>
          </w:tcPr>
          <w:p w14:paraId="37A6FD0E" w14:textId="77777777" w:rsidR="00A266BA" w:rsidRPr="00EE0148" w:rsidRDefault="00A266BA" w:rsidP="00A266BA">
            <w:pPr>
              <w:pStyle w:val="Tabletext"/>
            </w:pPr>
            <w:r w:rsidRPr="00EE0148">
              <w:t>Orientación revisada para “Existe” and “Existe y es eficaz”.</w:t>
            </w:r>
          </w:p>
        </w:tc>
      </w:tr>
      <w:tr w:rsidR="00A266BA" w14:paraId="7271C637" w14:textId="77777777" w:rsidTr="00A266BA">
        <w:tc>
          <w:tcPr>
            <w:tcW w:w="583" w:type="pct"/>
          </w:tcPr>
          <w:p w14:paraId="65F9DE8F" w14:textId="77777777" w:rsidR="00A266BA" w:rsidRDefault="00A266BA" w:rsidP="00A266BA">
            <w:pPr>
              <w:pStyle w:val="Tabletext"/>
            </w:pPr>
            <w:r>
              <w:t>SSP.ANS 09</w:t>
            </w:r>
          </w:p>
        </w:tc>
        <w:tc>
          <w:tcPr>
            <w:tcW w:w="583" w:type="pct"/>
          </w:tcPr>
          <w:p w14:paraId="3DDC0DB5" w14:textId="77777777" w:rsidR="00A266BA" w:rsidRDefault="00A266BA" w:rsidP="00A266BA">
            <w:pPr>
              <w:pStyle w:val="Tabletext"/>
            </w:pPr>
            <w:r>
              <w:t>SSP.ANS 09</w:t>
            </w:r>
          </w:p>
        </w:tc>
        <w:tc>
          <w:tcPr>
            <w:tcW w:w="295" w:type="pct"/>
            <w:vAlign w:val="center"/>
          </w:tcPr>
          <w:p w14:paraId="3E06B8F6" w14:textId="77777777" w:rsidR="00A266BA" w:rsidRDefault="00A266BA" w:rsidP="00A266BA">
            <w:pPr>
              <w:pStyle w:val="ColumnCenter"/>
              <w:rPr>
                <w:lang w:val="en-US"/>
              </w:rPr>
            </w:pPr>
          </w:p>
        </w:tc>
        <w:tc>
          <w:tcPr>
            <w:tcW w:w="388" w:type="pct"/>
            <w:vAlign w:val="center"/>
          </w:tcPr>
          <w:p w14:paraId="22F297E6" w14:textId="77777777" w:rsidR="00A266BA" w:rsidRDefault="00A266BA" w:rsidP="00A266BA">
            <w:pPr>
              <w:pStyle w:val="ColumnCenter"/>
              <w:rPr>
                <w:lang w:val="en-US"/>
              </w:rPr>
            </w:pPr>
          </w:p>
        </w:tc>
        <w:tc>
          <w:tcPr>
            <w:tcW w:w="442" w:type="pct"/>
            <w:vAlign w:val="center"/>
          </w:tcPr>
          <w:p w14:paraId="4FBA26EC" w14:textId="77777777" w:rsidR="00A266BA" w:rsidRDefault="00A266BA" w:rsidP="00A266BA">
            <w:pPr>
              <w:pStyle w:val="ColumnCenter"/>
              <w:rPr>
                <w:lang w:val="en-US"/>
              </w:rPr>
            </w:pPr>
          </w:p>
        </w:tc>
        <w:tc>
          <w:tcPr>
            <w:tcW w:w="433" w:type="pct"/>
            <w:vAlign w:val="center"/>
          </w:tcPr>
          <w:p w14:paraId="337419CE" w14:textId="77777777" w:rsidR="00A266BA" w:rsidRDefault="00A266BA" w:rsidP="00A266BA">
            <w:pPr>
              <w:pStyle w:val="ColumnCenter"/>
              <w:rPr>
                <w:lang w:val="en-US"/>
              </w:rPr>
            </w:pPr>
          </w:p>
        </w:tc>
        <w:tc>
          <w:tcPr>
            <w:tcW w:w="452" w:type="pct"/>
            <w:vAlign w:val="center"/>
          </w:tcPr>
          <w:p w14:paraId="080EC729" w14:textId="015FD32A" w:rsidR="00A266BA" w:rsidRDefault="00A266BA" w:rsidP="00A266BA">
            <w:pPr>
              <w:pStyle w:val="ColumnCenter"/>
              <w:rPr>
                <w:lang w:val="en-US"/>
              </w:rPr>
            </w:pPr>
            <w:r>
              <w:rPr>
                <w:rFonts w:ascii="MS Gothic" w:eastAsia="MS Gothic" w:hAnsi="MS Gothic" w:hint="eastAsia"/>
                <w:lang w:val="en-US"/>
              </w:rPr>
              <w:t>☒</w:t>
            </w:r>
          </w:p>
        </w:tc>
        <w:tc>
          <w:tcPr>
            <w:tcW w:w="1824" w:type="pct"/>
          </w:tcPr>
          <w:p w14:paraId="39FB22C6" w14:textId="77777777" w:rsidR="00A266BA" w:rsidRPr="00EE0148" w:rsidRDefault="00A266BA" w:rsidP="00A266BA">
            <w:pPr>
              <w:pStyle w:val="Tabletext"/>
            </w:pPr>
            <w:r w:rsidRPr="00EE0148">
              <w:t>Sin cambio.</w:t>
            </w:r>
          </w:p>
        </w:tc>
      </w:tr>
      <w:tr w:rsidR="00A266BA" w14:paraId="0214DEAE" w14:textId="77777777" w:rsidTr="00A266BA">
        <w:tc>
          <w:tcPr>
            <w:tcW w:w="583" w:type="pct"/>
          </w:tcPr>
          <w:p w14:paraId="11CE2657" w14:textId="77777777" w:rsidR="00A266BA" w:rsidRDefault="00A266BA" w:rsidP="00A266BA">
            <w:pPr>
              <w:pStyle w:val="Tabletext"/>
            </w:pPr>
            <w:r>
              <w:t>SSP.ANS 10</w:t>
            </w:r>
          </w:p>
        </w:tc>
        <w:tc>
          <w:tcPr>
            <w:tcW w:w="583" w:type="pct"/>
          </w:tcPr>
          <w:p w14:paraId="2CA1A2E9" w14:textId="77777777" w:rsidR="00A266BA" w:rsidRDefault="00A266BA" w:rsidP="00A266BA">
            <w:pPr>
              <w:pStyle w:val="Tabletext"/>
            </w:pPr>
            <w:r>
              <w:t>SSP.ANS 10</w:t>
            </w:r>
          </w:p>
        </w:tc>
        <w:tc>
          <w:tcPr>
            <w:tcW w:w="295" w:type="pct"/>
            <w:vAlign w:val="center"/>
          </w:tcPr>
          <w:p w14:paraId="4FF38D2D" w14:textId="77777777" w:rsidR="00A266BA" w:rsidRDefault="00A266BA" w:rsidP="00A266BA">
            <w:pPr>
              <w:pStyle w:val="ColumnCenter"/>
              <w:rPr>
                <w:lang w:val="en-US"/>
              </w:rPr>
            </w:pPr>
          </w:p>
        </w:tc>
        <w:tc>
          <w:tcPr>
            <w:tcW w:w="388" w:type="pct"/>
            <w:vAlign w:val="center"/>
          </w:tcPr>
          <w:p w14:paraId="4D7BCA98" w14:textId="77777777" w:rsidR="00A266BA" w:rsidRDefault="00A266BA" w:rsidP="00A266BA">
            <w:pPr>
              <w:pStyle w:val="ColumnCenter"/>
              <w:rPr>
                <w:lang w:val="en-US"/>
              </w:rPr>
            </w:pPr>
          </w:p>
        </w:tc>
        <w:tc>
          <w:tcPr>
            <w:tcW w:w="442" w:type="pct"/>
            <w:vAlign w:val="center"/>
          </w:tcPr>
          <w:p w14:paraId="2117FB7E" w14:textId="77777777" w:rsidR="00A266BA" w:rsidRDefault="00A266BA" w:rsidP="00A266BA">
            <w:pPr>
              <w:pStyle w:val="ColumnCenter"/>
              <w:rPr>
                <w:lang w:val="en-US"/>
              </w:rPr>
            </w:pPr>
          </w:p>
        </w:tc>
        <w:tc>
          <w:tcPr>
            <w:tcW w:w="433" w:type="pct"/>
            <w:vAlign w:val="center"/>
          </w:tcPr>
          <w:p w14:paraId="3017D52F" w14:textId="77777777" w:rsidR="00A266BA" w:rsidRDefault="00A266BA" w:rsidP="00A266BA">
            <w:pPr>
              <w:pStyle w:val="ColumnCenter"/>
              <w:rPr>
                <w:lang w:val="en-US"/>
              </w:rPr>
            </w:pPr>
          </w:p>
        </w:tc>
        <w:tc>
          <w:tcPr>
            <w:tcW w:w="452" w:type="pct"/>
            <w:vAlign w:val="center"/>
          </w:tcPr>
          <w:p w14:paraId="1D5A3FB2" w14:textId="2A9E7AEE" w:rsidR="00A266BA" w:rsidRDefault="00A266BA" w:rsidP="00A266BA">
            <w:pPr>
              <w:pStyle w:val="ColumnCenter"/>
              <w:rPr>
                <w:lang w:val="en-US"/>
              </w:rPr>
            </w:pPr>
            <w:r>
              <w:rPr>
                <w:rFonts w:ascii="MS Gothic" w:eastAsia="MS Gothic" w:hAnsi="MS Gothic" w:hint="eastAsia"/>
                <w:lang w:val="en-US"/>
              </w:rPr>
              <w:t>☒</w:t>
            </w:r>
          </w:p>
        </w:tc>
        <w:tc>
          <w:tcPr>
            <w:tcW w:w="1824" w:type="pct"/>
          </w:tcPr>
          <w:p w14:paraId="2A4A5E6A" w14:textId="77777777" w:rsidR="00A266BA" w:rsidRPr="00EE0148" w:rsidRDefault="00A266BA" w:rsidP="00A266BA">
            <w:pPr>
              <w:pStyle w:val="Tabletext"/>
            </w:pPr>
            <w:r w:rsidRPr="00EE0148">
              <w:t>Sin cambio.</w:t>
            </w:r>
          </w:p>
        </w:tc>
      </w:tr>
      <w:tr w:rsidR="00A266BA" w14:paraId="1E2DBE6A" w14:textId="77777777" w:rsidTr="00A266BA">
        <w:tc>
          <w:tcPr>
            <w:tcW w:w="583" w:type="pct"/>
          </w:tcPr>
          <w:p w14:paraId="75AF6856" w14:textId="77777777" w:rsidR="00A266BA" w:rsidRDefault="00A266BA" w:rsidP="00A266BA">
            <w:pPr>
              <w:pStyle w:val="Tabletext"/>
            </w:pPr>
            <w:r>
              <w:t>SSP.ANS 11</w:t>
            </w:r>
          </w:p>
        </w:tc>
        <w:tc>
          <w:tcPr>
            <w:tcW w:w="583" w:type="pct"/>
          </w:tcPr>
          <w:p w14:paraId="6542B51C" w14:textId="77777777" w:rsidR="00A266BA" w:rsidRDefault="00A266BA" w:rsidP="00A266BA">
            <w:pPr>
              <w:pStyle w:val="Tabletext"/>
            </w:pPr>
            <w:r>
              <w:t>SSP.ANS 11</w:t>
            </w:r>
          </w:p>
        </w:tc>
        <w:tc>
          <w:tcPr>
            <w:tcW w:w="295" w:type="pct"/>
            <w:vAlign w:val="center"/>
          </w:tcPr>
          <w:p w14:paraId="4B2AEC7B" w14:textId="77777777" w:rsidR="00A266BA" w:rsidRDefault="00A266BA" w:rsidP="00A266BA">
            <w:pPr>
              <w:pStyle w:val="ColumnCenter"/>
              <w:rPr>
                <w:lang w:val="en-US"/>
              </w:rPr>
            </w:pPr>
          </w:p>
        </w:tc>
        <w:tc>
          <w:tcPr>
            <w:tcW w:w="388" w:type="pct"/>
            <w:vAlign w:val="center"/>
          </w:tcPr>
          <w:p w14:paraId="48BF0772" w14:textId="77777777" w:rsidR="00A266BA" w:rsidRDefault="00A266BA" w:rsidP="00A266BA">
            <w:pPr>
              <w:pStyle w:val="ColumnCenter"/>
              <w:rPr>
                <w:lang w:val="en-US"/>
              </w:rPr>
            </w:pPr>
          </w:p>
        </w:tc>
        <w:tc>
          <w:tcPr>
            <w:tcW w:w="442" w:type="pct"/>
            <w:vAlign w:val="center"/>
          </w:tcPr>
          <w:p w14:paraId="638D754E" w14:textId="77777777" w:rsidR="00A266BA" w:rsidRDefault="00A266BA" w:rsidP="00A266BA">
            <w:pPr>
              <w:pStyle w:val="ColumnCenter"/>
              <w:rPr>
                <w:lang w:val="en-US"/>
              </w:rPr>
            </w:pPr>
          </w:p>
        </w:tc>
        <w:tc>
          <w:tcPr>
            <w:tcW w:w="433" w:type="pct"/>
            <w:vAlign w:val="center"/>
          </w:tcPr>
          <w:p w14:paraId="44DA29D2" w14:textId="77777777" w:rsidR="00A266BA" w:rsidRDefault="00A266BA" w:rsidP="00A266BA">
            <w:pPr>
              <w:pStyle w:val="ColumnCenter"/>
              <w:rPr>
                <w:lang w:val="en-US"/>
              </w:rPr>
            </w:pPr>
          </w:p>
        </w:tc>
        <w:tc>
          <w:tcPr>
            <w:tcW w:w="452" w:type="pct"/>
            <w:vAlign w:val="center"/>
          </w:tcPr>
          <w:p w14:paraId="00833A21" w14:textId="19A0D04A" w:rsidR="00A266BA" w:rsidRDefault="00A266BA" w:rsidP="00A266BA">
            <w:pPr>
              <w:pStyle w:val="ColumnCenter"/>
              <w:rPr>
                <w:lang w:val="en-US"/>
              </w:rPr>
            </w:pPr>
            <w:r>
              <w:rPr>
                <w:rFonts w:ascii="MS Gothic" w:eastAsia="MS Gothic" w:hAnsi="MS Gothic" w:hint="eastAsia"/>
                <w:lang w:val="en-US"/>
              </w:rPr>
              <w:t>☒</w:t>
            </w:r>
          </w:p>
        </w:tc>
        <w:tc>
          <w:tcPr>
            <w:tcW w:w="1824" w:type="pct"/>
          </w:tcPr>
          <w:p w14:paraId="4559B97D" w14:textId="77777777" w:rsidR="00A266BA" w:rsidRPr="00EE0148" w:rsidRDefault="00A266BA" w:rsidP="00A266BA">
            <w:pPr>
              <w:pStyle w:val="Tabletext"/>
            </w:pPr>
            <w:r w:rsidRPr="00EE0148">
              <w:t>Sin cambio.</w:t>
            </w:r>
          </w:p>
        </w:tc>
      </w:tr>
    </w:tbl>
    <w:p w14:paraId="33271E44" w14:textId="21D5B67C" w:rsidR="00A266BA" w:rsidRPr="00A266BA" w:rsidRDefault="00A266BA" w:rsidP="00A266BA">
      <w:pPr>
        <w:pStyle w:val="semiendline"/>
        <w:rPr>
          <w:rFonts w:eastAsia="Times New Roman" w:cstheme="minorHAnsi"/>
          <w:i/>
          <w:lang w:val="es-ES_tradnl" w:eastAsia="en-CA"/>
        </w:rPr>
      </w:pPr>
      <w:r>
        <w:t>— — — — — — — —</w:t>
      </w:r>
      <w:r>
        <w:rPr>
          <w:lang w:val="es-ES_tradnl"/>
        </w:rPr>
        <w:br w:type="page"/>
      </w:r>
    </w:p>
    <w:p w14:paraId="43434A49" w14:textId="77777777" w:rsidR="00A266BA" w:rsidRDefault="00A266BA" w:rsidP="00A94886">
      <w:pPr>
        <w:pStyle w:val="Note"/>
        <w:rPr>
          <w:color w:val="auto"/>
          <w:lang w:val="es-ES_tradnl"/>
        </w:rPr>
      </w:pPr>
    </w:p>
    <w:p w14:paraId="7EFCAB6F" w14:textId="1CB6FD7B" w:rsidR="004B4C22" w:rsidRPr="00E3577C" w:rsidRDefault="00A94886" w:rsidP="00A94886">
      <w:pPr>
        <w:pStyle w:val="Note"/>
        <w:rPr>
          <w:color w:val="auto"/>
          <w:lang w:val="es-ES_tradnl"/>
        </w:rPr>
      </w:pPr>
      <w:r w:rsidRPr="00A94886">
        <w:rPr>
          <w:color w:val="auto"/>
          <w:lang w:val="es-ES_tradnl"/>
        </w:rPr>
        <w:t xml:space="preserve">Nota 2.— La referencia “SMM” que se cita en la columna “Referencias” corresponde al </w:t>
      </w:r>
      <w:r w:rsidRPr="00A94886">
        <w:rPr>
          <w:i w:val="0"/>
          <w:iCs/>
          <w:color w:val="auto"/>
          <w:lang w:val="es-ES_tradnl"/>
        </w:rPr>
        <w:t>Manual de gestión de la seguridad operacional</w:t>
      </w:r>
      <w:r w:rsidRPr="00A94886">
        <w:rPr>
          <w:color w:val="auto"/>
          <w:lang w:val="es-ES_tradnl"/>
        </w:rPr>
        <w:t xml:space="preserve"> (Doc 9859, Cuarta edición, 2018), de la OACI.</w:t>
      </w:r>
    </w:p>
    <w:p w14:paraId="017EA2F4" w14:textId="77777777" w:rsidR="00D25BD3" w:rsidRPr="00B004C9" w:rsidRDefault="00D25BD3" w:rsidP="00D25BD3">
      <w:pPr>
        <w:pStyle w:val="NoSpacing"/>
        <w:rPr>
          <w:lang w:val="es-ES_tradnl"/>
        </w:rPr>
      </w:pPr>
    </w:p>
    <w:tbl>
      <w:tblPr>
        <w:tblW w:w="5000" w:type="pct"/>
        <w:tblLook w:val="04A0" w:firstRow="1" w:lastRow="0" w:firstColumn="1" w:lastColumn="0" w:noHBand="0" w:noVBand="1"/>
      </w:tblPr>
      <w:tblGrid>
        <w:gridCol w:w="1355"/>
        <w:gridCol w:w="1882"/>
        <w:gridCol w:w="1844"/>
        <w:gridCol w:w="1562"/>
        <w:gridCol w:w="1700"/>
        <w:gridCol w:w="1558"/>
        <w:gridCol w:w="3427"/>
        <w:gridCol w:w="3909"/>
      </w:tblGrid>
      <w:tr w:rsidR="004766DF" w:rsidRPr="00A266BA" w14:paraId="2763086D" w14:textId="77777777" w:rsidTr="004766DF">
        <w:trPr>
          <w:trHeight w:val="885"/>
          <w:tblHeader/>
        </w:trPr>
        <w:tc>
          <w:tcPr>
            <w:tcW w:w="393" w:type="pct"/>
            <w:vMerge w:val="restart"/>
            <w:tcBorders>
              <w:top w:val="double" w:sz="6" w:space="0" w:color="auto"/>
              <w:left w:val="double" w:sz="6" w:space="0" w:color="auto"/>
              <w:right w:val="double" w:sz="6" w:space="0" w:color="auto"/>
            </w:tcBorders>
            <w:shd w:val="clear" w:color="000000" w:fill="D9D9D9"/>
            <w:vAlign w:val="center"/>
          </w:tcPr>
          <w:p w14:paraId="723E1D24" w14:textId="7B7613C5" w:rsidR="00725220" w:rsidRPr="00E3577C" w:rsidRDefault="002303CE" w:rsidP="00CF689E">
            <w:pPr>
              <w:pStyle w:val="TableHeading0"/>
              <w:rPr>
                <w:lang w:val="es-ES_tradnl"/>
              </w:rPr>
            </w:pPr>
            <w:r w:rsidRPr="00E3577C">
              <w:rPr>
                <w:lang w:val="es-ES_tradnl"/>
              </w:rPr>
              <w:t>Núm. de PQ</w:t>
            </w:r>
          </w:p>
        </w:tc>
        <w:tc>
          <w:tcPr>
            <w:tcW w:w="546" w:type="pct"/>
            <w:vMerge w:val="restart"/>
            <w:tcBorders>
              <w:top w:val="double" w:sz="6" w:space="0" w:color="auto"/>
              <w:left w:val="nil"/>
              <w:right w:val="double" w:sz="6" w:space="0" w:color="auto"/>
            </w:tcBorders>
            <w:shd w:val="clear" w:color="000000" w:fill="D9D9D9"/>
            <w:vAlign w:val="center"/>
          </w:tcPr>
          <w:p w14:paraId="53F0D840" w14:textId="3AFC258B" w:rsidR="00725220" w:rsidRPr="00E3577C" w:rsidRDefault="002303CE" w:rsidP="00CF689E">
            <w:pPr>
              <w:pStyle w:val="TableHeading0"/>
              <w:rPr>
                <w:lang w:val="es-ES_tradnl"/>
              </w:rPr>
            </w:pPr>
            <w:r w:rsidRPr="00E3577C">
              <w:rPr>
                <w:lang w:val="es-ES_tradnl"/>
              </w:rPr>
              <w:t>Pregunta del protocolo</w:t>
            </w:r>
          </w:p>
        </w:tc>
        <w:tc>
          <w:tcPr>
            <w:tcW w:w="535" w:type="pct"/>
            <w:vMerge w:val="restart"/>
            <w:tcBorders>
              <w:top w:val="double" w:sz="6" w:space="0" w:color="auto"/>
              <w:left w:val="double" w:sz="6" w:space="0" w:color="auto"/>
              <w:right w:val="double" w:sz="6" w:space="0" w:color="auto"/>
            </w:tcBorders>
            <w:shd w:val="clear" w:color="000000" w:fill="D9D9D9"/>
            <w:vAlign w:val="center"/>
          </w:tcPr>
          <w:p w14:paraId="59A50376" w14:textId="7B2AB358" w:rsidR="00725220" w:rsidRPr="00E3577C" w:rsidRDefault="002303CE" w:rsidP="00CF689E">
            <w:pPr>
              <w:pStyle w:val="TableHeading0"/>
              <w:rPr>
                <w:lang w:val="es-ES_tradnl"/>
              </w:rPr>
            </w:pPr>
            <w:r w:rsidRPr="00E3577C">
              <w:rPr>
                <w:lang w:val="es-ES_tradnl"/>
              </w:rPr>
              <w:t xml:space="preserve">Referencias </w:t>
            </w:r>
            <w:r w:rsidR="00CF689E">
              <w:rPr>
                <w:lang w:val="es-ES_tradnl"/>
              </w:rPr>
              <w:t>que </w:t>
            </w:r>
            <w:r w:rsidRPr="00E3577C">
              <w:rPr>
                <w:lang w:val="es-ES_tradnl"/>
              </w:rPr>
              <w:t>figuran en</w:t>
            </w:r>
            <w:r w:rsidR="00CF689E">
              <w:rPr>
                <w:lang w:val="es-ES_tradnl"/>
              </w:rPr>
              <w:t> </w:t>
            </w:r>
            <w:r w:rsidRPr="00E3577C">
              <w:rPr>
                <w:lang w:val="es-ES_tradnl"/>
              </w:rPr>
              <w:t>el</w:t>
            </w:r>
            <w:r w:rsidR="00CF689E">
              <w:rPr>
                <w:lang w:val="es-ES_tradnl"/>
              </w:rPr>
              <w:t> </w:t>
            </w:r>
            <w:r w:rsidRPr="00E3577C">
              <w:rPr>
                <w:lang w:val="es-ES_tradnl"/>
              </w:rPr>
              <w:t>texto de orientación de</w:t>
            </w:r>
            <w:r w:rsidR="00CF689E">
              <w:rPr>
                <w:lang w:val="es-ES_tradnl"/>
              </w:rPr>
              <w:t> </w:t>
            </w:r>
            <w:r w:rsidRPr="00E3577C">
              <w:rPr>
                <w:lang w:val="es-ES_tradnl"/>
              </w:rPr>
              <w:t>la</w:t>
            </w:r>
            <w:r w:rsidR="00CF689E">
              <w:rPr>
                <w:lang w:val="es-ES_tradnl"/>
              </w:rPr>
              <w:t> </w:t>
            </w:r>
            <w:r w:rsidRPr="00E3577C">
              <w:rPr>
                <w:lang w:val="es-ES_tradnl"/>
              </w:rPr>
              <w:t>OACI</w:t>
            </w:r>
          </w:p>
        </w:tc>
        <w:tc>
          <w:tcPr>
            <w:tcW w:w="453" w:type="pct"/>
            <w:vMerge w:val="restart"/>
            <w:tcBorders>
              <w:top w:val="double" w:sz="6" w:space="0" w:color="auto"/>
              <w:left w:val="double" w:sz="6" w:space="0" w:color="auto"/>
              <w:right w:val="double" w:sz="6" w:space="0" w:color="auto"/>
            </w:tcBorders>
            <w:shd w:val="clear" w:color="000000" w:fill="D9D9D9"/>
            <w:vAlign w:val="center"/>
          </w:tcPr>
          <w:p w14:paraId="2A82BB82" w14:textId="721A28AC" w:rsidR="00725220" w:rsidRPr="00E3577C" w:rsidRDefault="002303CE" w:rsidP="00CF689E">
            <w:pPr>
              <w:pStyle w:val="TableHeading0"/>
              <w:rPr>
                <w:lang w:val="es-ES_tradnl"/>
              </w:rPr>
            </w:pPr>
            <w:r w:rsidRPr="00E3577C">
              <w:rPr>
                <w:lang w:val="es-ES_tradnl"/>
              </w:rPr>
              <w:t>Componente del SSP</w:t>
            </w:r>
          </w:p>
        </w:tc>
        <w:tc>
          <w:tcPr>
            <w:tcW w:w="3073" w:type="pct"/>
            <w:gridSpan w:val="4"/>
            <w:tcBorders>
              <w:top w:val="double" w:sz="6" w:space="0" w:color="auto"/>
              <w:left w:val="double" w:sz="6" w:space="0" w:color="auto"/>
              <w:bottom w:val="double" w:sz="6" w:space="0" w:color="auto"/>
              <w:right w:val="double" w:sz="6" w:space="0" w:color="auto"/>
            </w:tcBorders>
            <w:shd w:val="clear" w:color="000000" w:fill="D9D9D9"/>
            <w:vAlign w:val="center"/>
          </w:tcPr>
          <w:p w14:paraId="74602471" w14:textId="7EDD48BD" w:rsidR="00725220" w:rsidRPr="00E3577C" w:rsidRDefault="002303CE" w:rsidP="00CF689E">
            <w:pPr>
              <w:pStyle w:val="TableHeading0"/>
              <w:rPr>
                <w:lang w:val="es-ES_tradnl"/>
              </w:rPr>
            </w:pPr>
            <w:r w:rsidRPr="00E3577C">
              <w:rPr>
                <w:lang w:val="es-ES_tradnl"/>
              </w:rPr>
              <w:t>Niveles de madurez</w:t>
            </w:r>
            <w:r w:rsidR="00BD7F10">
              <w:rPr>
                <w:lang w:val="es-ES_tradnl"/>
              </w:rPr>
              <w:t xml:space="preserve"> </w:t>
            </w:r>
            <w:r w:rsidR="00BD7F10" w:rsidRPr="00BF71BB">
              <w:rPr>
                <w:lang w:val="es-ES_tradnl"/>
              </w:rPr>
              <w:t>— Orientación para revisión</w:t>
            </w:r>
          </w:p>
        </w:tc>
      </w:tr>
      <w:tr w:rsidR="004766DF" w:rsidRPr="00B004C9" w14:paraId="6B2EA037" w14:textId="77777777" w:rsidTr="004766DF">
        <w:trPr>
          <w:trHeight w:val="885"/>
          <w:tblHeader/>
        </w:trPr>
        <w:tc>
          <w:tcPr>
            <w:tcW w:w="393" w:type="pct"/>
            <w:vMerge/>
            <w:tcBorders>
              <w:left w:val="double" w:sz="6" w:space="0" w:color="auto"/>
              <w:bottom w:val="double" w:sz="6" w:space="0" w:color="auto"/>
              <w:right w:val="double" w:sz="6" w:space="0" w:color="auto"/>
            </w:tcBorders>
            <w:shd w:val="clear" w:color="000000" w:fill="D9D9D9"/>
            <w:vAlign w:val="center"/>
            <w:hideMark/>
          </w:tcPr>
          <w:p w14:paraId="1D46FD5D" w14:textId="77777777" w:rsidR="00725220" w:rsidRPr="00E3577C" w:rsidRDefault="00725220" w:rsidP="00CF689E">
            <w:pPr>
              <w:pStyle w:val="TableHeading0"/>
              <w:rPr>
                <w:lang w:val="es-ES_tradnl"/>
              </w:rPr>
            </w:pPr>
          </w:p>
        </w:tc>
        <w:tc>
          <w:tcPr>
            <w:tcW w:w="546" w:type="pct"/>
            <w:vMerge/>
            <w:tcBorders>
              <w:left w:val="nil"/>
              <w:bottom w:val="double" w:sz="6" w:space="0" w:color="auto"/>
              <w:right w:val="double" w:sz="6" w:space="0" w:color="auto"/>
            </w:tcBorders>
            <w:shd w:val="clear" w:color="000000" w:fill="D9D9D9"/>
            <w:vAlign w:val="center"/>
            <w:hideMark/>
          </w:tcPr>
          <w:p w14:paraId="4772A25D" w14:textId="77777777" w:rsidR="00725220" w:rsidRPr="00E3577C" w:rsidRDefault="00725220" w:rsidP="00CF689E">
            <w:pPr>
              <w:pStyle w:val="TableHeading0"/>
              <w:rPr>
                <w:lang w:val="es-ES_tradnl"/>
              </w:rPr>
            </w:pPr>
          </w:p>
        </w:tc>
        <w:tc>
          <w:tcPr>
            <w:tcW w:w="535" w:type="pct"/>
            <w:vMerge/>
            <w:tcBorders>
              <w:left w:val="double" w:sz="6" w:space="0" w:color="auto"/>
              <w:bottom w:val="double" w:sz="6" w:space="0" w:color="auto"/>
              <w:right w:val="double" w:sz="6" w:space="0" w:color="auto"/>
            </w:tcBorders>
            <w:shd w:val="clear" w:color="000000" w:fill="D9D9D9"/>
            <w:vAlign w:val="center"/>
          </w:tcPr>
          <w:p w14:paraId="13CBB1DD" w14:textId="77777777" w:rsidR="00725220" w:rsidRPr="00E3577C" w:rsidRDefault="00725220" w:rsidP="00CF689E">
            <w:pPr>
              <w:pStyle w:val="TableHeading0"/>
              <w:rPr>
                <w:lang w:val="es-ES_tradnl"/>
              </w:rPr>
            </w:pPr>
          </w:p>
        </w:tc>
        <w:tc>
          <w:tcPr>
            <w:tcW w:w="453" w:type="pct"/>
            <w:vMerge/>
            <w:tcBorders>
              <w:left w:val="double" w:sz="6" w:space="0" w:color="auto"/>
              <w:bottom w:val="double" w:sz="6" w:space="0" w:color="auto"/>
              <w:right w:val="double" w:sz="6" w:space="0" w:color="auto"/>
            </w:tcBorders>
            <w:shd w:val="clear" w:color="000000" w:fill="D9D9D9"/>
            <w:vAlign w:val="center"/>
          </w:tcPr>
          <w:p w14:paraId="08732A3B" w14:textId="77777777" w:rsidR="00725220" w:rsidRPr="00E3577C" w:rsidRDefault="00725220" w:rsidP="00CF689E">
            <w:pPr>
              <w:pStyle w:val="TableHeading0"/>
              <w:rPr>
                <w:lang w:val="es-ES_tradnl"/>
              </w:rPr>
            </w:pPr>
          </w:p>
        </w:tc>
        <w:tc>
          <w:tcPr>
            <w:tcW w:w="493" w:type="pct"/>
            <w:tcBorders>
              <w:top w:val="double" w:sz="6" w:space="0" w:color="auto"/>
              <w:left w:val="double" w:sz="6" w:space="0" w:color="auto"/>
              <w:bottom w:val="double" w:sz="6" w:space="0" w:color="auto"/>
              <w:right w:val="double" w:sz="6" w:space="0" w:color="auto"/>
            </w:tcBorders>
            <w:shd w:val="clear" w:color="000000" w:fill="D9D9D9"/>
            <w:vAlign w:val="center"/>
          </w:tcPr>
          <w:p w14:paraId="4527BCBA" w14:textId="0CAA7E3C" w:rsidR="00725220" w:rsidRPr="00E3577C" w:rsidRDefault="002303CE" w:rsidP="00CF689E">
            <w:pPr>
              <w:pStyle w:val="TableHeading0"/>
              <w:rPr>
                <w:lang w:val="es-ES_tradnl"/>
              </w:rPr>
            </w:pPr>
            <w:r w:rsidRPr="00E3577C">
              <w:rPr>
                <w:lang w:val="es-ES_tradnl"/>
              </w:rPr>
              <w:t>No existe y no se tiene previsto</w:t>
            </w:r>
          </w:p>
        </w:tc>
        <w:tc>
          <w:tcPr>
            <w:tcW w:w="452" w:type="pct"/>
            <w:tcBorders>
              <w:top w:val="double" w:sz="6" w:space="0" w:color="auto"/>
              <w:left w:val="double" w:sz="6" w:space="0" w:color="auto"/>
              <w:bottom w:val="double" w:sz="6" w:space="0" w:color="auto"/>
              <w:right w:val="double" w:sz="6" w:space="0" w:color="auto"/>
            </w:tcBorders>
            <w:shd w:val="clear" w:color="000000" w:fill="D9D9D9"/>
            <w:vAlign w:val="center"/>
          </w:tcPr>
          <w:p w14:paraId="207FF441" w14:textId="5D492F24" w:rsidR="00725220" w:rsidRPr="00E3577C" w:rsidRDefault="002303CE" w:rsidP="00CF689E">
            <w:pPr>
              <w:pStyle w:val="TableHeading0"/>
              <w:rPr>
                <w:lang w:val="es-ES_tradnl"/>
              </w:rPr>
            </w:pPr>
            <w:r w:rsidRPr="00E3577C">
              <w:rPr>
                <w:lang w:val="es-ES_tradnl"/>
              </w:rPr>
              <w:t>No existe, pero se está trabajando al respecto</w:t>
            </w:r>
          </w:p>
        </w:tc>
        <w:tc>
          <w:tcPr>
            <w:tcW w:w="994" w:type="pct"/>
            <w:tcBorders>
              <w:top w:val="double" w:sz="6" w:space="0" w:color="auto"/>
              <w:left w:val="double" w:sz="6" w:space="0" w:color="auto"/>
              <w:bottom w:val="double" w:sz="6" w:space="0" w:color="auto"/>
              <w:right w:val="double" w:sz="6" w:space="0" w:color="auto"/>
            </w:tcBorders>
            <w:shd w:val="clear" w:color="000000" w:fill="D9D9D9"/>
            <w:vAlign w:val="center"/>
            <w:hideMark/>
          </w:tcPr>
          <w:p w14:paraId="67CA1C6E" w14:textId="29E1E866" w:rsidR="00725220" w:rsidRPr="00E3577C" w:rsidRDefault="002303CE" w:rsidP="00CF689E">
            <w:pPr>
              <w:pStyle w:val="TableHeading0"/>
              <w:rPr>
                <w:lang w:val="es-ES_tradnl"/>
              </w:rPr>
            </w:pPr>
            <w:r w:rsidRPr="00E3577C">
              <w:rPr>
                <w:lang w:val="es-ES_tradnl"/>
              </w:rPr>
              <w:t>Existe</w:t>
            </w:r>
          </w:p>
        </w:tc>
        <w:tc>
          <w:tcPr>
            <w:tcW w:w="1134" w:type="pct"/>
            <w:tcBorders>
              <w:top w:val="double" w:sz="6" w:space="0" w:color="auto"/>
              <w:left w:val="nil"/>
              <w:bottom w:val="double" w:sz="6" w:space="0" w:color="auto"/>
              <w:right w:val="double" w:sz="6" w:space="0" w:color="auto"/>
            </w:tcBorders>
            <w:shd w:val="clear" w:color="000000" w:fill="D9D9D9"/>
            <w:vAlign w:val="center"/>
            <w:hideMark/>
          </w:tcPr>
          <w:p w14:paraId="4FB1985A" w14:textId="0E7D5C1B" w:rsidR="00725220" w:rsidRPr="00E3577C" w:rsidRDefault="002303CE" w:rsidP="00CF689E">
            <w:pPr>
              <w:pStyle w:val="TableHeading0"/>
              <w:rPr>
                <w:lang w:val="es-ES_tradnl"/>
              </w:rPr>
            </w:pPr>
            <w:r w:rsidRPr="00E3577C">
              <w:rPr>
                <w:lang w:val="es-ES_tradnl"/>
              </w:rPr>
              <w:t>Existe y es eficaz</w:t>
            </w:r>
          </w:p>
        </w:tc>
      </w:tr>
      <w:tr w:rsidR="004766DF" w:rsidRPr="00A266BA" w14:paraId="74358613" w14:textId="77777777" w:rsidTr="004766DF">
        <w:tc>
          <w:tcPr>
            <w:tcW w:w="393" w:type="pct"/>
            <w:tcBorders>
              <w:top w:val="nil"/>
              <w:left w:val="single" w:sz="8" w:space="0" w:color="auto"/>
              <w:bottom w:val="single" w:sz="8" w:space="0" w:color="auto"/>
              <w:right w:val="single" w:sz="8" w:space="0" w:color="auto"/>
            </w:tcBorders>
            <w:shd w:val="clear" w:color="auto" w:fill="auto"/>
            <w:vAlign w:val="center"/>
            <w:hideMark/>
          </w:tcPr>
          <w:p w14:paraId="76C550EB" w14:textId="77777777" w:rsidR="00725220" w:rsidRPr="00E3577C" w:rsidRDefault="00725220" w:rsidP="00725220">
            <w:pPr>
              <w:rPr>
                <w:rFonts w:eastAsia="Times New Roman" w:cstheme="minorHAnsi"/>
                <w:lang w:val="es-ES_tradnl" w:eastAsia="en-CA"/>
              </w:rPr>
            </w:pPr>
            <w:r w:rsidRPr="00E3577C">
              <w:rPr>
                <w:lang w:val="es-ES_tradnl"/>
              </w:rPr>
              <w:t>SSP.ANS.01</w:t>
            </w:r>
          </w:p>
        </w:tc>
        <w:tc>
          <w:tcPr>
            <w:tcW w:w="546" w:type="pct"/>
            <w:tcBorders>
              <w:top w:val="nil"/>
              <w:left w:val="nil"/>
              <w:bottom w:val="single" w:sz="8" w:space="0" w:color="auto"/>
              <w:right w:val="single" w:sz="8" w:space="0" w:color="auto"/>
            </w:tcBorders>
            <w:shd w:val="clear" w:color="auto" w:fill="auto"/>
            <w:vAlign w:val="center"/>
            <w:hideMark/>
          </w:tcPr>
          <w:p w14:paraId="0ABE39CA" w14:textId="781F4717" w:rsidR="00B004C9" w:rsidRPr="00E3577C" w:rsidRDefault="00B004C9" w:rsidP="00725220">
            <w:pPr>
              <w:spacing w:after="0"/>
              <w:rPr>
                <w:rFonts w:eastAsia="Times New Roman" w:cstheme="minorHAnsi"/>
                <w:lang w:val="es-ES_tradnl" w:eastAsia="en-CA"/>
              </w:rPr>
            </w:pPr>
            <w:r w:rsidRPr="00E3577C">
              <w:rPr>
                <w:rFonts w:eastAsia="Times New Roman" w:cstheme="minorHAnsi"/>
                <w:lang w:val="es-MX" w:eastAsia="en-CA"/>
              </w:rPr>
              <w:t>¿</w:t>
            </w:r>
            <w:r w:rsidRPr="00E3577C">
              <w:rPr>
                <w:rFonts w:eastAsia="Times New Roman" w:cstheme="minorHAnsi"/>
                <w:lang w:val="es-ES_tradnl" w:eastAsia="en-CA"/>
              </w:rPr>
              <w:t>Qué requisitos normativos ha promulgado el Estado para proveedores de servicios de tránsito aéreo (ATS), con el fin de que implementen un sistema de gestión de la seguridad operacional (SMS) aceptable para el Estado?</w:t>
            </w:r>
          </w:p>
        </w:tc>
        <w:tc>
          <w:tcPr>
            <w:tcW w:w="535" w:type="pct"/>
            <w:tcBorders>
              <w:top w:val="double" w:sz="6" w:space="0" w:color="auto"/>
              <w:left w:val="single" w:sz="8" w:space="0" w:color="auto"/>
              <w:bottom w:val="single" w:sz="8" w:space="0" w:color="auto"/>
              <w:right w:val="single" w:sz="8" w:space="0" w:color="auto"/>
            </w:tcBorders>
            <w:vAlign w:val="center"/>
          </w:tcPr>
          <w:p w14:paraId="3EBBBBF2" w14:textId="77777777" w:rsidR="00725220" w:rsidRPr="00E3577C" w:rsidRDefault="00725220" w:rsidP="00725220">
            <w:pPr>
              <w:pStyle w:val="ColumnCenter"/>
              <w:rPr>
                <w:color w:val="auto"/>
                <w:lang w:val="es-ES_tradnl"/>
              </w:rPr>
            </w:pPr>
            <w:r w:rsidRPr="00E3577C">
              <w:rPr>
                <w:color w:val="auto"/>
                <w:lang w:val="es-ES_tradnl"/>
              </w:rPr>
              <w:t>SMM 8.4.7</w:t>
            </w:r>
          </w:p>
        </w:tc>
        <w:tc>
          <w:tcPr>
            <w:tcW w:w="453" w:type="pct"/>
            <w:tcBorders>
              <w:top w:val="double" w:sz="6" w:space="0" w:color="auto"/>
              <w:left w:val="single" w:sz="8" w:space="0" w:color="auto"/>
              <w:bottom w:val="single" w:sz="8" w:space="0" w:color="auto"/>
              <w:right w:val="single" w:sz="8" w:space="0" w:color="auto"/>
            </w:tcBorders>
            <w:vAlign w:val="center"/>
          </w:tcPr>
          <w:p w14:paraId="43260A48" w14:textId="0E4F6949" w:rsidR="00725220" w:rsidRPr="00E3577C" w:rsidRDefault="004B4C22" w:rsidP="004B4C22">
            <w:pPr>
              <w:pStyle w:val="ColumnCenter"/>
              <w:rPr>
                <w:color w:val="auto"/>
                <w:lang w:val="es-ES_tradnl"/>
              </w:rPr>
            </w:pPr>
            <w:r w:rsidRPr="00E3577C">
              <w:rPr>
                <w:color w:val="auto"/>
                <w:lang w:val="es-ES_tradnl"/>
              </w:rPr>
              <w:t>Gestión estatal de los riesgos de seguridad operacional</w:t>
            </w:r>
          </w:p>
        </w:tc>
        <w:tc>
          <w:tcPr>
            <w:tcW w:w="493" w:type="pct"/>
            <w:tcBorders>
              <w:top w:val="double" w:sz="6" w:space="0" w:color="auto"/>
              <w:left w:val="single" w:sz="8" w:space="0" w:color="auto"/>
              <w:bottom w:val="single" w:sz="8" w:space="0" w:color="auto"/>
              <w:right w:val="single" w:sz="8" w:space="0" w:color="auto"/>
            </w:tcBorders>
            <w:vAlign w:val="center"/>
          </w:tcPr>
          <w:p w14:paraId="25653E0E" w14:textId="29D21FC5" w:rsidR="00725220" w:rsidRPr="00E3577C" w:rsidRDefault="004B4C22" w:rsidP="004B4C22">
            <w:pPr>
              <w:pStyle w:val="ColumnCenter"/>
              <w:rPr>
                <w:color w:val="auto"/>
                <w:lang w:val="es-ES_tradnl"/>
              </w:rPr>
            </w:pPr>
            <w:r w:rsidRPr="00E3577C">
              <w:rPr>
                <w:color w:val="auto"/>
                <w:lang w:val="es-ES_tradnl"/>
              </w:rPr>
              <w:t>Con base en la situación actual en el Estado</w:t>
            </w:r>
          </w:p>
        </w:tc>
        <w:tc>
          <w:tcPr>
            <w:tcW w:w="452" w:type="pct"/>
            <w:tcBorders>
              <w:top w:val="double" w:sz="6" w:space="0" w:color="auto"/>
              <w:left w:val="single" w:sz="8" w:space="0" w:color="auto"/>
              <w:bottom w:val="single" w:sz="8" w:space="0" w:color="auto"/>
              <w:right w:val="single" w:sz="8" w:space="0" w:color="auto"/>
            </w:tcBorders>
            <w:vAlign w:val="center"/>
          </w:tcPr>
          <w:p w14:paraId="380A6705" w14:textId="0A4C6760" w:rsidR="00725220" w:rsidRPr="00E3577C" w:rsidRDefault="004B4C22" w:rsidP="004766DF">
            <w:pPr>
              <w:pStyle w:val="ColumnCenter"/>
              <w:ind w:right="97"/>
              <w:rPr>
                <w:color w:val="auto"/>
                <w:lang w:val="es-ES_tradnl"/>
              </w:rPr>
            </w:pPr>
            <w:r w:rsidRPr="00E3577C">
              <w:rPr>
                <w:color w:val="auto"/>
                <w:lang w:val="es-ES_tradnl"/>
              </w:rPr>
              <w:t>Con base en el trabajo que el Estado está realizando</w:t>
            </w:r>
          </w:p>
        </w:tc>
        <w:tc>
          <w:tcPr>
            <w:tcW w:w="994" w:type="pct"/>
            <w:tcBorders>
              <w:top w:val="double" w:sz="6" w:space="0" w:color="auto"/>
              <w:left w:val="single" w:sz="8" w:space="0" w:color="auto"/>
              <w:bottom w:val="single" w:sz="8" w:space="0" w:color="auto"/>
              <w:right w:val="single" w:sz="8" w:space="0" w:color="auto"/>
            </w:tcBorders>
            <w:shd w:val="clear" w:color="auto" w:fill="auto"/>
            <w:vAlign w:val="center"/>
          </w:tcPr>
          <w:p w14:paraId="021EECAF" w14:textId="02A7BB62" w:rsidR="00725220" w:rsidRPr="00E3577C" w:rsidRDefault="004B4C22" w:rsidP="004B4C22">
            <w:pPr>
              <w:spacing w:after="0"/>
              <w:rPr>
                <w:rFonts w:eastAsia="Times New Roman" w:cstheme="minorHAnsi"/>
                <w:lang w:val="es-ES_tradnl" w:eastAsia="en-CA"/>
              </w:rPr>
            </w:pPr>
            <w:r w:rsidRPr="00E3577C">
              <w:rPr>
                <w:rFonts w:eastAsia="Times New Roman" w:cstheme="minorHAnsi"/>
                <w:lang w:val="es-ES_tradnl" w:eastAsia="en-CA"/>
              </w:rPr>
              <w:t>1. El Estado promulgó requisitos normativos para implementar un SMS aceptable para el Estado, de conformidad con las disposiciones de la OACI.</w:t>
            </w:r>
          </w:p>
        </w:tc>
        <w:tc>
          <w:tcPr>
            <w:tcW w:w="1134" w:type="pct"/>
            <w:tcBorders>
              <w:top w:val="nil"/>
              <w:left w:val="nil"/>
              <w:bottom w:val="single" w:sz="8" w:space="0" w:color="auto"/>
              <w:right w:val="single" w:sz="8" w:space="0" w:color="auto"/>
            </w:tcBorders>
            <w:shd w:val="clear" w:color="auto" w:fill="auto"/>
            <w:vAlign w:val="center"/>
          </w:tcPr>
          <w:p w14:paraId="3E8DF441" w14:textId="77777777" w:rsidR="004B4C22" w:rsidRPr="004A13B9" w:rsidRDefault="004B4C22" w:rsidP="00AB27FB">
            <w:pPr>
              <w:spacing w:before="240" w:after="0"/>
              <w:rPr>
                <w:lang w:val="es-ES_tradnl"/>
              </w:rPr>
            </w:pPr>
            <w:r w:rsidRPr="00E3577C">
              <w:rPr>
                <w:lang w:val="es-ES_tradnl"/>
              </w:rPr>
              <w:t>1. El Estado promulgó requisitos normativos que hacen la distinción entre organizaciones complejas y no complejas, teniendo en cuenta factores de escalabilidad (si procede).</w:t>
            </w:r>
          </w:p>
          <w:p w14:paraId="3B701C83" w14:textId="0FBFB348" w:rsidR="004B4C22" w:rsidRPr="004A13B9" w:rsidRDefault="0090731B" w:rsidP="00AB27FB">
            <w:pPr>
              <w:spacing w:before="360" w:after="0"/>
              <w:rPr>
                <w:lang w:val="es-ES_tradnl"/>
              </w:rPr>
            </w:pPr>
            <w:r w:rsidRPr="00E3577C">
              <w:rPr>
                <w:lang w:val="es-ES_tradnl"/>
              </w:rPr>
              <w:t>2. Los requisitos normativos cubren la aceptación inicial y la observación continua del SMS de los proveedores ATS.</w:t>
            </w:r>
            <w:r w:rsidR="00725220" w:rsidRPr="00E3577C">
              <w:rPr>
                <w:lang w:val="es-ES_tradnl"/>
              </w:rPr>
              <w:t xml:space="preserve"> </w:t>
            </w:r>
          </w:p>
          <w:p w14:paraId="21AC1E5A" w14:textId="77777777" w:rsidR="008C1FB2" w:rsidRDefault="0090731B" w:rsidP="00AB27FB">
            <w:pPr>
              <w:spacing w:before="360" w:after="0"/>
              <w:rPr>
                <w:lang w:val="es-ES_tradnl"/>
              </w:rPr>
            </w:pPr>
            <w:r w:rsidRPr="00E3577C">
              <w:rPr>
                <w:lang w:val="es-ES_tradnl"/>
              </w:rPr>
              <w:t xml:space="preserve">3. El Estado revisa periódicamente los requisitos normativos, a fin de identificar y vencer las dificultades que enfrentan los proveedores ATS </w:t>
            </w:r>
            <w:r w:rsidR="00493197">
              <w:rPr>
                <w:lang w:val="es-ES_tradnl"/>
              </w:rPr>
              <w:t xml:space="preserve">del Estado </w:t>
            </w:r>
            <w:r w:rsidRPr="00E3577C">
              <w:rPr>
                <w:lang w:val="es-ES_tradnl"/>
              </w:rPr>
              <w:t>al implementar estos requisitos.</w:t>
            </w:r>
          </w:p>
          <w:p w14:paraId="7D4D798C" w14:textId="77777777" w:rsidR="004A13B9" w:rsidRDefault="004A13B9" w:rsidP="004A13B9">
            <w:pPr>
              <w:spacing w:after="0"/>
              <w:rPr>
                <w:lang w:val="es-ES_tradnl"/>
              </w:rPr>
            </w:pPr>
          </w:p>
          <w:p w14:paraId="7A7EF979" w14:textId="43C525F1" w:rsidR="00A266BA" w:rsidRPr="00E3577C" w:rsidRDefault="00A266BA" w:rsidP="004A13B9">
            <w:pPr>
              <w:spacing w:after="0"/>
              <w:rPr>
                <w:lang w:val="es-ES_tradnl"/>
              </w:rPr>
            </w:pPr>
          </w:p>
        </w:tc>
      </w:tr>
      <w:tr w:rsidR="004766DF" w:rsidRPr="00A266BA" w14:paraId="546720BA"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656F21" w14:textId="77777777" w:rsidR="00725220" w:rsidRPr="00E3577C" w:rsidRDefault="00725220" w:rsidP="00725220">
            <w:pPr>
              <w:rPr>
                <w:rFonts w:eastAsia="Times New Roman" w:cstheme="minorHAnsi"/>
                <w:lang w:val="es-ES_tradnl" w:eastAsia="en-CA"/>
              </w:rPr>
            </w:pPr>
            <w:r w:rsidRPr="00E3577C">
              <w:rPr>
                <w:lang w:val="es-ES_tradnl"/>
              </w:rPr>
              <w:lastRenderedPageBreak/>
              <w:t>SSP.ANS.02</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26511F2" w14:textId="2A61EA68" w:rsidR="00725220" w:rsidRPr="00E3577C" w:rsidRDefault="0090731B" w:rsidP="0090731B">
            <w:pPr>
              <w:spacing w:after="0"/>
              <w:rPr>
                <w:rFonts w:eastAsia="Times New Roman" w:cstheme="minorHAnsi"/>
                <w:lang w:val="es-ES_tradnl" w:eastAsia="en-CA"/>
              </w:rPr>
            </w:pPr>
            <w:r w:rsidRPr="00E3577C">
              <w:rPr>
                <w:rFonts w:eastAsia="Times New Roman" w:cstheme="minorHAnsi"/>
                <w:lang w:val="es-ES_tradnl" w:eastAsia="en-CA"/>
              </w:rPr>
              <w:t>¿Qué apoyo ha proporcionado el Estado a los proveedores ATS para implementar un SMS?</w:t>
            </w:r>
          </w:p>
        </w:tc>
        <w:tc>
          <w:tcPr>
            <w:tcW w:w="535" w:type="pct"/>
            <w:tcBorders>
              <w:top w:val="single" w:sz="8" w:space="0" w:color="auto"/>
              <w:left w:val="single" w:sz="8" w:space="0" w:color="auto"/>
              <w:bottom w:val="single" w:sz="8" w:space="0" w:color="auto"/>
              <w:right w:val="single" w:sz="8" w:space="0" w:color="auto"/>
            </w:tcBorders>
            <w:vAlign w:val="center"/>
          </w:tcPr>
          <w:p w14:paraId="7A6E12EE" w14:textId="77777777" w:rsidR="00725220" w:rsidRPr="00E3577C" w:rsidRDefault="00725220" w:rsidP="00725220">
            <w:pPr>
              <w:pStyle w:val="ColumnCenter"/>
              <w:rPr>
                <w:color w:val="auto"/>
                <w:lang w:val="es-ES_tradnl"/>
              </w:rPr>
            </w:pPr>
            <w:r w:rsidRPr="00E3577C">
              <w:rPr>
                <w:color w:val="auto"/>
                <w:lang w:val="es-ES_tradnl"/>
              </w:rPr>
              <w:t xml:space="preserve">SMM 8.3.8 </w:t>
            </w:r>
          </w:p>
        </w:tc>
        <w:tc>
          <w:tcPr>
            <w:tcW w:w="453" w:type="pct"/>
            <w:tcBorders>
              <w:top w:val="single" w:sz="8" w:space="0" w:color="auto"/>
              <w:left w:val="single" w:sz="8" w:space="0" w:color="auto"/>
              <w:bottom w:val="single" w:sz="8" w:space="0" w:color="auto"/>
              <w:right w:val="single" w:sz="8" w:space="0" w:color="auto"/>
            </w:tcBorders>
            <w:vAlign w:val="center"/>
          </w:tcPr>
          <w:p w14:paraId="6BD92022" w14:textId="463203FB" w:rsidR="00725220" w:rsidRPr="00E3577C" w:rsidRDefault="0090731B" w:rsidP="0090731B">
            <w:pPr>
              <w:pStyle w:val="ColumnCenter"/>
              <w:rPr>
                <w:color w:val="auto"/>
                <w:lang w:val="es-ES_tradnl"/>
              </w:rPr>
            </w:pPr>
            <w:r w:rsidRPr="00E3577C">
              <w:rPr>
                <w:color w:val="auto"/>
                <w:lang w:val="es-ES_tradnl"/>
              </w:rPr>
              <w:t>Política, objetivos y recursos estatales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03B2A9DF" w14:textId="71118871" w:rsidR="00725220" w:rsidRPr="00E3577C" w:rsidRDefault="0090731B" w:rsidP="0090731B">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782B8AAD" w14:textId="7DCE5B04" w:rsidR="00725220" w:rsidRPr="00E3577C" w:rsidRDefault="0090731B" w:rsidP="0090731B">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59BE2816" w14:textId="6D38159C" w:rsidR="004B4C22" w:rsidRPr="00E3577C" w:rsidRDefault="0090731B" w:rsidP="0090731B">
            <w:pPr>
              <w:spacing w:before="240"/>
              <w:rPr>
                <w:lang w:val="es-ES_tradnl"/>
              </w:rPr>
            </w:pPr>
            <w:r w:rsidRPr="00E3577C">
              <w:rPr>
                <w:lang w:val="es-ES_tradnl"/>
              </w:rPr>
              <w:t>1. Existe un mecanismo para definir la implementación del SMS de los proveedores ATS y las necesidades de apoyo a nivel estatal (es decir, talleres, seminarios, cursos de instrucción, etc.).</w:t>
            </w:r>
            <w:r w:rsidR="00725220" w:rsidRPr="00E3577C">
              <w:rPr>
                <w:lang w:val="es-ES_tradnl"/>
              </w:rPr>
              <w:t xml:space="preserve"> </w:t>
            </w:r>
          </w:p>
          <w:p w14:paraId="3BA887CE" w14:textId="01A7F868" w:rsidR="004B4C22" w:rsidRPr="00E3577C" w:rsidRDefault="0090731B" w:rsidP="002F5C50">
            <w:pPr>
              <w:spacing w:before="240" w:after="0"/>
              <w:rPr>
                <w:lang w:val="es-ES_tradnl"/>
              </w:rPr>
            </w:pPr>
            <w:r w:rsidRPr="00E3577C">
              <w:rPr>
                <w:lang w:val="es-ES_tradnl"/>
              </w:rPr>
              <w:t>2. Existe un mecanismo para facilitar la implementación del SMS de los proveedores ATS y atender las necesidades de apoyo a nivel estatal que se definieron.</w:t>
            </w:r>
            <w:r w:rsidR="00725220" w:rsidRPr="00E3577C">
              <w:rPr>
                <w:lang w:val="es-ES_tradnl"/>
              </w:rPr>
              <w:t xml:space="preserve"> </w:t>
            </w:r>
          </w:p>
          <w:p w14:paraId="334FE789" w14:textId="09E95B55" w:rsidR="004B4C22" w:rsidRPr="00E3577C" w:rsidRDefault="0090731B" w:rsidP="002F5C50">
            <w:pPr>
              <w:spacing w:before="240" w:after="0"/>
              <w:rPr>
                <w:lang w:val="es-ES_tradnl"/>
              </w:rPr>
            </w:pPr>
            <w:r w:rsidRPr="00E3577C">
              <w:rPr>
                <w:lang w:val="es-ES_tradnl"/>
              </w:rPr>
              <w:t>3. Se han proporcionado textos de orientación y herramientas a los proveedores ATS para apoyar la implementación de su SMS.</w:t>
            </w:r>
          </w:p>
          <w:p w14:paraId="0752903D" w14:textId="4D60415F" w:rsidR="004B4C22" w:rsidRPr="00E3577C" w:rsidRDefault="0090731B" w:rsidP="002F5C50">
            <w:pPr>
              <w:spacing w:before="240" w:after="0"/>
              <w:rPr>
                <w:lang w:val="es-ES_tradnl"/>
              </w:rPr>
            </w:pPr>
            <w:r w:rsidRPr="00E3577C">
              <w:rPr>
                <w:lang w:val="es-ES_tradnl"/>
              </w:rPr>
              <w:t>4. Existe un mecanismo para apoyar las necesidades de implementación del SMS de cada proveedor ATS, con base en su panorama de riesgos.</w:t>
            </w:r>
          </w:p>
          <w:p w14:paraId="2ACE9AF1" w14:textId="0ADACF62" w:rsidR="00725220" w:rsidRPr="00E3577C" w:rsidRDefault="00725220" w:rsidP="00725220">
            <w:pPr>
              <w:spacing w:after="0"/>
              <w:rPr>
                <w:rFonts w:eastAsia="Times New Roman" w:cstheme="minorHAnsi"/>
                <w:lang w:val="es-ES_tradnl" w:eastAsia="en-CA"/>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51F0E31B" w14:textId="6F682227" w:rsidR="004B4C22" w:rsidRPr="00E3577C" w:rsidRDefault="0090731B" w:rsidP="0090731B">
            <w:pPr>
              <w:rPr>
                <w:lang w:val="es-ES_tradnl"/>
              </w:rPr>
            </w:pPr>
            <w:r w:rsidRPr="00E3577C">
              <w:rPr>
                <w:lang w:val="es-ES_tradnl"/>
              </w:rPr>
              <w:t>1. El apoyo a nivel estatal que se da a los proveedores ATS redunda en un mejoramiento continuo y en un nivel mayor de madurez del SMS de los proveedores ATS.</w:t>
            </w:r>
          </w:p>
          <w:p w14:paraId="360762D4" w14:textId="3B47E711" w:rsidR="00725220" w:rsidRPr="00E3577C" w:rsidRDefault="0090731B" w:rsidP="002F5C50">
            <w:pPr>
              <w:spacing w:before="480" w:after="0"/>
              <w:rPr>
                <w:rFonts w:eastAsia="Times New Roman" w:cstheme="minorHAnsi"/>
                <w:lang w:val="es-ES_tradnl" w:eastAsia="en-CA"/>
              </w:rPr>
            </w:pPr>
            <w:r w:rsidRPr="00E3577C">
              <w:rPr>
                <w:lang w:val="es-ES_tradnl"/>
              </w:rPr>
              <w:t xml:space="preserve">2. El Estado mejora continuamente su apoyo a los proveedores ATS en función de sus necesidades cambiantes, tomando en consideración el nivel de progreso y maduración que dichos </w:t>
            </w:r>
            <w:r w:rsidR="0097738A">
              <w:rPr>
                <w:lang w:val="es-ES_tradnl"/>
              </w:rPr>
              <w:t>proveedores</w:t>
            </w:r>
            <w:r w:rsidRPr="00E3577C">
              <w:rPr>
                <w:lang w:val="es-ES_tradnl"/>
              </w:rPr>
              <w:t xml:space="preserve"> han logrado.</w:t>
            </w:r>
            <w:r w:rsidR="00725220" w:rsidRPr="00E3577C">
              <w:rPr>
                <w:lang w:val="es-ES_tradnl"/>
              </w:rPr>
              <w:t xml:space="preserve"> </w:t>
            </w:r>
          </w:p>
        </w:tc>
      </w:tr>
      <w:tr w:rsidR="004766DF" w:rsidRPr="00A266BA" w14:paraId="5B1C50C2"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5F64E0" w14:textId="77777777" w:rsidR="00725220" w:rsidRPr="00E3577C" w:rsidRDefault="00725220" w:rsidP="00725220">
            <w:pPr>
              <w:rPr>
                <w:rFonts w:eastAsia="Times New Roman" w:cstheme="minorHAnsi"/>
                <w:lang w:val="es-ES_tradnl" w:eastAsia="en-CA"/>
              </w:rPr>
            </w:pPr>
            <w:r w:rsidRPr="00E3577C">
              <w:rPr>
                <w:lang w:val="es-ES_tradnl"/>
              </w:rPr>
              <w:lastRenderedPageBreak/>
              <w:t>SSP.ANS.03</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ADAF07" w14:textId="1F40ED1B" w:rsidR="00725220" w:rsidRPr="00E3577C" w:rsidRDefault="0090731B" w:rsidP="0090731B">
            <w:pPr>
              <w:spacing w:after="0"/>
              <w:rPr>
                <w:rFonts w:eastAsia="Times New Roman" w:cstheme="minorHAnsi"/>
                <w:lang w:val="es-ES_tradnl" w:eastAsia="en-CA"/>
              </w:rPr>
            </w:pPr>
            <w:r w:rsidRPr="00E3577C">
              <w:rPr>
                <w:rFonts w:eastAsia="Times New Roman" w:cstheme="minorHAnsi"/>
                <w:lang w:val="es-ES_tradnl" w:eastAsia="en-CA"/>
              </w:rPr>
              <w:t>¿Cómo se</w:t>
            </w:r>
            <w:bookmarkStart w:id="0" w:name="_GoBack"/>
            <w:bookmarkEnd w:id="0"/>
            <w:r w:rsidRPr="00E3577C">
              <w:rPr>
                <w:rFonts w:eastAsia="Times New Roman" w:cstheme="minorHAnsi"/>
                <w:lang w:val="es-ES_tradnl" w:eastAsia="en-CA"/>
              </w:rPr>
              <w:t xml:space="preserve"> asegura el Estado de que el personal responsable de la aceptación y </w:t>
            </w:r>
            <w:r w:rsidR="007B4C5A">
              <w:rPr>
                <w:rFonts w:eastAsia="Times New Roman" w:cstheme="minorHAnsi"/>
                <w:lang w:val="es-ES_tradnl" w:eastAsia="en-CA"/>
              </w:rPr>
              <w:t>vigilancia</w:t>
            </w:r>
            <w:r w:rsidRPr="00E3577C">
              <w:rPr>
                <w:rFonts w:eastAsia="Times New Roman" w:cstheme="minorHAnsi"/>
                <w:lang w:val="es-ES_tradnl" w:eastAsia="en-CA"/>
              </w:rPr>
              <w:t xml:space="preserve"> del SMS de los proveedores ATS desarrolle las competencias requeridas?</w:t>
            </w:r>
          </w:p>
        </w:tc>
        <w:tc>
          <w:tcPr>
            <w:tcW w:w="535" w:type="pct"/>
            <w:tcBorders>
              <w:top w:val="single" w:sz="8" w:space="0" w:color="auto"/>
              <w:left w:val="single" w:sz="8" w:space="0" w:color="auto"/>
              <w:bottom w:val="single" w:sz="8" w:space="0" w:color="auto"/>
              <w:right w:val="single" w:sz="8" w:space="0" w:color="auto"/>
            </w:tcBorders>
            <w:vAlign w:val="center"/>
          </w:tcPr>
          <w:p w14:paraId="1B208E97" w14:textId="77777777" w:rsidR="00725220" w:rsidRPr="00E3577C" w:rsidDel="00F010DC" w:rsidRDefault="00725220" w:rsidP="00725220">
            <w:pPr>
              <w:pStyle w:val="ColumnCenter"/>
              <w:rPr>
                <w:color w:val="auto"/>
                <w:lang w:val="es-ES_tradnl"/>
              </w:rPr>
            </w:pPr>
            <w:r w:rsidRPr="00E3577C">
              <w:rPr>
                <w:color w:val="auto"/>
                <w:lang w:val="es-ES_tradnl"/>
              </w:rPr>
              <w:t>SMM 8.3.7</w:t>
            </w:r>
          </w:p>
        </w:tc>
        <w:tc>
          <w:tcPr>
            <w:tcW w:w="453" w:type="pct"/>
            <w:tcBorders>
              <w:top w:val="single" w:sz="8" w:space="0" w:color="auto"/>
              <w:left w:val="single" w:sz="8" w:space="0" w:color="auto"/>
              <w:bottom w:val="single" w:sz="8" w:space="0" w:color="auto"/>
              <w:right w:val="single" w:sz="8" w:space="0" w:color="auto"/>
            </w:tcBorders>
            <w:vAlign w:val="center"/>
          </w:tcPr>
          <w:p w14:paraId="4B0AF1AD" w14:textId="5BB36A24" w:rsidR="00725220" w:rsidRPr="00E3577C" w:rsidRDefault="0090731B" w:rsidP="0090731B">
            <w:pPr>
              <w:pStyle w:val="ColumnCenter"/>
              <w:rPr>
                <w:color w:val="auto"/>
                <w:lang w:val="es-ES_tradnl"/>
              </w:rPr>
            </w:pPr>
            <w:r w:rsidRPr="00E3577C">
              <w:rPr>
                <w:color w:val="auto"/>
                <w:lang w:val="es-ES_tradnl"/>
              </w:rPr>
              <w:t>Política, objetivos y recursos estatales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7DE643E0" w14:textId="270DED4C" w:rsidR="00725220" w:rsidRPr="00E3577C" w:rsidRDefault="0090731B" w:rsidP="0090731B">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05C6D3E7" w14:textId="5BD4229C" w:rsidR="00725220" w:rsidRPr="00E3577C" w:rsidRDefault="0090731B" w:rsidP="0090731B">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517732D1" w14:textId="2F42490B" w:rsidR="004B4C22" w:rsidRPr="00E3577C" w:rsidRDefault="0090731B" w:rsidP="00943324">
            <w:pPr>
              <w:spacing w:before="0" w:after="0"/>
              <w:rPr>
                <w:lang w:val="es-ES_tradnl"/>
              </w:rPr>
            </w:pPr>
            <w:r w:rsidRPr="00E3577C">
              <w:rPr>
                <w:lang w:val="es-ES_tradnl"/>
              </w:rPr>
              <w:t>1. Las competencias requeridas para la aceptación inicial y la observación continua del SMS de los proveedores ATS se identifican y documentan.</w:t>
            </w:r>
            <w:r w:rsidR="00725220" w:rsidRPr="00E3577C">
              <w:rPr>
                <w:lang w:val="es-ES_tradnl"/>
              </w:rPr>
              <w:t xml:space="preserve"> </w:t>
            </w:r>
          </w:p>
          <w:p w14:paraId="644202C5" w14:textId="3DCD3C05" w:rsidR="004B4C22" w:rsidRPr="00E3577C" w:rsidRDefault="0090731B" w:rsidP="00943324">
            <w:pPr>
              <w:spacing w:before="240" w:after="0"/>
              <w:rPr>
                <w:lang w:val="es-ES_tradnl"/>
              </w:rPr>
            </w:pPr>
            <w:r w:rsidRPr="00E3577C">
              <w:rPr>
                <w:lang w:val="es-ES_tradnl"/>
              </w:rPr>
              <w:t>2. Existe un plan de instrucción que abarca los conceptos K/S/A, la instrucción periódica y la formación en el puesto de trabajo para el personal responsable de la aceptación y observación continua del SMS de los proveedores ATS.</w:t>
            </w:r>
          </w:p>
          <w:p w14:paraId="0C92797F" w14:textId="7572A8D9" w:rsidR="004B4C22" w:rsidRPr="00E3577C" w:rsidRDefault="0090731B" w:rsidP="00943324">
            <w:pPr>
              <w:spacing w:before="240" w:after="0"/>
              <w:rPr>
                <w:lang w:val="es-ES_tradnl"/>
              </w:rPr>
            </w:pPr>
            <w:r w:rsidRPr="00E3577C">
              <w:rPr>
                <w:lang w:val="es-ES_tradnl"/>
              </w:rPr>
              <w:t>3. El plan de instrucción abarca la aceptación inicial y la observación continua del SMS de los proveedores ATS.</w:t>
            </w:r>
          </w:p>
          <w:p w14:paraId="284AF0BC" w14:textId="1C1951B0" w:rsidR="004B4C22" w:rsidRPr="00E3577C" w:rsidRDefault="00725220" w:rsidP="00943324">
            <w:pPr>
              <w:spacing w:before="240" w:after="0"/>
              <w:rPr>
                <w:lang w:val="es-ES_tradnl"/>
              </w:rPr>
            </w:pPr>
            <w:r w:rsidRPr="00E3577C">
              <w:rPr>
                <w:lang w:val="es-ES_tradnl"/>
              </w:rPr>
              <w:t xml:space="preserve"> </w:t>
            </w:r>
            <w:r w:rsidR="0090731B" w:rsidRPr="00E3577C">
              <w:rPr>
                <w:lang w:val="es-ES_tradnl"/>
              </w:rPr>
              <w:t>4. El plan de instrucción cubre la escalabilidad y la complejidad del SMS de los proveedores ATS.</w:t>
            </w:r>
          </w:p>
          <w:p w14:paraId="2102401E" w14:textId="35736DE0" w:rsidR="00725220" w:rsidRPr="00E3577C" w:rsidRDefault="00725220" w:rsidP="00725220">
            <w:pPr>
              <w:spacing w:after="0"/>
              <w:rPr>
                <w:rFonts w:eastAsia="Times New Roman" w:cstheme="minorHAnsi"/>
                <w:lang w:val="es-ES_tradnl" w:eastAsia="en-CA"/>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235E40C8" w14:textId="5A41B0A5" w:rsidR="00943324" w:rsidRPr="004064AE" w:rsidRDefault="004559E5" w:rsidP="00943324">
            <w:pPr>
              <w:spacing w:after="0"/>
              <w:rPr>
                <w:lang w:val="es-ES_tradnl"/>
              </w:rPr>
            </w:pPr>
            <w:r>
              <w:rPr>
                <w:lang w:val="es-ES_tradnl"/>
              </w:rPr>
              <w:t xml:space="preserve">1. </w:t>
            </w:r>
            <w:r w:rsidR="00943324" w:rsidRPr="004064AE">
              <w:rPr>
                <w:lang w:val="es-ES_tradnl"/>
              </w:rPr>
              <w:t xml:space="preserve">Se sigue el plan de instrucción que abarca los conceptos K/S/A, la instrucción periódica y la formación en el puesto de trabajo para el personal responsable de la aceptación y observación continua del SMS de los </w:t>
            </w:r>
            <w:r w:rsidR="00943324">
              <w:rPr>
                <w:lang w:val="es-ES_tradnl"/>
              </w:rPr>
              <w:t>proveedores ATS</w:t>
            </w:r>
            <w:r w:rsidR="00943324" w:rsidRPr="004064AE">
              <w:rPr>
                <w:lang w:val="es-ES_tradnl"/>
              </w:rPr>
              <w:t>.</w:t>
            </w:r>
          </w:p>
          <w:p w14:paraId="71E808E7" w14:textId="56F6FF66" w:rsidR="00943324" w:rsidRPr="004064AE" w:rsidRDefault="00943324" w:rsidP="00943324">
            <w:pPr>
              <w:spacing w:before="160" w:after="0"/>
              <w:rPr>
                <w:lang w:val="es-ES_tradnl"/>
              </w:rPr>
            </w:pPr>
            <w:r w:rsidRPr="004064AE">
              <w:rPr>
                <w:lang w:val="es-ES_tradnl"/>
              </w:rPr>
              <w:t xml:space="preserve">2. La autoridad competente revisa periódicamente las competencias requeridas de su personal responsable de la aceptación inicial y la observación continua del SMS de los </w:t>
            </w:r>
            <w:r>
              <w:rPr>
                <w:lang w:val="es-ES_tradnl"/>
              </w:rPr>
              <w:t>proveedores ATS</w:t>
            </w:r>
            <w:r w:rsidRPr="004064AE">
              <w:rPr>
                <w:lang w:val="es-ES_tradnl"/>
              </w:rPr>
              <w:t>.</w:t>
            </w:r>
          </w:p>
          <w:p w14:paraId="6DAA745C" w14:textId="65D79FC6" w:rsidR="00943324" w:rsidRPr="004064AE" w:rsidRDefault="00943324" w:rsidP="00943324">
            <w:pPr>
              <w:spacing w:before="160" w:after="0"/>
              <w:rPr>
                <w:lang w:val="es-ES_tradnl"/>
              </w:rPr>
            </w:pPr>
            <w:r w:rsidRPr="004064AE">
              <w:rPr>
                <w:lang w:val="es-ES_tradnl"/>
              </w:rPr>
              <w:t xml:space="preserve">3. El plan de instrucción se revisa periódicamente para identificar necesidades nuevas de instrucción, a fin de mantener las competencias requeridas para la aceptación y la observación continua del SMS de los </w:t>
            </w:r>
            <w:r>
              <w:rPr>
                <w:lang w:val="es-ES_tradnl"/>
              </w:rPr>
              <w:t>proveedores ATS</w:t>
            </w:r>
            <w:r w:rsidRPr="004064AE">
              <w:rPr>
                <w:lang w:val="es-ES_tradnl"/>
              </w:rPr>
              <w:t>.</w:t>
            </w:r>
          </w:p>
          <w:p w14:paraId="50FB7DF7" w14:textId="6AB375F1" w:rsidR="00725220" w:rsidRPr="00E3577C" w:rsidRDefault="00943324" w:rsidP="00943324">
            <w:pPr>
              <w:spacing w:before="160" w:after="0"/>
              <w:rPr>
                <w:rFonts w:eastAsia="Times New Roman" w:cstheme="minorHAnsi"/>
                <w:lang w:val="es-ES_tradnl" w:eastAsia="en-CA"/>
              </w:rPr>
            </w:pPr>
            <w:r w:rsidRPr="004064AE">
              <w:rPr>
                <w:lang w:val="es-ES_tradnl"/>
              </w:rPr>
              <w:t>4. Se reconocen y vencen (si procede) las dificultades asociadas a la capacidad de los inspectores para pasar de un enfoque prescriptivo a uno basado en el rendimiento.</w:t>
            </w:r>
          </w:p>
        </w:tc>
      </w:tr>
      <w:tr w:rsidR="004766DF" w:rsidRPr="00A266BA" w14:paraId="5DA72892"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530F1F"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SSP.ANS.04</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7800A3" w14:textId="536ED474" w:rsidR="00725220" w:rsidRPr="00E3577C" w:rsidRDefault="0090731B" w:rsidP="0090731B">
            <w:pPr>
              <w:spacing w:after="0"/>
              <w:rPr>
                <w:rFonts w:eastAsia="Times New Roman" w:cstheme="minorHAnsi"/>
                <w:lang w:val="es-ES_tradnl" w:eastAsia="en-CA"/>
              </w:rPr>
            </w:pPr>
            <w:r w:rsidRPr="00E3577C">
              <w:rPr>
                <w:rFonts w:eastAsia="Times New Roman" w:cstheme="minorHAnsi"/>
                <w:lang w:val="es-ES_tradnl" w:eastAsia="en-CA"/>
              </w:rPr>
              <w:t xml:space="preserve">¿Qué orientación y qué herramientas ha proporcionado el Estado a su personal para la aceptación inicial y la </w:t>
            </w:r>
            <w:r w:rsidR="00653DF6">
              <w:rPr>
                <w:rFonts w:eastAsia="Times New Roman" w:cstheme="minorHAnsi"/>
                <w:lang w:val="es-ES_tradnl" w:eastAsia="en-CA"/>
              </w:rPr>
              <w:t>vigilancia</w:t>
            </w:r>
            <w:r w:rsidRPr="00E3577C">
              <w:rPr>
                <w:rFonts w:eastAsia="Times New Roman" w:cstheme="minorHAnsi"/>
                <w:lang w:val="es-ES_tradnl" w:eastAsia="en-CA"/>
              </w:rPr>
              <w:t xml:space="preserve"> continua del SMS de los proveedores ATS?</w:t>
            </w:r>
          </w:p>
        </w:tc>
        <w:tc>
          <w:tcPr>
            <w:tcW w:w="535" w:type="pct"/>
            <w:tcBorders>
              <w:top w:val="single" w:sz="8" w:space="0" w:color="auto"/>
              <w:left w:val="single" w:sz="8" w:space="0" w:color="auto"/>
              <w:bottom w:val="single" w:sz="8" w:space="0" w:color="auto"/>
              <w:right w:val="single" w:sz="8" w:space="0" w:color="auto"/>
            </w:tcBorders>
            <w:vAlign w:val="center"/>
          </w:tcPr>
          <w:p w14:paraId="77BD4806" w14:textId="77777777" w:rsidR="00725220" w:rsidRPr="00E3577C" w:rsidRDefault="00725220" w:rsidP="00725220">
            <w:pPr>
              <w:pStyle w:val="ColumnCenter"/>
              <w:rPr>
                <w:color w:val="auto"/>
                <w:lang w:val="es-ES_tradnl"/>
              </w:rPr>
            </w:pPr>
            <w:r w:rsidRPr="00E3577C">
              <w:rPr>
                <w:color w:val="auto"/>
                <w:lang w:val="es-ES_tradnl"/>
              </w:rPr>
              <w:t xml:space="preserve">SMM 8.3.8 </w:t>
            </w:r>
          </w:p>
        </w:tc>
        <w:tc>
          <w:tcPr>
            <w:tcW w:w="453" w:type="pct"/>
            <w:tcBorders>
              <w:top w:val="single" w:sz="8" w:space="0" w:color="auto"/>
              <w:left w:val="single" w:sz="8" w:space="0" w:color="auto"/>
              <w:bottom w:val="single" w:sz="8" w:space="0" w:color="auto"/>
              <w:right w:val="single" w:sz="8" w:space="0" w:color="auto"/>
            </w:tcBorders>
            <w:vAlign w:val="center"/>
          </w:tcPr>
          <w:p w14:paraId="33811414" w14:textId="272A4DBD" w:rsidR="00725220" w:rsidRPr="00E3577C" w:rsidRDefault="0090731B" w:rsidP="0090731B">
            <w:pPr>
              <w:pStyle w:val="ColumnCenter"/>
              <w:rPr>
                <w:color w:val="auto"/>
                <w:lang w:val="es-ES_tradnl"/>
              </w:rPr>
            </w:pPr>
            <w:r w:rsidRPr="00E3577C">
              <w:rPr>
                <w:color w:val="auto"/>
                <w:lang w:val="es-ES_tradnl"/>
              </w:rPr>
              <w:t>Política, objetivos y recursos estatales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79EC0D84" w14:textId="4BD4AFCD" w:rsidR="00725220" w:rsidRPr="00E3577C" w:rsidRDefault="0090731B" w:rsidP="0090731B">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6FCF8161" w14:textId="71B1D357" w:rsidR="00725220" w:rsidRPr="00E3577C" w:rsidRDefault="0090731B" w:rsidP="0090731B">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4BEDB848" w14:textId="79C2120B" w:rsidR="004B4C22" w:rsidRPr="00E3577C" w:rsidRDefault="0090731B" w:rsidP="0090731B">
            <w:pPr>
              <w:spacing w:before="360"/>
              <w:rPr>
                <w:lang w:val="es-ES_tradnl"/>
              </w:rPr>
            </w:pPr>
            <w:r w:rsidRPr="00E3577C">
              <w:rPr>
                <w:lang w:val="es-ES_tradnl"/>
              </w:rPr>
              <w:t>1. Se proporcionaron al personal de la autoridad competente los textos de orientación y las herramientas para abordar los aspectos de escalabilidad y complejidad, para las fases de aceptación inicial y de observación continua del SMS de los proveedores ATS.</w:t>
            </w:r>
          </w:p>
          <w:p w14:paraId="233F8E08" w14:textId="22763A09" w:rsidR="004B4C22" w:rsidRPr="00E3577C" w:rsidRDefault="0090731B" w:rsidP="00EF7639">
            <w:pPr>
              <w:spacing w:before="360" w:after="0"/>
              <w:rPr>
                <w:lang w:val="es-ES_tradnl"/>
              </w:rPr>
            </w:pPr>
            <w:r w:rsidRPr="00E3577C">
              <w:rPr>
                <w:lang w:val="es-ES_tradnl"/>
              </w:rPr>
              <w:t>2. Existe un mecanismo que permite apoyar el intercambio de textos de orientación, herramientas y mejores prácticas entre el personal técnico de distintas áreas al interior de la autoridad competente.</w:t>
            </w:r>
          </w:p>
          <w:p w14:paraId="677568C1" w14:textId="5D6FC0AD" w:rsidR="00725220" w:rsidRPr="00E3577C" w:rsidRDefault="00725220" w:rsidP="00725220">
            <w:pPr>
              <w:spacing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0D69C65A" w14:textId="00E239DB" w:rsidR="004B4C22" w:rsidRDefault="0090731B" w:rsidP="008D6A32">
            <w:pPr>
              <w:spacing w:before="480" w:after="0"/>
              <w:rPr>
                <w:lang w:val="es-ES_tradnl"/>
              </w:rPr>
            </w:pPr>
            <w:r w:rsidRPr="00E3577C">
              <w:rPr>
                <w:lang w:val="es-ES_tradnl"/>
              </w:rPr>
              <w:t>1. El personal responsable de la aceptación inicial y la observación continua del SMS de los proveedores ATS utiliza los textos de orientación y las herramientas.</w:t>
            </w:r>
          </w:p>
          <w:p w14:paraId="18DA82C7" w14:textId="1DB8366B" w:rsidR="004B4C22" w:rsidRDefault="0090731B" w:rsidP="00EF7639">
            <w:pPr>
              <w:spacing w:before="360" w:after="0"/>
              <w:rPr>
                <w:lang w:val="es-ES_tradnl"/>
              </w:rPr>
            </w:pPr>
            <w:r w:rsidRPr="00E3577C">
              <w:rPr>
                <w:lang w:val="es-ES_tradnl"/>
              </w:rPr>
              <w:t>2. Los textos de orientación, las herramientas y las mejores prácticas se revisan y enmiendan periódicamente (de ser necesario).</w:t>
            </w:r>
          </w:p>
          <w:p w14:paraId="2A93487F" w14:textId="77777777" w:rsidR="00725220" w:rsidRDefault="0090731B" w:rsidP="00EF7639">
            <w:pPr>
              <w:spacing w:before="360" w:after="0"/>
              <w:rPr>
                <w:lang w:val="es-ES_tradnl"/>
              </w:rPr>
            </w:pPr>
            <w:r w:rsidRPr="00E3577C">
              <w:rPr>
                <w:lang w:val="es-ES_tradnl"/>
              </w:rPr>
              <w:t>3. El intercambio de textos de orientación, herramientas y mejores prácticas entre el personal técnico de distintas áreas ha contribuido a la armonización (enfoque unificado) del proceso y las herramientas relacionad</w:t>
            </w:r>
            <w:r w:rsidR="0069209A">
              <w:rPr>
                <w:lang w:val="es-ES_tradnl"/>
              </w:rPr>
              <w:t>o</w:t>
            </w:r>
            <w:r w:rsidRPr="00E3577C">
              <w:rPr>
                <w:lang w:val="es-ES_tradnl"/>
              </w:rPr>
              <w:t xml:space="preserve">s con la </w:t>
            </w:r>
            <w:r w:rsidR="00506B99">
              <w:rPr>
                <w:lang w:val="es-ES_tradnl"/>
              </w:rPr>
              <w:t>vigilancia</w:t>
            </w:r>
            <w:r w:rsidRPr="00E3577C">
              <w:rPr>
                <w:lang w:val="es-ES_tradnl"/>
              </w:rPr>
              <w:t xml:space="preserve"> del SMS a nivel estatal.</w:t>
            </w:r>
          </w:p>
          <w:p w14:paraId="5C6DD4E7" w14:textId="77777777" w:rsidR="008D6A32" w:rsidRDefault="008D6A32" w:rsidP="0074085B">
            <w:pPr>
              <w:spacing w:after="0"/>
              <w:rPr>
                <w:lang w:val="es-ES_tradnl"/>
              </w:rPr>
            </w:pPr>
          </w:p>
          <w:p w14:paraId="4DC6C602" w14:textId="07517E7A" w:rsidR="00EF7639" w:rsidRPr="00E3577C" w:rsidRDefault="00EF7639" w:rsidP="0074085B">
            <w:pPr>
              <w:spacing w:after="0"/>
              <w:rPr>
                <w:lang w:val="es-ES_tradnl"/>
              </w:rPr>
            </w:pPr>
          </w:p>
        </w:tc>
      </w:tr>
      <w:tr w:rsidR="004766DF" w:rsidRPr="00A266BA" w14:paraId="279915BA"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0CC4DD1" w14:textId="77777777" w:rsidR="00725220" w:rsidRPr="00E3577C" w:rsidRDefault="00725220" w:rsidP="00725220">
            <w:pPr>
              <w:rPr>
                <w:rFonts w:eastAsia="Times New Roman" w:cstheme="minorHAnsi"/>
                <w:lang w:val="es-ES_tradnl" w:eastAsia="en-CA"/>
              </w:rPr>
            </w:pPr>
            <w:r w:rsidRPr="00E3577C">
              <w:rPr>
                <w:lang w:val="es-ES_tradnl"/>
              </w:rPr>
              <w:lastRenderedPageBreak/>
              <w:t>SSP.ANS.05</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D23087" w14:textId="67535B78" w:rsidR="00725220" w:rsidRPr="00E3577C" w:rsidRDefault="0090731B" w:rsidP="0090731B">
            <w:pPr>
              <w:spacing w:after="0"/>
              <w:rPr>
                <w:rFonts w:eastAsia="Times New Roman" w:cstheme="minorHAnsi"/>
                <w:lang w:val="es-ES_tradnl" w:eastAsia="en-CA"/>
              </w:rPr>
            </w:pPr>
            <w:r w:rsidRPr="00E3577C">
              <w:rPr>
                <w:rFonts w:eastAsia="Times New Roman" w:cstheme="minorHAnsi"/>
                <w:lang w:val="es-ES_tradnl" w:eastAsia="en-CA"/>
              </w:rPr>
              <w:t>¿Cómo determina el Estado la aceptabilidad inicial y continua del SMS de los proveedores ATS?</w:t>
            </w:r>
          </w:p>
        </w:tc>
        <w:tc>
          <w:tcPr>
            <w:tcW w:w="535" w:type="pct"/>
            <w:tcBorders>
              <w:top w:val="single" w:sz="8" w:space="0" w:color="auto"/>
              <w:left w:val="single" w:sz="8" w:space="0" w:color="auto"/>
              <w:bottom w:val="single" w:sz="8" w:space="0" w:color="auto"/>
              <w:right w:val="single" w:sz="8" w:space="0" w:color="auto"/>
            </w:tcBorders>
            <w:vAlign w:val="center"/>
          </w:tcPr>
          <w:p w14:paraId="629C9092" w14:textId="77777777" w:rsidR="00725220" w:rsidRPr="00E3577C" w:rsidRDefault="00725220" w:rsidP="00725220">
            <w:pPr>
              <w:pStyle w:val="ColumnCenter"/>
              <w:rPr>
                <w:color w:val="auto"/>
                <w:lang w:val="es-ES_tradnl"/>
              </w:rPr>
            </w:pPr>
            <w:r w:rsidRPr="00E3577C">
              <w:rPr>
                <w:color w:val="auto"/>
                <w:lang w:val="es-ES_tradnl"/>
              </w:rPr>
              <w:t>SMM 8.4.7</w:t>
            </w:r>
          </w:p>
        </w:tc>
        <w:tc>
          <w:tcPr>
            <w:tcW w:w="453" w:type="pct"/>
            <w:tcBorders>
              <w:top w:val="single" w:sz="8" w:space="0" w:color="auto"/>
              <w:left w:val="single" w:sz="8" w:space="0" w:color="auto"/>
              <w:bottom w:val="single" w:sz="8" w:space="0" w:color="auto"/>
              <w:right w:val="single" w:sz="8" w:space="0" w:color="auto"/>
            </w:tcBorders>
            <w:vAlign w:val="center"/>
          </w:tcPr>
          <w:p w14:paraId="2B630F9A" w14:textId="17415C1D" w:rsidR="00725220" w:rsidRPr="00E3577C" w:rsidRDefault="0090731B" w:rsidP="0090731B">
            <w:pPr>
              <w:pStyle w:val="ColumnCenter"/>
              <w:rPr>
                <w:color w:val="auto"/>
                <w:lang w:val="es-ES_tradnl"/>
              </w:rPr>
            </w:pPr>
            <w:r w:rsidRPr="00E3577C">
              <w:rPr>
                <w:color w:val="auto"/>
                <w:lang w:val="es-ES_tradnl"/>
              </w:rPr>
              <w:t>Gestión estatal de los riesgos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125A4344" w14:textId="3DBBC738" w:rsidR="00725220" w:rsidRPr="00E3577C" w:rsidRDefault="0090731B" w:rsidP="0090731B">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2BD343A6" w14:textId="49C37345" w:rsidR="00725220" w:rsidRPr="00E3577C" w:rsidRDefault="0090731B" w:rsidP="0090731B">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68B2ABA0" w14:textId="4410EFBF" w:rsidR="004B4C22" w:rsidRPr="00E3577C" w:rsidRDefault="0090731B" w:rsidP="0090731B">
            <w:pPr>
              <w:spacing w:before="360"/>
              <w:rPr>
                <w:lang w:val="es-ES_tradnl"/>
              </w:rPr>
            </w:pPr>
            <w:r w:rsidRPr="00E3577C">
              <w:rPr>
                <w:lang w:val="es-ES_tradnl"/>
              </w:rPr>
              <w:t>1. Existe un mecanismo para determinar la aceptabilidad inicial y continua del SMS de los proveedores ATS.</w:t>
            </w:r>
          </w:p>
          <w:p w14:paraId="2355E4CC" w14:textId="7F0E063C" w:rsidR="004B4C22" w:rsidRPr="00E3577C" w:rsidRDefault="0090731B" w:rsidP="00742FBB">
            <w:pPr>
              <w:spacing w:before="360" w:after="0"/>
              <w:rPr>
                <w:lang w:val="es-ES_tradnl"/>
              </w:rPr>
            </w:pPr>
            <w:r w:rsidRPr="00E3577C">
              <w:rPr>
                <w:lang w:val="es-ES_tradnl"/>
              </w:rPr>
              <w:t>2. El mecanismo permite la implementación del SMS de los proveedores ATS aplicando un enfoque progresivo.</w:t>
            </w:r>
          </w:p>
          <w:p w14:paraId="1E563207" w14:textId="21C1D004" w:rsidR="00725220" w:rsidRPr="00E3577C" w:rsidRDefault="00725220" w:rsidP="00725220">
            <w:pPr>
              <w:spacing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2ECE2843" w14:textId="041930FD" w:rsidR="004B4C22" w:rsidRPr="00E3577C" w:rsidRDefault="0090731B" w:rsidP="00C73E54">
            <w:pPr>
              <w:spacing w:before="240" w:after="0"/>
              <w:rPr>
                <w:lang w:val="es-ES_tradnl"/>
              </w:rPr>
            </w:pPr>
            <w:r w:rsidRPr="00E3577C">
              <w:rPr>
                <w:lang w:val="es-ES_tradnl"/>
              </w:rPr>
              <w:t>1. La aceptabilidad inicial y continua del SMS de cada proveedor ATS obedece a un enfoque progresivo.</w:t>
            </w:r>
          </w:p>
          <w:p w14:paraId="677D368F" w14:textId="0E6AB242" w:rsidR="00DB7386" w:rsidRPr="00151470" w:rsidRDefault="00DB7386" w:rsidP="00742FBB">
            <w:pPr>
              <w:spacing w:before="240" w:after="0"/>
              <w:rPr>
                <w:lang w:val="es-ES_tradnl"/>
              </w:rPr>
            </w:pPr>
            <w:r w:rsidRPr="000941F8">
              <w:rPr>
                <w:lang w:val="es-ES_tradnl"/>
              </w:rPr>
              <w:t xml:space="preserve">2. Se aplican distintos enfoques para aceptar inicialmente el SMS de </w:t>
            </w:r>
            <w:r>
              <w:rPr>
                <w:lang w:val="es-ES_tradnl"/>
              </w:rPr>
              <w:t>proveedores ATS</w:t>
            </w:r>
            <w:r w:rsidRPr="000941F8">
              <w:rPr>
                <w:lang w:val="es-ES_tradnl"/>
              </w:rPr>
              <w:t xml:space="preserve"> y para observar de manera continua el SMS, cuando procede</w:t>
            </w:r>
            <w:r w:rsidRPr="00151470">
              <w:rPr>
                <w:lang w:val="es-ES_tradnl"/>
              </w:rPr>
              <w:t>.</w:t>
            </w:r>
          </w:p>
          <w:p w14:paraId="49A30CC0" w14:textId="55537793" w:rsidR="00DB7386" w:rsidRPr="0091120E" w:rsidRDefault="00DB7386" w:rsidP="00DB7386">
            <w:pPr>
              <w:spacing w:before="240" w:after="0"/>
              <w:rPr>
                <w:lang w:val="es-ES_tradnl"/>
              </w:rPr>
            </w:pPr>
            <w:r w:rsidRPr="00151470">
              <w:rPr>
                <w:lang w:val="es-ES_tradnl"/>
              </w:rPr>
              <w:t>3. Se aplican distintos</w:t>
            </w:r>
            <w:r w:rsidRPr="000941F8">
              <w:rPr>
                <w:lang w:val="es-ES_tradnl"/>
              </w:rPr>
              <w:t xml:space="preserve"> enfoques al evaluar el SMS de un</w:t>
            </w:r>
            <w:r>
              <w:rPr>
                <w:lang w:val="es-ES_tradnl"/>
              </w:rPr>
              <w:t xml:space="preserve"> proveedor ATS</w:t>
            </w:r>
            <w:r w:rsidRPr="000941F8">
              <w:rPr>
                <w:lang w:val="es-ES_tradnl"/>
              </w:rPr>
              <w:t xml:space="preserve"> complej</w:t>
            </w:r>
            <w:r>
              <w:rPr>
                <w:lang w:val="es-ES_tradnl"/>
              </w:rPr>
              <w:t>o</w:t>
            </w:r>
            <w:r w:rsidRPr="000941F8">
              <w:rPr>
                <w:lang w:val="es-ES_tradnl"/>
              </w:rPr>
              <w:t xml:space="preserve"> y el de un</w:t>
            </w:r>
            <w:r>
              <w:rPr>
                <w:lang w:val="es-ES_tradnl"/>
              </w:rPr>
              <w:t>o</w:t>
            </w:r>
            <w:r w:rsidRPr="000941F8">
              <w:rPr>
                <w:lang w:val="es-ES_tradnl"/>
              </w:rPr>
              <w:t xml:space="preserve"> no complej</w:t>
            </w:r>
            <w:r>
              <w:rPr>
                <w:lang w:val="es-ES_tradnl"/>
              </w:rPr>
              <w:t>o</w:t>
            </w:r>
            <w:r w:rsidRPr="000941F8">
              <w:rPr>
                <w:lang w:val="es-ES_tradnl"/>
              </w:rPr>
              <w:t>, cuando procede.</w:t>
            </w:r>
          </w:p>
          <w:p w14:paraId="0F2D04CF" w14:textId="488732AB" w:rsidR="00DB7386" w:rsidRDefault="00DB7386" w:rsidP="00742FBB">
            <w:pPr>
              <w:spacing w:before="240" w:after="0"/>
              <w:rPr>
                <w:lang w:val="es-ES_tradnl"/>
              </w:rPr>
            </w:pPr>
            <w:r>
              <w:rPr>
                <w:lang w:val="es-ES_tradnl"/>
              </w:rPr>
              <w:t>4</w:t>
            </w:r>
            <w:r w:rsidRPr="0091120E">
              <w:rPr>
                <w:lang w:val="es-ES_tradnl"/>
              </w:rPr>
              <w:t xml:space="preserve">. </w:t>
            </w:r>
            <w:r w:rsidRPr="00EC2A0F">
              <w:rPr>
                <w:lang w:val="es-ES_tradnl"/>
              </w:rPr>
              <w:t>El mecanismo de aceptabilidad continua permite, promueve y alienta la maduración ulterior del SMS de l</w:t>
            </w:r>
            <w:r>
              <w:rPr>
                <w:lang w:val="es-ES_tradnl"/>
              </w:rPr>
              <w:t>os proveedores ATS</w:t>
            </w:r>
            <w:r w:rsidRPr="0091120E">
              <w:rPr>
                <w:lang w:val="es-ES_tradnl"/>
              </w:rPr>
              <w:t xml:space="preserve">. </w:t>
            </w:r>
          </w:p>
          <w:p w14:paraId="2AA63696" w14:textId="6DD83A23" w:rsidR="004B4C22" w:rsidRPr="00E3577C" w:rsidRDefault="00DB7386" w:rsidP="00742FBB">
            <w:pPr>
              <w:spacing w:before="240" w:after="0"/>
              <w:rPr>
                <w:lang w:val="es-ES_tradnl"/>
              </w:rPr>
            </w:pPr>
            <w:r>
              <w:rPr>
                <w:lang w:val="es-ES_tradnl"/>
              </w:rPr>
              <w:t>5</w:t>
            </w:r>
            <w:r w:rsidRPr="0091120E">
              <w:rPr>
                <w:lang w:val="es-ES_tradnl"/>
              </w:rPr>
              <w:t xml:space="preserve">. </w:t>
            </w:r>
            <w:r w:rsidRPr="000942AB">
              <w:rPr>
                <w:lang w:val="es-ES_tradnl"/>
              </w:rPr>
              <w:t xml:space="preserve">El mecanismo para determinar la aceptabilidad inicial y continua del SMS de </w:t>
            </w:r>
            <w:r>
              <w:rPr>
                <w:lang w:val="es-ES_tradnl"/>
              </w:rPr>
              <w:t xml:space="preserve">los proveedores ATS </w:t>
            </w:r>
            <w:r w:rsidRPr="000942AB">
              <w:rPr>
                <w:lang w:val="es-ES_tradnl"/>
              </w:rPr>
              <w:t>se revisa y enmienda periódicamente (de ser necesario).</w:t>
            </w:r>
          </w:p>
          <w:p w14:paraId="182D9425" w14:textId="77777777" w:rsidR="00725220" w:rsidRPr="00E3577C" w:rsidRDefault="00725220" w:rsidP="00725220">
            <w:pPr>
              <w:spacing w:after="0"/>
              <w:rPr>
                <w:lang w:val="es-ES_tradnl"/>
              </w:rPr>
            </w:pPr>
          </w:p>
        </w:tc>
      </w:tr>
      <w:tr w:rsidR="004766DF" w:rsidRPr="00A266BA" w14:paraId="34E82E1B"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E34295"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SSP.ANS.06</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7E28F1" w14:textId="4A706ECE" w:rsidR="00725220" w:rsidRPr="00E3577C" w:rsidRDefault="0090731B" w:rsidP="0090731B">
            <w:pPr>
              <w:spacing w:after="0"/>
              <w:rPr>
                <w:rFonts w:eastAsia="Times New Roman" w:cstheme="minorHAnsi"/>
                <w:lang w:val="es-ES_tradnl" w:eastAsia="en-CA"/>
              </w:rPr>
            </w:pPr>
            <w:r w:rsidRPr="00E3577C">
              <w:rPr>
                <w:rFonts w:eastAsia="Times New Roman" w:cstheme="minorHAnsi"/>
                <w:lang w:val="es-ES_tradnl" w:eastAsia="en-CA"/>
              </w:rPr>
              <w:t>¿Cómo evalúa el Estado la eficacia de los procesos de identificación de peligros y gestión de riesgos de los proveedores ATS?</w:t>
            </w:r>
          </w:p>
        </w:tc>
        <w:tc>
          <w:tcPr>
            <w:tcW w:w="535" w:type="pct"/>
            <w:tcBorders>
              <w:top w:val="single" w:sz="8" w:space="0" w:color="auto"/>
              <w:left w:val="single" w:sz="8" w:space="0" w:color="auto"/>
              <w:bottom w:val="single" w:sz="8" w:space="0" w:color="auto"/>
              <w:right w:val="single" w:sz="8" w:space="0" w:color="auto"/>
            </w:tcBorders>
            <w:vAlign w:val="center"/>
          </w:tcPr>
          <w:p w14:paraId="4DF58515" w14:textId="77777777" w:rsidR="00725220" w:rsidRPr="00E3577C" w:rsidRDefault="00725220" w:rsidP="00725220">
            <w:pPr>
              <w:pStyle w:val="ColumnCenter"/>
              <w:rPr>
                <w:color w:val="auto"/>
                <w:lang w:val="es-ES_tradnl"/>
              </w:rPr>
            </w:pPr>
            <w:r w:rsidRPr="00E3577C">
              <w:rPr>
                <w:color w:val="auto"/>
                <w:lang w:val="es-ES_tradnl"/>
              </w:rPr>
              <w:t>SMM 8.4.7</w:t>
            </w:r>
          </w:p>
        </w:tc>
        <w:tc>
          <w:tcPr>
            <w:tcW w:w="453" w:type="pct"/>
            <w:tcBorders>
              <w:top w:val="single" w:sz="8" w:space="0" w:color="auto"/>
              <w:left w:val="single" w:sz="8" w:space="0" w:color="auto"/>
              <w:bottom w:val="single" w:sz="8" w:space="0" w:color="auto"/>
              <w:right w:val="single" w:sz="8" w:space="0" w:color="auto"/>
            </w:tcBorders>
            <w:vAlign w:val="center"/>
          </w:tcPr>
          <w:p w14:paraId="5EFF672B" w14:textId="49BE67E0" w:rsidR="00725220" w:rsidRPr="00E3577C" w:rsidRDefault="0090731B" w:rsidP="0090731B">
            <w:pPr>
              <w:pStyle w:val="ColumnCenter"/>
              <w:rPr>
                <w:color w:val="auto"/>
                <w:lang w:val="es-ES_tradnl"/>
              </w:rPr>
            </w:pPr>
            <w:r w:rsidRPr="00E3577C">
              <w:rPr>
                <w:color w:val="auto"/>
                <w:lang w:val="es-ES_tradnl"/>
              </w:rPr>
              <w:t>Gestión estatal de los riesgos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0725D615" w14:textId="21096043" w:rsidR="00725220" w:rsidRPr="00E3577C" w:rsidRDefault="0090731B" w:rsidP="0090731B">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5192A7F6" w14:textId="51680AB5" w:rsidR="00725220" w:rsidRPr="00E3577C" w:rsidRDefault="0090731B" w:rsidP="0090731B">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3218D4CD" w14:textId="4ACD5AB2" w:rsidR="004B4C22" w:rsidRPr="00E84FC8" w:rsidRDefault="00B2565C" w:rsidP="006243AE">
            <w:pPr>
              <w:spacing w:after="0"/>
              <w:rPr>
                <w:lang w:val="es-ES_tradnl"/>
              </w:rPr>
            </w:pPr>
            <w:r w:rsidRPr="00E3577C">
              <w:rPr>
                <w:lang w:val="es-ES_tradnl"/>
              </w:rPr>
              <w:t xml:space="preserve">1. Existe un mecanismo para evaluar el registro de peligros de un </w:t>
            </w:r>
            <w:r w:rsidRPr="00E84FC8">
              <w:rPr>
                <w:lang w:val="es-ES_tradnl"/>
              </w:rPr>
              <w:t xml:space="preserve">proveedor ATS, así como las </w:t>
            </w:r>
            <w:r w:rsidR="0069209A" w:rsidRPr="00E84FC8">
              <w:rPr>
                <w:lang w:val="es-ES_tradnl"/>
              </w:rPr>
              <w:t>fuentes</w:t>
            </w:r>
            <w:r w:rsidRPr="00E84FC8">
              <w:rPr>
                <w:lang w:val="es-ES_tradnl"/>
              </w:rPr>
              <w:t xml:space="preserve"> de datos que lo alimentan.</w:t>
            </w:r>
          </w:p>
          <w:p w14:paraId="460A5C38" w14:textId="77777777" w:rsidR="00E84FC8" w:rsidRDefault="00B2565C" w:rsidP="00E84FC8">
            <w:pPr>
              <w:spacing w:before="240" w:after="0"/>
              <w:rPr>
                <w:lang w:val="es-ES_tradnl"/>
              </w:rPr>
            </w:pPr>
            <w:r w:rsidRPr="00E84FC8">
              <w:rPr>
                <w:lang w:val="es-ES_tradnl"/>
              </w:rPr>
              <w:t xml:space="preserve">2. Existe un mecanismo </w:t>
            </w:r>
            <w:r w:rsidR="00965DC4" w:rsidRPr="00E84FC8">
              <w:rPr>
                <w:lang w:val="es-ES_tradnl"/>
              </w:rPr>
              <w:t xml:space="preserve">que permite </w:t>
            </w:r>
            <w:r w:rsidRPr="00E84FC8">
              <w:rPr>
                <w:lang w:val="es-ES_tradnl"/>
              </w:rPr>
              <w:t>documentar el registro de peligros de forma que éste evolucione a lo largo del tiempo.</w:t>
            </w:r>
          </w:p>
          <w:p w14:paraId="1C87305B" w14:textId="17CA46C9" w:rsidR="004B4C22" w:rsidRPr="00E84FC8" w:rsidRDefault="00B2565C" w:rsidP="00E84FC8">
            <w:pPr>
              <w:spacing w:before="240" w:after="0"/>
              <w:rPr>
                <w:lang w:val="es-ES_tradnl"/>
              </w:rPr>
            </w:pPr>
            <w:r w:rsidRPr="00E84FC8">
              <w:rPr>
                <w:lang w:val="es-ES_tradnl"/>
              </w:rPr>
              <w:t>3. Existe un mecanismo para garantizar que todos los peligros que están documentados en el registro se sometan a una evaluación de riesgos.</w:t>
            </w:r>
            <w:r w:rsidR="00725220" w:rsidRPr="00E84FC8">
              <w:rPr>
                <w:lang w:val="es-ES_tradnl"/>
              </w:rPr>
              <w:t xml:space="preserve"> </w:t>
            </w:r>
          </w:p>
          <w:p w14:paraId="627E949D" w14:textId="21F50DF5" w:rsidR="00725220" w:rsidRPr="00E3577C" w:rsidRDefault="00BC7F8E" w:rsidP="00E84FC8">
            <w:pPr>
              <w:spacing w:before="240" w:after="0"/>
              <w:rPr>
                <w:lang w:val="es-ES_tradnl"/>
              </w:rPr>
            </w:pPr>
            <w:r w:rsidRPr="00E84FC8">
              <w:rPr>
                <w:lang w:val="es-ES_tradnl"/>
              </w:rPr>
              <w:t>4</w:t>
            </w:r>
            <w:r w:rsidR="00B2565C" w:rsidRPr="00E84FC8">
              <w:rPr>
                <w:lang w:val="es-ES_tradnl"/>
              </w:rPr>
              <w:t>. Existe un mecanismo para evaluar los procesos de gestión de riesgos</w:t>
            </w:r>
            <w:r w:rsidRPr="00E84FC8">
              <w:rPr>
                <w:lang w:val="es-ES_tradnl"/>
              </w:rPr>
              <w:t xml:space="preserve"> </w:t>
            </w:r>
            <w:r w:rsidR="00B2565C" w:rsidRPr="00E84FC8">
              <w:rPr>
                <w:lang w:val="es-ES_tradnl"/>
              </w:rPr>
              <w:t xml:space="preserve">de </w:t>
            </w:r>
            <w:r w:rsidR="00001E25">
              <w:rPr>
                <w:lang w:val="es-ES_tradnl"/>
              </w:rPr>
              <w:t>un</w:t>
            </w:r>
            <w:r w:rsidR="00B2565C" w:rsidRPr="00E84FC8">
              <w:rPr>
                <w:lang w:val="es-ES_tradnl"/>
              </w:rPr>
              <w:t xml:space="preserve"> proveedor ATS</w:t>
            </w:r>
            <w:r w:rsidRPr="00E84FC8">
              <w:rPr>
                <w:lang w:val="es-ES_tradnl"/>
              </w:rPr>
              <w:t xml:space="preserve">, incluidos los riesgos residuales y </w:t>
            </w:r>
            <w:r w:rsidR="00001E25">
              <w:rPr>
                <w:lang w:val="es-ES_tradnl"/>
              </w:rPr>
              <w:t>aquel</w:t>
            </w:r>
            <w:r w:rsidRPr="00E84FC8">
              <w:rPr>
                <w:lang w:val="es-ES_tradnl"/>
              </w:rPr>
              <w:t>los que pueden afectar</w:t>
            </w:r>
            <w:r w:rsidR="00001E25">
              <w:rPr>
                <w:lang w:val="es-ES_tradnl"/>
              </w:rPr>
              <w:t>le</w:t>
            </w:r>
            <w:r w:rsidRPr="00E84FC8">
              <w:rPr>
                <w:lang w:val="es-ES_tradnl"/>
              </w:rPr>
              <w:t xml:space="preserve">, pero que </w:t>
            </w:r>
            <w:r w:rsidR="00001E25">
              <w:rPr>
                <w:lang w:val="es-ES_tradnl"/>
              </w:rPr>
              <w:t xml:space="preserve">dicho proveedor </w:t>
            </w:r>
            <w:r w:rsidRPr="00E84FC8">
              <w:rPr>
                <w:lang w:val="es-ES_tradnl"/>
              </w:rPr>
              <w:t>no</w:t>
            </w:r>
            <w:r w:rsidR="00001E25">
              <w:rPr>
                <w:lang w:val="es-ES_tradnl"/>
              </w:rPr>
              <w:t xml:space="preserve"> generó</w:t>
            </w:r>
            <w:r w:rsidR="00B2565C" w:rsidRPr="00E3577C">
              <w:rPr>
                <w:lang w:val="es-ES_tradnl"/>
              </w:rPr>
              <w:t>.</w:t>
            </w: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50D90AC8" w14:textId="5B6C4187" w:rsidR="004B4C22" w:rsidRPr="00E3577C" w:rsidRDefault="00B2565C" w:rsidP="00B2565C">
            <w:pPr>
              <w:spacing w:before="360"/>
              <w:rPr>
                <w:lang w:val="es-ES_tradnl"/>
              </w:rPr>
            </w:pPr>
            <w:r w:rsidRPr="00E3577C">
              <w:rPr>
                <w:lang w:val="es-ES_tradnl"/>
              </w:rPr>
              <w:t xml:space="preserve">1. El Estado evalúa periódicamente el registro de peligros de los proveedores ATS, así como las </w:t>
            </w:r>
            <w:r w:rsidR="0069209A">
              <w:rPr>
                <w:lang w:val="es-ES_tradnl"/>
              </w:rPr>
              <w:t>fuentes</w:t>
            </w:r>
            <w:r w:rsidRPr="00E3577C">
              <w:rPr>
                <w:lang w:val="es-ES_tradnl"/>
              </w:rPr>
              <w:t xml:space="preserve"> de datos que lo alimentan, </w:t>
            </w:r>
            <w:r w:rsidR="0036508B">
              <w:rPr>
                <w:lang w:val="es-ES_tradnl"/>
              </w:rPr>
              <w:t>lo</w:t>
            </w:r>
            <w:r w:rsidRPr="00E3577C">
              <w:rPr>
                <w:lang w:val="es-ES_tradnl"/>
              </w:rPr>
              <w:t xml:space="preserve"> que permite al Estado identificar los peligros existentes no registrados, a nivel estatal </w:t>
            </w:r>
            <w:r w:rsidR="00145EC3">
              <w:rPr>
                <w:lang w:val="es-ES_tradnl"/>
              </w:rPr>
              <w:t>o</w:t>
            </w:r>
            <w:r w:rsidRPr="00E3577C">
              <w:rPr>
                <w:lang w:val="es-ES_tradnl"/>
              </w:rPr>
              <w:t xml:space="preserve"> a nivel de cada proveedor ATS.</w:t>
            </w:r>
          </w:p>
          <w:p w14:paraId="22073124" w14:textId="5934DB71" w:rsidR="004B4C22" w:rsidRDefault="00B2565C" w:rsidP="00155595">
            <w:pPr>
              <w:spacing w:before="240" w:after="0"/>
              <w:rPr>
                <w:lang w:val="es-ES_tradnl"/>
              </w:rPr>
            </w:pPr>
            <w:r w:rsidRPr="00E3577C">
              <w:rPr>
                <w:lang w:val="es-ES_tradnl"/>
              </w:rPr>
              <w:t>2. El Estado evalúa periódicamente la evolución del registro de peligros de los proveedores ATS.</w:t>
            </w:r>
          </w:p>
          <w:p w14:paraId="2018EA93" w14:textId="42D99A08" w:rsidR="004B4C22" w:rsidRPr="00E3577C" w:rsidRDefault="00B2565C" w:rsidP="00155595">
            <w:pPr>
              <w:spacing w:before="240" w:after="0"/>
              <w:rPr>
                <w:lang w:val="es-ES_tradnl"/>
              </w:rPr>
            </w:pPr>
            <w:r w:rsidRPr="00E3577C">
              <w:rPr>
                <w:lang w:val="es-ES_tradnl"/>
              </w:rPr>
              <w:t>3. El Estado se asegura de que las medidas de gestión de riesgos (incluida la evaluación de riesgos) se lleven a cabo para cada peligro registrado.</w:t>
            </w:r>
            <w:r w:rsidR="00725220" w:rsidRPr="00E3577C">
              <w:rPr>
                <w:lang w:val="es-ES_tradnl"/>
              </w:rPr>
              <w:t xml:space="preserve"> </w:t>
            </w:r>
          </w:p>
          <w:p w14:paraId="41CE59F6" w14:textId="386A263D" w:rsidR="004B4C22" w:rsidRPr="00E3577C" w:rsidRDefault="00FF133C" w:rsidP="00155595">
            <w:pPr>
              <w:spacing w:before="240" w:after="0"/>
              <w:rPr>
                <w:lang w:val="es-ES_tradnl"/>
              </w:rPr>
            </w:pPr>
            <w:r>
              <w:rPr>
                <w:lang w:val="es-ES_tradnl"/>
              </w:rPr>
              <w:t>4</w:t>
            </w:r>
            <w:r w:rsidR="00B2565C" w:rsidRPr="00E3577C">
              <w:rPr>
                <w:lang w:val="es-ES_tradnl"/>
              </w:rPr>
              <w:t>. Se evalúan periódicamente los procesos de gestión de riesgos</w:t>
            </w:r>
            <w:r>
              <w:rPr>
                <w:lang w:val="es-ES_tradnl"/>
              </w:rPr>
              <w:t xml:space="preserve"> </w:t>
            </w:r>
            <w:r w:rsidR="00B2565C" w:rsidRPr="00E3577C">
              <w:rPr>
                <w:lang w:val="es-ES_tradnl"/>
              </w:rPr>
              <w:t xml:space="preserve">de </w:t>
            </w:r>
            <w:r w:rsidR="006B668D">
              <w:rPr>
                <w:lang w:val="es-ES_tradnl"/>
              </w:rPr>
              <w:t>cada</w:t>
            </w:r>
            <w:r w:rsidR="00B2565C" w:rsidRPr="00E3577C">
              <w:rPr>
                <w:lang w:val="es-ES_tradnl"/>
              </w:rPr>
              <w:t xml:space="preserve"> proveedor ATS</w:t>
            </w:r>
            <w:r w:rsidR="005C6749">
              <w:rPr>
                <w:lang w:val="es-ES_tradnl"/>
              </w:rPr>
              <w:t>,</w:t>
            </w:r>
            <w:r w:rsidRPr="00E84FC8">
              <w:rPr>
                <w:lang w:val="es-ES_tradnl"/>
              </w:rPr>
              <w:t xml:space="preserve"> incluidos los riesgos residuales y </w:t>
            </w:r>
            <w:r w:rsidR="006B668D">
              <w:rPr>
                <w:lang w:val="es-ES_tradnl"/>
              </w:rPr>
              <w:t>aquel</w:t>
            </w:r>
            <w:r w:rsidR="006B668D" w:rsidRPr="00E84FC8">
              <w:rPr>
                <w:lang w:val="es-ES_tradnl"/>
              </w:rPr>
              <w:t>los que pueden afectar</w:t>
            </w:r>
            <w:r w:rsidR="006B668D">
              <w:rPr>
                <w:lang w:val="es-ES_tradnl"/>
              </w:rPr>
              <w:t>le</w:t>
            </w:r>
            <w:r w:rsidRPr="00E84FC8">
              <w:rPr>
                <w:lang w:val="es-ES_tradnl"/>
              </w:rPr>
              <w:t xml:space="preserve">, pero que </w:t>
            </w:r>
            <w:r w:rsidR="006B668D">
              <w:rPr>
                <w:lang w:val="es-ES_tradnl"/>
              </w:rPr>
              <w:t>el proveedor ATS no generó</w:t>
            </w:r>
            <w:r w:rsidR="00B2565C" w:rsidRPr="00E3577C">
              <w:rPr>
                <w:lang w:val="es-ES_tradnl"/>
              </w:rPr>
              <w:t>.</w:t>
            </w:r>
            <w:r w:rsidR="00725220" w:rsidRPr="00E3577C">
              <w:rPr>
                <w:lang w:val="es-ES_tradnl"/>
              </w:rPr>
              <w:t xml:space="preserve">  </w:t>
            </w:r>
          </w:p>
          <w:p w14:paraId="78A6DFE4" w14:textId="60193335" w:rsidR="00725220" w:rsidRPr="00E3577C" w:rsidRDefault="00725220" w:rsidP="00725220">
            <w:pPr>
              <w:spacing w:after="0"/>
              <w:rPr>
                <w:lang w:val="es-ES_tradnl"/>
              </w:rPr>
            </w:pPr>
          </w:p>
        </w:tc>
      </w:tr>
      <w:tr w:rsidR="004766DF" w:rsidRPr="00A266BA" w14:paraId="0046048D"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3D9A73"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SSP.ANS.07</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5B030C" w14:textId="3C9804FB" w:rsidR="00725220" w:rsidRPr="00E3577C" w:rsidRDefault="00B2565C" w:rsidP="00B2565C">
            <w:pPr>
              <w:spacing w:after="0"/>
              <w:rPr>
                <w:rFonts w:eastAsia="Times New Roman" w:cstheme="minorHAnsi"/>
                <w:lang w:val="es-ES_tradnl" w:eastAsia="en-CA"/>
              </w:rPr>
            </w:pPr>
            <w:r w:rsidRPr="00E3577C">
              <w:rPr>
                <w:rFonts w:eastAsia="Times New Roman" w:cstheme="minorHAnsi"/>
                <w:lang w:val="es-ES_tradnl" w:eastAsia="en-CA"/>
              </w:rPr>
              <w:t>¿Cómo garantiza el Estado que los proveedores ATS monitoreen y analicen datos sobre seguridad operacional para identificar tendencias y tomar medidas apropiadas cuando es necesario?</w:t>
            </w:r>
          </w:p>
        </w:tc>
        <w:tc>
          <w:tcPr>
            <w:tcW w:w="535" w:type="pct"/>
            <w:tcBorders>
              <w:top w:val="single" w:sz="8" w:space="0" w:color="auto"/>
              <w:left w:val="single" w:sz="8" w:space="0" w:color="auto"/>
              <w:bottom w:val="single" w:sz="8" w:space="0" w:color="auto"/>
              <w:right w:val="single" w:sz="8" w:space="0" w:color="auto"/>
            </w:tcBorders>
            <w:vAlign w:val="center"/>
          </w:tcPr>
          <w:p w14:paraId="1690B1F6" w14:textId="77777777" w:rsidR="00725220" w:rsidRPr="00E3577C" w:rsidRDefault="00725220" w:rsidP="00725220">
            <w:pPr>
              <w:pStyle w:val="ColumnCenter"/>
              <w:rPr>
                <w:color w:val="auto"/>
                <w:lang w:val="es-ES_tradnl"/>
              </w:rPr>
            </w:pPr>
            <w:r w:rsidRPr="00E3577C">
              <w:rPr>
                <w:color w:val="auto"/>
                <w:lang w:val="es-ES_tradnl"/>
              </w:rPr>
              <w:t>SMM 8.4.7</w:t>
            </w:r>
          </w:p>
        </w:tc>
        <w:tc>
          <w:tcPr>
            <w:tcW w:w="453" w:type="pct"/>
            <w:tcBorders>
              <w:top w:val="single" w:sz="8" w:space="0" w:color="auto"/>
              <w:left w:val="single" w:sz="8" w:space="0" w:color="auto"/>
              <w:bottom w:val="single" w:sz="8" w:space="0" w:color="auto"/>
              <w:right w:val="single" w:sz="8" w:space="0" w:color="auto"/>
            </w:tcBorders>
            <w:vAlign w:val="center"/>
          </w:tcPr>
          <w:p w14:paraId="4807F299" w14:textId="0374C5E9" w:rsidR="00725220" w:rsidRPr="00E3577C" w:rsidRDefault="00B2565C" w:rsidP="00B2565C">
            <w:pPr>
              <w:pStyle w:val="ColumnCenter"/>
              <w:rPr>
                <w:color w:val="auto"/>
                <w:lang w:val="es-ES_tradnl"/>
              </w:rPr>
            </w:pPr>
            <w:r w:rsidRPr="00E3577C">
              <w:rPr>
                <w:color w:val="auto"/>
                <w:lang w:val="es-ES_tradnl"/>
              </w:rPr>
              <w:t>Gestión estatal de los riesgos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73F2B551" w14:textId="25583E16" w:rsidR="00725220" w:rsidRPr="00E3577C" w:rsidRDefault="00B2565C" w:rsidP="00B2565C">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4122C72E" w14:textId="4A2C265F" w:rsidR="00725220" w:rsidRPr="00E3577C" w:rsidRDefault="00B2565C" w:rsidP="00B2565C">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4638283D" w14:textId="56DBD213" w:rsidR="004B4C22" w:rsidRPr="00E3577C" w:rsidRDefault="00B2565C" w:rsidP="00173792">
            <w:pPr>
              <w:rPr>
                <w:lang w:val="es-ES_tradnl"/>
              </w:rPr>
            </w:pPr>
            <w:r w:rsidRPr="00E3577C">
              <w:rPr>
                <w:lang w:val="es-ES_tradnl"/>
              </w:rPr>
              <w:t>1. Existe un mecanismo para garantizar que los proveedores ATS identifiquen tendencias, riesgos de seguridad operacional y problemas emergentes.</w:t>
            </w:r>
          </w:p>
          <w:p w14:paraId="63E90666" w14:textId="7C29274B" w:rsidR="004B4C22" w:rsidRPr="00E3577C" w:rsidRDefault="00B2565C" w:rsidP="00DD2108">
            <w:pPr>
              <w:spacing w:after="0"/>
              <w:rPr>
                <w:lang w:val="es-ES_tradnl"/>
              </w:rPr>
            </w:pPr>
            <w:r w:rsidRPr="00E3577C">
              <w:rPr>
                <w:lang w:val="es-ES_tradnl"/>
              </w:rPr>
              <w:t xml:space="preserve">2. Existe un mecanismo para garantizar que los proveedores ATS vigilen y analicen sucesos de seguridad operacional, </w:t>
            </w:r>
            <w:r w:rsidR="00CE7C11">
              <w:rPr>
                <w:lang w:val="es-ES_tradnl"/>
              </w:rPr>
              <w:t>a</w:t>
            </w:r>
            <w:r w:rsidR="00CE7C11">
              <w:rPr>
                <w:lang w:val="es-MX"/>
              </w:rPr>
              <w:t>sí como</w:t>
            </w:r>
            <w:r w:rsidRPr="00E3577C">
              <w:rPr>
                <w:lang w:val="es-ES_tradnl"/>
              </w:rPr>
              <w:t xml:space="preserve"> los informes obligatorios, voluntarios e internos.</w:t>
            </w:r>
            <w:r w:rsidR="00725220" w:rsidRPr="00E3577C">
              <w:rPr>
                <w:lang w:val="es-ES_tradnl"/>
              </w:rPr>
              <w:t xml:space="preserve"> </w:t>
            </w:r>
          </w:p>
          <w:p w14:paraId="5682E65D" w14:textId="295C6657" w:rsidR="004B4C22" w:rsidRDefault="00B2565C" w:rsidP="00DD2108">
            <w:pPr>
              <w:spacing w:after="0"/>
              <w:rPr>
                <w:lang w:val="es-ES_tradnl"/>
              </w:rPr>
            </w:pPr>
            <w:r w:rsidRPr="00E3577C">
              <w:rPr>
                <w:lang w:val="es-ES_tradnl"/>
              </w:rPr>
              <w:t>3. Existe un mecanismo para garantizar que los proveedores ATS utilicen todas las fuentes pertinentes de alimentación de datos, a fin de tener una idea real de su rendimiento en materia de seguridad operacional.</w:t>
            </w:r>
          </w:p>
          <w:p w14:paraId="2C1FE369" w14:textId="518871A7" w:rsidR="004B4C22" w:rsidRPr="00E3577C" w:rsidRDefault="00B2565C" w:rsidP="00DD2108">
            <w:pPr>
              <w:spacing w:after="0"/>
              <w:rPr>
                <w:lang w:val="es-ES_tradnl"/>
              </w:rPr>
            </w:pPr>
            <w:r w:rsidRPr="00E3577C">
              <w:rPr>
                <w:lang w:val="es-ES_tradnl"/>
              </w:rPr>
              <w:t>4. Existe un mecanismo para garantizar que los proveedores ATS tomen las medidas apropiadas, cuando es necesario.</w:t>
            </w:r>
          </w:p>
          <w:p w14:paraId="112C7ECB" w14:textId="1AC5AA38" w:rsidR="00725220" w:rsidRPr="00E3577C" w:rsidRDefault="00725220" w:rsidP="00725220">
            <w:pPr>
              <w:spacing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3F898EC3" w14:textId="7F09D0AE" w:rsidR="004B4C22" w:rsidRPr="00E3577C" w:rsidRDefault="00B2565C" w:rsidP="00B2565C">
            <w:pPr>
              <w:rPr>
                <w:lang w:val="es-ES_tradnl"/>
              </w:rPr>
            </w:pPr>
            <w:r w:rsidRPr="00E3577C">
              <w:rPr>
                <w:lang w:val="es-ES_tradnl"/>
              </w:rPr>
              <w:t xml:space="preserve">1. Los proveedores ATS identifican tendencias, riesgos de seguridad operacional y problemas emergentes sistemática y continuamente, </w:t>
            </w:r>
            <w:r w:rsidR="00337928">
              <w:rPr>
                <w:lang w:val="es-ES_tradnl"/>
              </w:rPr>
              <w:t>lo</w:t>
            </w:r>
            <w:r w:rsidRPr="00E3577C">
              <w:rPr>
                <w:lang w:val="es-ES_tradnl"/>
              </w:rPr>
              <w:t xml:space="preserve"> que permite tomar decisiones basadas en datos.</w:t>
            </w:r>
            <w:r w:rsidR="00725220" w:rsidRPr="00E3577C">
              <w:rPr>
                <w:lang w:val="es-ES_tradnl"/>
              </w:rPr>
              <w:t xml:space="preserve"> </w:t>
            </w:r>
          </w:p>
          <w:p w14:paraId="2CAC4872" w14:textId="4A1D94AE" w:rsidR="004B4C22" w:rsidRPr="00E3577C" w:rsidRDefault="00B2565C" w:rsidP="00DD2108">
            <w:pPr>
              <w:spacing w:after="0"/>
              <w:rPr>
                <w:lang w:val="es-ES_tradnl"/>
              </w:rPr>
            </w:pPr>
            <w:r w:rsidRPr="00E3577C">
              <w:rPr>
                <w:lang w:val="es-ES_tradnl"/>
              </w:rPr>
              <w:t xml:space="preserve">2. Los proveedores ATS vigilan y analizan periódicamente sucesos de seguridad operacional, </w:t>
            </w:r>
            <w:r w:rsidR="00CE7C11">
              <w:rPr>
                <w:lang w:val="es-ES_tradnl"/>
              </w:rPr>
              <w:t>a</w:t>
            </w:r>
            <w:r w:rsidR="00CE7C11">
              <w:rPr>
                <w:lang w:val="es-MX"/>
              </w:rPr>
              <w:t>sí como</w:t>
            </w:r>
            <w:r w:rsidR="00CE7C11" w:rsidRPr="00E3577C">
              <w:rPr>
                <w:lang w:val="es-ES_tradnl"/>
              </w:rPr>
              <w:t xml:space="preserve"> </w:t>
            </w:r>
            <w:r w:rsidRPr="00E3577C">
              <w:rPr>
                <w:lang w:val="es-ES_tradnl"/>
              </w:rPr>
              <w:t xml:space="preserve">los informes obligatorios, voluntarios e internos, </w:t>
            </w:r>
            <w:r w:rsidR="00337928">
              <w:rPr>
                <w:lang w:val="es-ES_tradnl"/>
              </w:rPr>
              <w:t xml:space="preserve">lo </w:t>
            </w:r>
            <w:r w:rsidRPr="00E3577C">
              <w:rPr>
                <w:lang w:val="es-ES_tradnl"/>
              </w:rPr>
              <w:t>que permite tomar decisiones basadas en datos.</w:t>
            </w:r>
          </w:p>
          <w:p w14:paraId="0C6C9D12" w14:textId="0A340F77" w:rsidR="004B4C22" w:rsidRPr="00E3577C" w:rsidRDefault="00725220" w:rsidP="00DD2108">
            <w:pPr>
              <w:spacing w:after="0"/>
              <w:rPr>
                <w:lang w:val="es-ES_tradnl"/>
              </w:rPr>
            </w:pPr>
            <w:r w:rsidRPr="00E3577C">
              <w:rPr>
                <w:lang w:val="es-ES_tradnl"/>
              </w:rPr>
              <w:t xml:space="preserve"> </w:t>
            </w:r>
            <w:r w:rsidR="00B2565C" w:rsidRPr="00E3577C">
              <w:rPr>
                <w:lang w:val="es-ES_tradnl"/>
              </w:rPr>
              <w:t xml:space="preserve">3. Todas las fuentes pertinentes de alimentación de datos se optimizan y </w:t>
            </w:r>
            <w:r w:rsidR="00F90EEC">
              <w:rPr>
                <w:lang w:val="es-ES_tradnl"/>
              </w:rPr>
              <w:t xml:space="preserve">se </w:t>
            </w:r>
            <w:r w:rsidR="00B2565C" w:rsidRPr="00E3577C">
              <w:rPr>
                <w:lang w:val="es-ES_tradnl"/>
              </w:rPr>
              <w:t>utilizan eficazmente para tener una idea real del rendimiento en materia de seguridad operacional de los proveedores ATS.</w:t>
            </w:r>
          </w:p>
          <w:p w14:paraId="681BDCAD" w14:textId="77777777" w:rsidR="00725220" w:rsidRDefault="00B2565C" w:rsidP="00DD2108">
            <w:pPr>
              <w:spacing w:after="0"/>
              <w:rPr>
                <w:lang w:val="es-ES_tradnl"/>
              </w:rPr>
            </w:pPr>
            <w:r w:rsidRPr="00E3577C">
              <w:rPr>
                <w:lang w:val="es-ES_tradnl"/>
              </w:rPr>
              <w:t>4. Las medidas apropiadas que se toman, cuando es necesario, influyen positivamente en el rendimiento en materia de seguridad operacional de los proveedores ATS.</w:t>
            </w:r>
          </w:p>
          <w:p w14:paraId="42EC5A03" w14:textId="5C208F07" w:rsidR="00F90EEC" w:rsidRPr="00E3577C" w:rsidRDefault="00F90EEC" w:rsidP="00F90EEC">
            <w:pPr>
              <w:spacing w:before="0" w:after="0"/>
              <w:rPr>
                <w:lang w:val="es-ES_tradnl"/>
              </w:rPr>
            </w:pPr>
          </w:p>
        </w:tc>
      </w:tr>
      <w:tr w:rsidR="004766DF" w:rsidRPr="00A266BA" w14:paraId="0A67AD3D"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295870"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SSP.ANS.08</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232718A" w14:textId="3F19ABFA" w:rsidR="00725220" w:rsidRPr="00E3577C" w:rsidRDefault="00B2565C" w:rsidP="00B2565C">
            <w:pPr>
              <w:spacing w:after="0"/>
              <w:rPr>
                <w:rFonts w:eastAsia="Times New Roman" w:cstheme="minorHAnsi"/>
                <w:lang w:val="es-ES_tradnl" w:eastAsia="en-CA"/>
              </w:rPr>
            </w:pPr>
            <w:r w:rsidRPr="00E3577C">
              <w:rPr>
                <w:rFonts w:eastAsia="Times New Roman" w:cstheme="minorHAnsi"/>
                <w:lang w:val="es-ES_tradnl" w:eastAsia="en-CA"/>
              </w:rPr>
              <w:t>¿De qué manera el Estado revisa y vigila los indicadores de rendimiento en materia de seguridad operacional (SPI), los niveles de alerta y los niveles deseados, si procede, de cada proveedor ATS?</w:t>
            </w:r>
          </w:p>
        </w:tc>
        <w:tc>
          <w:tcPr>
            <w:tcW w:w="535" w:type="pct"/>
            <w:tcBorders>
              <w:top w:val="single" w:sz="8" w:space="0" w:color="auto"/>
              <w:left w:val="single" w:sz="8" w:space="0" w:color="auto"/>
              <w:bottom w:val="single" w:sz="8" w:space="0" w:color="auto"/>
              <w:right w:val="single" w:sz="8" w:space="0" w:color="auto"/>
            </w:tcBorders>
            <w:vAlign w:val="center"/>
          </w:tcPr>
          <w:p w14:paraId="443AB3D3" w14:textId="77777777" w:rsidR="00725220" w:rsidRPr="00E3577C" w:rsidRDefault="00725220" w:rsidP="00725220">
            <w:pPr>
              <w:pStyle w:val="ColumnCenter"/>
              <w:rPr>
                <w:color w:val="auto"/>
                <w:lang w:val="es-ES_tradnl"/>
              </w:rPr>
            </w:pPr>
            <w:r w:rsidRPr="00E3577C">
              <w:rPr>
                <w:color w:val="auto"/>
                <w:lang w:val="es-ES_tradnl"/>
              </w:rPr>
              <w:t>SMM 8.4.7</w:t>
            </w:r>
          </w:p>
        </w:tc>
        <w:tc>
          <w:tcPr>
            <w:tcW w:w="453" w:type="pct"/>
            <w:tcBorders>
              <w:top w:val="single" w:sz="8" w:space="0" w:color="auto"/>
              <w:left w:val="single" w:sz="8" w:space="0" w:color="auto"/>
              <w:bottom w:val="single" w:sz="8" w:space="0" w:color="auto"/>
              <w:right w:val="single" w:sz="8" w:space="0" w:color="auto"/>
            </w:tcBorders>
            <w:vAlign w:val="center"/>
          </w:tcPr>
          <w:p w14:paraId="1B1178E6" w14:textId="2BDE87C8" w:rsidR="00725220" w:rsidRPr="00E3577C" w:rsidRDefault="00B2565C" w:rsidP="00B2565C">
            <w:pPr>
              <w:pStyle w:val="ColumnCenter"/>
              <w:rPr>
                <w:color w:val="auto"/>
                <w:lang w:val="es-ES_tradnl"/>
              </w:rPr>
            </w:pPr>
            <w:r w:rsidRPr="00E3577C">
              <w:rPr>
                <w:color w:val="auto"/>
                <w:lang w:val="es-ES_tradnl"/>
              </w:rPr>
              <w:t>Gestión estatal de los riesgos de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0857E1D4" w14:textId="4CA8140A" w:rsidR="00725220" w:rsidRPr="00E3577C" w:rsidRDefault="00B2565C" w:rsidP="00B2565C">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2E7F466D" w14:textId="5740E88E" w:rsidR="00725220" w:rsidRPr="00E3577C" w:rsidRDefault="00B2565C" w:rsidP="00B2565C">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23C170CD" w14:textId="3D44D81B" w:rsidR="004B4C22" w:rsidRPr="00E3577C" w:rsidRDefault="00B2565C" w:rsidP="0079174E">
            <w:pPr>
              <w:spacing w:before="720" w:after="0"/>
              <w:rPr>
                <w:lang w:val="es-ES_tradnl"/>
              </w:rPr>
            </w:pPr>
            <w:r w:rsidRPr="00E3577C">
              <w:rPr>
                <w:lang w:val="es-ES_tradnl"/>
              </w:rPr>
              <w:t xml:space="preserve">1. Existe un mecanismo para aceptar y vigilar </w:t>
            </w:r>
            <w:r w:rsidR="00D724D8">
              <w:rPr>
                <w:lang w:val="es-ES_tradnl"/>
              </w:rPr>
              <w:t>periódicamente</w:t>
            </w:r>
            <w:r w:rsidRPr="00E3577C">
              <w:rPr>
                <w:lang w:val="es-ES_tradnl"/>
              </w:rPr>
              <w:t xml:space="preserve"> los SPI, las</w:t>
            </w:r>
            <w:r w:rsidR="009504F9">
              <w:rPr>
                <w:lang w:val="es-ES_tradnl"/>
              </w:rPr>
              <w:t xml:space="preserve"> metas</w:t>
            </w:r>
            <w:r w:rsidRPr="00E3577C">
              <w:rPr>
                <w:lang w:val="es-ES_tradnl"/>
              </w:rPr>
              <w:t xml:space="preserve"> SPT y los niveles de alerta de cada proveedor ATS.</w:t>
            </w:r>
          </w:p>
          <w:p w14:paraId="5F59A58B" w14:textId="04DFB2BA" w:rsidR="004B4C22" w:rsidRPr="00E3577C" w:rsidRDefault="00B2565C" w:rsidP="00F12941">
            <w:pPr>
              <w:spacing w:before="240" w:after="0"/>
              <w:rPr>
                <w:lang w:val="es-ES_tradnl"/>
              </w:rPr>
            </w:pPr>
            <w:r w:rsidRPr="00E3577C">
              <w:rPr>
                <w:lang w:val="es-ES_tradnl"/>
              </w:rPr>
              <w:t xml:space="preserve">2. Existe un mecanismo para garantizar que los SPI de los proveedores ATS </w:t>
            </w:r>
            <w:r w:rsidR="00D724D8">
              <w:rPr>
                <w:lang w:val="es-ES_tradnl"/>
              </w:rPr>
              <w:t xml:space="preserve">sean </w:t>
            </w:r>
            <w:r w:rsidRPr="00E3577C">
              <w:rPr>
                <w:lang w:val="es-ES_tradnl"/>
              </w:rPr>
              <w:t>SMART.</w:t>
            </w:r>
          </w:p>
          <w:p w14:paraId="509EA7A8" w14:textId="4C223378" w:rsidR="004B4C22" w:rsidRPr="00E3577C" w:rsidRDefault="00B2565C" w:rsidP="00F12941">
            <w:pPr>
              <w:spacing w:before="240" w:after="0"/>
              <w:rPr>
                <w:lang w:val="es-ES_tradnl"/>
              </w:rPr>
            </w:pPr>
            <w:r w:rsidRPr="00E3577C">
              <w:rPr>
                <w:lang w:val="es-ES_tradnl"/>
              </w:rPr>
              <w:t>3. Existe un mecanismo para garantizar que cada proveedor ATS equilibre sus SPI, incorporando indicadores avanzados y de resultados, así como SPI a nivel estatal y autogenerados.</w:t>
            </w:r>
          </w:p>
          <w:p w14:paraId="577DB63F" w14:textId="6F38E94A" w:rsidR="004B4C22" w:rsidRPr="00E3577C" w:rsidRDefault="00B2565C" w:rsidP="00F12941">
            <w:pPr>
              <w:spacing w:before="240" w:after="0"/>
              <w:rPr>
                <w:lang w:val="es-ES_tradnl"/>
              </w:rPr>
            </w:pPr>
            <w:r w:rsidRPr="00E3577C">
              <w:rPr>
                <w:lang w:val="es-ES_tradnl"/>
              </w:rPr>
              <w:t xml:space="preserve">4. Existe un mecanismo para </w:t>
            </w:r>
            <w:r w:rsidR="001559BB">
              <w:rPr>
                <w:lang w:val="es-ES_tradnl"/>
              </w:rPr>
              <w:t>vigil</w:t>
            </w:r>
            <w:r w:rsidRPr="00E3577C">
              <w:rPr>
                <w:lang w:val="es-ES_tradnl"/>
              </w:rPr>
              <w:t xml:space="preserve">ar sistemáticamente los niveles de alerta y garantizar que los proveedores ATS hayan definido las medidas necesarias en caso de </w:t>
            </w:r>
            <w:r w:rsidR="00D376D3">
              <w:rPr>
                <w:lang w:val="es-ES_tradnl"/>
              </w:rPr>
              <w:t xml:space="preserve">alcanzarse </w:t>
            </w:r>
            <w:r w:rsidRPr="00E3577C">
              <w:rPr>
                <w:lang w:val="es-ES_tradnl"/>
              </w:rPr>
              <w:t>un nivel de alerta.</w:t>
            </w:r>
            <w:r w:rsidR="00725220" w:rsidRPr="00E3577C">
              <w:rPr>
                <w:lang w:val="es-ES_tradnl"/>
              </w:rPr>
              <w:t xml:space="preserve">  </w:t>
            </w:r>
          </w:p>
          <w:p w14:paraId="55B74A03" w14:textId="77777777" w:rsidR="0079174E" w:rsidRDefault="0079174E" w:rsidP="00F12941">
            <w:pPr>
              <w:spacing w:before="240" w:after="0"/>
              <w:rPr>
                <w:lang w:val="es-ES_tradnl"/>
              </w:rPr>
            </w:pPr>
          </w:p>
          <w:p w14:paraId="74F602B8" w14:textId="0C1D28EA" w:rsidR="004B4C22" w:rsidRPr="00E3577C" w:rsidRDefault="00B2565C" w:rsidP="004B3E79">
            <w:pPr>
              <w:spacing w:after="0"/>
              <w:rPr>
                <w:lang w:val="es-ES_tradnl"/>
              </w:rPr>
            </w:pPr>
            <w:r w:rsidRPr="00E3577C">
              <w:rPr>
                <w:lang w:val="es-ES_tradnl"/>
              </w:rPr>
              <w:lastRenderedPageBreak/>
              <w:t xml:space="preserve">5. Existe un mecanismo </w:t>
            </w:r>
            <w:r w:rsidR="00B5252D">
              <w:rPr>
                <w:lang w:val="es-ES_tradnl"/>
              </w:rPr>
              <w:t>que permite</w:t>
            </w:r>
            <w:r w:rsidRPr="00E3577C">
              <w:rPr>
                <w:lang w:val="es-ES_tradnl"/>
              </w:rPr>
              <w:t xml:space="preserve"> documentar los conjuntos previos de SPI de los proveedores ATS, de forma que </w:t>
            </w:r>
            <w:r w:rsidR="00B5252D">
              <w:rPr>
                <w:lang w:val="es-ES_tradnl"/>
              </w:rPr>
              <w:t xml:space="preserve">el </w:t>
            </w:r>
            <w:r w:rsidRPr="00E3577C">
              <w:rPr>
                <w:lang w:val="es-ES_tradnl"/>
              </w:rPr>
              <w:t xml:space="preserve">Estado </w:t>
            </w:r>
            <w:r w:rsidR="00B5252D">
              <w:rPr>
                <w:lang w:val="es-ES_tradnl"/>
              </w:rPr>
              <w:t xml:space="preserve">pueda </w:t>
            </w:r>
            <w:r w:rsidRPr="00E3577C">
              <w:rPr>
                <w:lang w:val="es-ES_tradnl"/>
              </w:rPr>
              <w:t>evaluar, a lo largo del tiempo, el grado de maduración del SMS de los proveedores ATS.</w:t>
            </w:r>
          </w:p>
          <w:p w14:paraId="2CD96BDA" w14:textId="77777777" w:rsidR="00725220" w:rsidRPr="00E3577C" w:rsidRDefault="00725220" w:rsidP="00725220">
            <w:pPr>
              <w:spacing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2DADE31B" w14:textId="49D67589" w:rsidR="004B4C22" w:rsidRPr="00E3577C" w:rsidRDefault="00B2565C" w:rsidP="00EA0DC0">
            <w:pPr>
              <w:spacing w:before="0" w:after="0"/>
              <w:rPr>
                <w:lang w:val="es-ES_tradnl"/>
              </w:rPr>
            </w:pPr>
            <w:r w:rsidRPr="00E3577C">
              <w:rPr>
                <w:lang w:val="es-ES_tradnl"/>
              </w:rPr>
              <w:lastRenderedPageBreak/>
              <w:t>1. El Estado aceptó los SPI, las SPT y los niveles de alerta de los proveedores ATS, con base en datos pertinentes, los cuales se vigilan</w:t>
            </w:r>
            <w:r w:rsidR="00D724D8">
              <w:rPr>
                <w:lang w:val="es-ES_tradnl"/>
              </w:rPr>
              <w:t xml:space="preserve"> periódicamente</w:t>
            </w:r>
            <w:r w:rsidRPr="00E3577C">
              <w:rPr>
                <w:lang w:val="es-ES_tradnl"/>
              </w:rPr>
              <w:t>.</w:t>
            </w:r>
          </w:p>
          <w:p w14:paraId="58835BA2" w14:textId="5358216B" w:rsidR="004B4C22" w:rsidRPr="00E3577C" w:rsidRDefault="00B2565C" w:rsidP="00F12941">
            <w:pPr>
              <w:spacing w:before="240" w:after="0"/>
              <w:rPr>
                <w:lang w:val="es-ES_tradnl"/>
              </w:rPr>
            </w:pPr>
            <w:r w:rsidRPr="00E3577C">
              <w:rPr>
                <w:lang w:val="es-ES_tradnl"/>
              </w:rPr>
              <w:t>2. Los SPI de los proveedores ATS s</w:t>
            </w:r>
            <w:r w:rsidR="00D724D8">
              <w:rPr>
                <w:lang w:val="es-ES_tradnl"/>
              </w:rPr>
              <w:t>on</w:t>
            </w:r>
            <w:r w:rsidRPr="00E3577C">
              <w:rPr>
                <w:lang w:val="es-ES_tradnl"/>
              </w:rPr>
              <w:t xml:space="preserve"> SMART</w:t>
            </w:r>
            <w:r w:rsidR="00D724D8">
              <w:rPr>
                <w:lang w:val="es-ES_tradnl"/>
              </w:rPr>
              <w:t>.</w:t>
            </w:r>
          </w:p>
          <w:p w14:paraId="348F563B" w14:textId="0739F3DD" w:rsidR="004B4C22" w:rsidRPr="00E3577C" w:rsidRDefault="00B2565C" w:rsidP="00F12941">
            <w:pPr>
              <w:spacing w:before="240" w:after="0"/>
              <w:rPr>
                <w:lang w:val="es-ES_tradnl"/>
              </w:rPr>
            </w:pPr>
            <w:r w:rsidRPr="00E3577C">
              <w:rPr>
                <w:lang w:val="es-ES_tradnl"/>
              </w:rPr>
              <w:t xml:space="preserve">3. </w:t>
            </w:r>
            <w:r w:rsidR="00E763E5">
              <w:rPr>
                <w:lang w:val="es-ES_tradnl"/>
              </w:rPr>
              <w:t>L</w:t>
            </w:r>
            <w:r w:rsidRPr="00E3577C">
              <w:rPr>
                <w:lang w:val="es-ES_tradnl"/>
              </w:rPr>
              <w:t xml:space="preserve">os SPI </w:t>
            </w:r>
            <w:r w:rsidR="00E763E5">
              <w:rPr>
                <w:lang w:val="es-ES_tradnl"/>
              </w:rPr>
              <w:t xml:space="preserve">están equilibrados </w:t>
            </w:r>
            <w:r w:rsidRPr="00E3577C">
              <w:rPr>
                <w:lang w:val="es-ES_tradnl"/>
              </w:rPr>
              <w:t>(avanzados/de resultados, a nivel estatal/ autogenerados)</w:t>
            </w:r>
            <w:r w:rsidR="00E763E5">
              <w:rPr>
                <w:lang w:val="es-ES_tradnl"/>
              </w:rPr>
              <w:t>,</w:t>
            </w:r>
            <w:r w:rsidRPr="00E3577C">
              <w:rPr>
                <w:lang w:val="es-ES_tradnl"/>
              </w:rPr>
              <w:t xml:space="preserve"> representan de manera exacta el panorama de riesgos de cada proveedor ATS y pueden servir como herramienta para observar su rendimiento en materia de seguridad operacional.</w:t>
            </w:r>
          </w:p>
          <w:p w14:paraId="4E21F27D" w14:textId="27E14ECE" w:rsidR="004B4C22" w:rsidRPr="00E3577C" w:rsidRDefault="00B2565C" w:rsidP="00F12941">
            <w:pPr>
              <w:spacing w:before="240" w:after="0"/>
              <w:rPr>
                <w:lang w:val="es-ES_tradnl"/>
              </w:rPr>
            </w:pPr>
            <w:r w:rsidRPr="00E3577C">
              <w:rPr>
                <w:lang w:val="es-ES_tradnl"/>
              </w:rPr>
              <w:t xml:space="preserve">4. En caso de </w:t>
            </w:r>
            <w:r w:rsidR="00E90FDC">
              <w:rPr>
                <w:lang w:val="es-ES_tradnl"/>
              </w:rPr>
              <w:t>alcanzarse</w:t>
            </w:r>
            <w:r w:rsidRPr="00E3577C">
              <w:rPr>
                <w:lang w:val="es-ES_tradnl"/>
              </w:rPr>
              <w:t xml:space="preserve"> niveles de alerta, los proveedores ATS o el Estado toman </w:t>
            </w:r>
            <w:r w:rsidR="006D2884">
              <w:rPr>
                <w:lang w:val="es-ES_tradnl"/>
              </w:rPr>
              <w:t xml:space="preserve">las </w:t>
            </w:r>
            <w:r w:rsidRPr="00E3577C">
              <w:rPr>
                <w:lang w:val="es-ES_tradnl"/>
              </w:rPr>
              <w:t>medidas apropiadas.</w:t>
            </w:r>
            <w:r w:rsidR="00725220" w:rsidRPr="00E3577C">
              <w:rPr>
                <w:lang w:val="es-ES_tradnl"/>
              </w:rPr>
              <w:t xml:space="preserve"> </w:t>
            </w:r>
          </w:p>
          <w:p w14:paraId="5813CB36" w14:textId="51E35CBF" w:rsidR="00725220" w:rsidRPr="00E3577C" w:rsidRDefault="00B2565C" w:rsidP="00F12941">
            <w:pPr>
              <w:spacing w:before="240" w:after="0"/>
              <w:rPr>
                <w:lang w:val="es-ES_tradnl"/>
              </w:rPr>
            </w:pPr>
            <w:r w:rsidRPr="00E3577C">
              <w:rPr>
                <w:lang w:val="es-ES_tradnl"/>
              </w:rPr>
              <w:t xml:space="preserve">5. El Estado utiliza los conjuntos previos documentados de SPI de cada proveedor ATS para evaluar, a lo largo del tiempo, el grado de maduración del SMS de los </w:t>
            </w:r>
            <w:r w:rsidR="006D26A3">
              <w:rPr>
                <w:lang w:val="es-ES_tradnl"/>
              </w:rPr>
              <w:t>proveedores ATS</w:t>
            </w:r>
            <w:r w:rsidRPr="00E3577C">
              <w:rPr>
                <w:lang w:val="es-ES_tradnl"/>
              </w:rPr>
              <w:t>.</w:t>
            </w:r>
            <w:r w:rsidR="00725220" w:rsidRPr="00E3577C">
              <w:rPr>
                <w:lang w:val="es-ES_tradnl"/>
              </w:rPr>
              <w:t xml:space="preserve">   </w:t>
            </w:r>
          </w:p>
        </w:tc>
      </w:tr>
      <w:tr w:rsidR="004766DF" w:rsidRPr="00A266BA" w14:paraId="5B8B49BB"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6DAFBD" w14:textId="77777777" w:rsidR="00725220" w:rsidRPr="00B004C9" w:rsidRDefault="00725220" w:rsidP="00725220">
            <w:pPr>
              <w:rPr>
                <w:rFonts w:eastAsia="Times New Roman" w:cstheme="minorHAnsi"/>
                <w:color w:val="000000"/>
                <w:lang w:val="es-ES_tradnl" w:eastAsia="en-CA"/>
              </w:rPr>
            </w:pPr>
            <w:r w:rsidRPr="00B004C9">
              <w:rPr>
                <w:lang w:val="es-ES_tradnl"/>
              </w:rPr>
              <w:t>SSP.ANS.09</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FBB06F" w14:textId="62523880" w:rsidR="00725220" w:rsidRPr="00E3577C" w:rsidRDefault="00B2565C" w:rsidP="00B2565C">
            <w:pPr>
              <w:spacing w:after="0"/>
              <w:rPr>
                <w:rFonts w:eastAsia="Times New Roman" w:cstheme="minorHAnsi"/>
                <w:lang w:val="es-ES_tradnl" w:eastAsia="en-CA"/>
              </w:rPr>
            </w:pPr>
            <w:r w:rsidRPr="00E3577C">
              <w:rPr>
                <w:rFonts w:eastAsia="Times New Roman" w:cstheme="minorHAnsi"/>
                <w:lang w:val="es-ES_tradnl" w:eastAsia="en-CA"/>
              </w:rPr>
              <w:t>¿Cómo establece el Estado las prioridades de las inspecciones, auditorías y encuestas de</w:t>
            </w:r>
            <w:r w:rsidR="009E3DB6">
              <w:rPr>
                <w:rFonts w:eastAsia="Times New Roman" w:cstheme="minorHAnsi"/>
                <w:lang w:val="es-ES_tradnl" w:eastAsia="en-CA"/>
              </w:rPr>
              <w:t>stinadas a</w:t>
            </w:r>
            <w:r w:rsidRPr="00E3577C">
              <w:rPr>
                <w:rFonts w:eastAsia="Times New Roman" w:cstheme="minorHAnsi"/>
                <w:lang w:val="es-ES_tradnl" w:eastAsia="en-CA"/>
              </w:rPr>
              <w:t xml:space="preserve"> los proveedores ATS para las áreas de mayor preocupación o necesidad respecto a la seguridad operacional?</w:t>
            </w:r>
          </w:p>
        </w:tc>
        <w:tc>
          <w:tcPr>
            <w:tcW w:w="535" w:type="pct"/>
            <w:tcBorders>
              <w:top w:val="single" w:sz="8" w:space="0" w:color="auto"/>
              <w:left w:val="single" w:sz="8" w:space="0" w:color="auto"/>
              <w:bottom w:val="single" w:sz="8" w:space="0" w:color="auto"/>
              <w:right w:val="single" w:sz="8" w:space="0" w:color="auto"/>
            </w:tcBorders>
            <w:vAlign w:val="center"/>
          </w:tcPr>
          <w:p w14:paraId="6AAC9D2A" w14:textId="77777777" w:rsidR="00725220" w:rsidRPr="00E3577C" w:rsidRDefault="00725220" w:rsidP="00725220">
            <w:pPr>
              <w:pStyle w:val="ColumnCenter"/>
              <w:rPr>
                <w:color w:val="auto"/>
                <w:lang w:val="es-ES_tradnl"/>
              </w:rPr>
            </w:pPr>
            <w:r w:rsidRPr="00E3577C">
              <w:rPr>
                <w:color w:val="auto"/>
                <w:lang w:val="es-ES_tradnl"/>
              </w:rPr>
              <w:t>SMM 8.5.3</w:t>
            </w:r>
          </w:p>
        </w:tc>
        <w:tc>
          <w:tcPr>
            <w:tcW w:w="453" w:type="pct"/>
            <w:tcBorders>
              <w:top w:val="single" w:sz="8" w:space="0" w:color="auto"/>
              <w:left w:val="single" w:sz="8" w:space="0" w:color="auto"/>
              <w:bottom w:val="single" w:sz="8" w:space="0" w:color="auto"/>
              <w:right w:val="single" w:sz="8" w:space="0" w:color="auto"/>
            </w:tcBorders>
            <w:vAlign w:val="center"/>
          </w:tcPr>
          <w:p w14:paraId="7B16446C" w14:textId="1C27A055" w:rsidR="00725220" w:rsidRPr="00E3577C" w:rsidRDefault="00B2565C" w:rsidP="00B2565C">
            <w:pPr>
              <w:pStyle w:val="ColumnCenter"/>
              <w:rPr>
                <w:color w:val="auto"/>
                <w:lang w:val="es-ES_tradnl"/>
              </w:rPr>
            </w:pPr>
            <w:r w:rsidRPr="00E3577C">
              <w:rPr>
                <w:color w:val="auto"/>
                <w:lang w:val="es-ES_tradnl"/>
              </w:rPr>
              <w:t>Aseguramiento estatal de la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204BE038" w14:textId="3C1BD7BD" w:rsidR="00725220" w:rsidRPr="00E3577C" w:rsidRDefault="00B2565C" w:rsidP="00B2565C">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19E576EC" w14:textId="2EEE762C" w:rsidR="00725220" w:rsidRPr="00E3577C" w:rsidRDefault="00B2565C" w:rsidP="00B2565C">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2068BAB3" w14:textId="642E929B" w:rsidR="004B4C22" w:rsidRDefault="00B2565C" w:rsidP="004B3E79">
            <w:pPr>
              <w:spacing w:before="240" w:after="0"/>
              <w:rPr>
                <w:lang w:val="es-ES_tradnl"/>
              </w:rPr>
            </w:pPr>
            <w:r w:rsidRPr="00E3577C">
              <w:rPr>
                <w:lang w:val="es-ES_tradnl"/>
              </w:rPr>
              <w:t>1. Existe un mecanismo para establecer las prioridades de las actividades de vigilancia previstas con base en el perfil de riesgos percibidos del proveedor ATS.</w:t>
            </w:r>
          </w:p>
          <w:p w14:paraId="69BB226B" w14:textId="77777777" w:rsidR="00A266BA" w:rsidRPr="00E3577C" w:rsidRDefault="00A266BA" w:rsidP="004B3E79">
            <w:pPr>
              <w:spacing w:before="240" w:after="0"/>
              <w:rPr>
                <w:lang w:val="es-ES_tradnl"/>
              </w:rPr>
            </w:pPr>
          </w:p>
          <w:p w14:paraId="6E117104" w14:textId="275158C0" w:rsidR="004B4C22" w:rsidRDefault="00B2565C" w:rsidP="004B3E79">
            <w:pPr>
              <w:spacing w:before="240" w:after="0"/>
              <w:rPr>
                <w:lang w:val="es-ES_tradnl"/>
              </w:rPr>
            </w:pPr>
            <w:r w:rsidRPr="00E3577C">
              <w:rPr>
                <w:lang w:val="es-ES_tradnl"/>
              </w:rPr>
              <w:t>2. Existe un mecanismo para establecer las prioridades de las actividades de vigilancia previstas en áreas específicas dentro de un mismo proveedor ATS.</w:t>
            </w:r>
          </w:p>
          <w:p w14:paraId="76C68335" w14:textId="77777777" w:rsidR="00A266BA" w:rsidRPr="00E3577C" w:rsidRDefault="00A266BA" w:rsidP="004B3E79">
            <w:pPr>
              <w:spacing w:before="240" w:after="0"/>
              <w:rPr>
                <w:lang w:val="es-ES_tradnl"/>
              </w:rPr>
            </w:pPr>
          </w:p>
          <w:p w14:paraId="533DB21D" w14:textId="34265DAF" w:rsidR="004B4C22" w:rsidRDefault="00B2565C" w:rsidP="004B3E79">
            <w:pPr>
              <w:spacing w:before="240" w:after="0"/>
              <w:rPr>
                <w:lang w:val="es-ES_tradnl"/>
              </w:rPr>
            </w:pPr>
            <w:r w:rsidRPr="00E3577C">
              <w:rPr>
                <w:lang w:val="es-ES_tradnl"/>
              </w:rPr>
              <w:lastRenderedPageBreak/>
              <w:t xml:space="preserve">3. El mecanismo </w:t>
            </w:r>
            <w:r w:rsidR="008E674E">
              <w:rPr>
                <w:lang w:val="es-ES_tradnl"/>
              </w:rPr>
              <w:t>emplea</w:t>
            </w:r>
            <w:r w:rsidRPr="00E3577C">
              <w:rPr>
                <w:lang w:val="es-ES_tradnl"/>
              </w:rPr>
              <w:t xml:space="preserve"> datos e información apropiados y definidos para determinar las prioridades de vigilancia.</w:t>
            </w:r>
          </w:p>
          <w:p w14:paraId="3EE4C197" w14:textId="77777777" w:rsidR="00A266BA" w:rsidRPr="00E3577C" w:rsidRDefault="00A266BA" w:rsidP="004B3E79">
            <w:pPr>
              <w:spacing w:before="240" w:after="0"/>
              <w:rPr>
                <w:lang w:val="es-ES_tradnl"/>
              </w:rPr>
            </w:pPr>
          </w:p>
          <w:p w14:paraId="13B25F48" w14:textId="77777777" w:rsidR="00725220" w:rsidRDefault="00B2565C" w:rsidP="00592152">
            <w:pPr>
              <w:spacing w:before="140" w:after="0"/>
              <w:rPr>
                <w:lang w:val="es-ES_tradnl"/>
              </w:rPr>
            </w:pPr>
            <w:r w:rsidRPr="00E3577C">
              <w:rPr>
                <w:lang w:val="es-ES_tradnl"/>
              </w:rPr>
              <w:t xml:space="preserve">4. Existe un mecanismo para reevaluar los perfiles de riesgos de los proveedores ATS y de áreas específicas dentro de cada uno de ellos, a fin de </w:t>
            </w:r>
            <w:r w:rsidR="006311B3">
              <w:rPr>
                <w:lang w:val="es-ES_tradnl"/>
              </w:rPr>
              <w:t>tener en cuenta,</w:t>
            </w:r>
            <w:r w:rsidR="006311B3" w:rsidRPr="00E3577C">
              <w:rPr>
                <w:lang w:val="es-ES_tradnl"/>
              </w:rPr>
              <w:t xml:space="preserve"> entre las actividades de vigilancia previstas</w:t>
            </w:r>
            <w:r w:rsidR="006311B3">
              <w:rPr>
                <w:lang w:val="es-ES_tradnl"/>
              </w:rPr>
              <w:t xml:space="preserve">, </w:t>
            </w:r>
            <w:r w:rsidRPr="00E3577C">
              <w:rPr>
                <w:lang w:val="es-ES_tradnl"/>
              </w:rPr>
              <w:t>los cambios en los perfiles que pueden afectar a la seguridad operacional.</w:t>
            </w:r>
          </w:p>
          <w:p w14:paraId="461B89EC" w14:textId="1EB15263" w:rsidR="00A266BA" w:rsidRPr="00E3577C" w:rsidRDefault="00A266BA" w:rsidP="00592152">
            <w:pPr>
              <w:spacing w:before="140"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600035A0" w14:textId="3EF9A3C3" w:rsidR="00A266BA" w:rsidRPr="00E3577C" w:rsidRDefault="00B2565C" w:rsidP="00A266BA">
            <w:pPr>
              <w:spacing w:before="600" w:after="0"/>
              <w:rPr>
                <w:lang w:val="es-ES_tradnl"/>
              </w:rPr>
            </w:pPr>
            <w:r w:rsidRPr="00E3577C">
              <w:rPr>
                <w:lang w:val="es-ES_tradnl"/>
              </w:rPr>
              <w:lastRenderedPageBreak/>
              <w:t>1. Existe y se sigue un plan de actividades de vigilancia, en el que se define la frecuencia y el alcance de cada una de esas actividades.</w:t>
            </w:r>
            <w:r w:rsidR="00725220" w:rsidRPr="00E3577C">
              <w:rPr>
                <w:lang w:val="es-ES_tradnl"/>
              </w:rPr>
              <w:t xml:space="preserve"> </w:t>
            </w:r>
          </w:p>
          <w:p w14:paraId="43E15276" w14:textId="1D9CD73D" w:rsidR="004B4C22" w:rsidRPr="00E3577C" w:rsidRDefault="00B2565C" w:rsidP="004B3E79">
            <w:pPr>
              <w:spacing w:before="360" w:after="0"/>
              <w:rPr>
                <w:lang w:val="es-ES_tradnl"/>
              </w:rPr>
            </w:pPr>
            <w:r w:rsidRPr="00E3577C">
              <w:rPr>
                <w:lang w:val="es-ES_tradnl"/>
              </w:rPr>
              <w:t>2. Se utilizan de manera adecuada los datos y la información sobre seguridad operacional pertinentes para planificar</w:t>
            </w:r>
            <w:r w:rsidR="00304EE2" w:rsidRPr="00E3577C">
              <w:rPr>
                <w:lang w:val="es-ES_tradnl"/>
              </w:rPr>
              <w:t>, con base en el perfil de riesgos percibidos,</w:t>
            </w:r>
            <w:r w:rsidRPr="00E3577C">
              <w:rPr>
                <w:lang w:val="es-ES_tradnl"/>
              </w:rPr>
              <w:t xml:space="preserve"> las actividades de vigilancia</w:t>
            </w:r>
            <w:r w:rsidR="00304EE2">
              <w:rPr>
                <w:lang w:val="es-ES_tradnl"/>
              </w:rPr>
              <w:t xml:space="preserve"> </w:t>
            </w:r>
            <w:r w:rsidRPr="00E3577C">
              <w:rPr>
                <w:lang w:val="es-ES_tradnl"/>
              </w:rPr>
              <w:t xml:space="preserve">destinadas a </w:t>
            </w:r>
            <w:r w:rsidR="000855ED">
              <w:rPr>
                <w:lang w:val="es-ES_tradnl"/>
              </w:rPr>
              <w:t xml:space="preserve">un </w:t>
            </w:r>
            <w:r w:rsidRPr="00E3577C">
              <w:rPr>
                <w:lang w:val="es-ES_tradnl"/>
              </w:rPr>
              <w:t xml:space="preserve">proveedor ATS y a áreas específicas dentro de </w:t>
            </w:r>
            <w:r w:rsidR="000855ED">
              <w:rPr>
                <w:lang w:val="es-ES_tradnl"/>
              </w:rPr>
              <w:t>dicho</w:t>
            </w:r>
            <w:r w:rsidRPr="00E3577C">
              <w:rPr>
                <w:lang w:val="es-ES_tradnl"/>
              </w:rPr>
              <w:t xml:space="preserve"> proveedor.</w:t>
            </w:r>
          </w:p>
          <w:p w14:paraId="291C1209" w14:textId="77777777" w:rsidR="004B3E79" w:rsidRDefault="004B3E79" w:rsidP="004B3E79">
            <w:pPr>
              <w:spacing w:before="360" w:after="0"/>
              <w:rPr>
                <w:lang w:val="es-ES_tradnl"/>
              </w:rPr>
            </w:pPr>
          </w:p>
          <w:p w14:paraId="6769A928" w14:textId="7F9DC58A" w:rsidR="00725220" w:rsidRPr="00E3577C" w:rsidRDefault="008F4679" w:rsidP="00592152">
            <w:pPr>
              <w:spacing w:after="0"/>
              <w:rPr>
                <w:lang w:val="es-ES_tradnl"/>
              </w:rPr>
            </w:pPr>
            <w:r w:rsidRPr="00E3577C">
              <w:rPr>
                <w:lang w:val="es-ES_tradnl"/>
              </w:rPr>
              <w:lastRenderedPageBreak/>
              <w:t>3. Los perfiles de riesgos de los proveedores ATS y de áreas específicas dentro de cada uno de ellos se actualizan periódicamente, y el plan de actividades de vigilancia se enmienda cuando el Estado dispone de datos e información sobre seguridad operacional nuevos y significativos, lo que abarca considerar un nuevo orden de prioridades para las actividades de vigilancia.</w:t>
            </w:r>
          </w:p>
        </w:tc>
      </w:tr>
      <w:tr w:rsidR="004766DF" w:rsidRPr="00A266BA" w14:paraId="25B0F46B"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99881D9"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SSP.ANS.10</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ABA1F6C" w14:textId="55C0EE8D" w:rsidR="00725220" w:rsidRPr="00E3577C" w:rsidRDefault="008F4679" w:rsidP="008F4679">
            <w:pPr>
              <w:spacing w:after="0"/>
              <w:rPr>
                <w:rFonts w:eastAsia="Times New Roman" w:cstheme="minorHAnsi"/>
                <w:lang w:val="es-ES_tradnl" w:eastAsia="en-CA"/>
              </w:rPr>
            </w:pPr>
            <w:r w:rsidRPr="00E3577C">
              <w:rPr>
                <w:rFonts w:eastAsia="Times New Roman" w:cstheme="minorHAnsi"/>
                <w:lang w:val="es-ES_tradnl" w:eastAsia="en-CA"/>
              </w:rPr>
              <w:t xml:space="preserve">¿Cómo utiliza el Estado la información relacionada con el rendimiento en materia de seguridad operacional de sus </w:t>
            </w:r>
            <w:r w:rsidRPr="00E3577C">
              <w:rPr>
                <w:rFonts w:eastAsia="Times New Roman" w:cstheme="minorHAnsi"/>
                <w:lang w:val="es-ES_tradnl" w:eastAsia="en-CA"/>
              </w:rPr>
              <w:lastRenderedPageBreak/>
              <w:t>proveedores ATS para apoyar la observación del rendimiento en materia de seguridad operacional del Estado?</w:t>
            </w:r>
          </w:p>
        </w:tc>
        <w:tc>
          <w:tcPr>
            <w:tcW w:w="535" w:type="pct"/>
            <w:tcBorders>
              <w:top w:val="single" w:sz="8" w:space="0" w:color="auto"/>
              <w:left w:val="single" w:sz="8" w:space="0" w:color="auto"/>
              <w:bottom w:val="single" w:sz="8" w:space="0" w:color="auto"/>
              <w:right w:val="single" w:sz="8" w:space="0" w:color="auto"/>
            </w:tcBorders>
            <w:vAlign w:val="center"/>
          </w:tcPr>
          <w:p w14:paraId="115457EA" w14:textId="77777777" w:rsidR="00725220" w:rsidRPr="00E3577C" w:rsidRDefault="00725220" w:rsidP="00725220">
            <w:pPr>
              <w:pStyle w:val="ColumnCenter"/>
              <w:rPr>
                <w:color w:val="auto"/>
                <w:lang w:val="es-ES_tradnl"/>
              </w:rPr>
            </w:pPr>
            <w:r w:rsidRPr="00E3577C">
              <w:rPr>
                <w:color w:val="auto"/>
                <w:lang w:val="es-ES_tradnl"/>
              </w:rPr>
              <w:lastRenderedPageBreak/>
              <w:t>SMM 8.5.5</w:t>
            </w:r>
          </w:p>
        </w:tc>
        <w:tc>
          <w:tcPr>
            <w:tcW w:w="453" w:type="pct"/>
            <w:tcBorders>
              <w:top w:val="single" w:sz="8" w:space="0" w:color="auto"/>
              <w:left w:val="single" w:sz="8" w:space="0" w:color="auto"/>
              <w:bottom w:val="single" w:sz="8" w:space="0" w:color="auto"/>
              <w:right w:val="single" w:sz="8" w:space="0" w:color="auto"/>
            </w:tcBorders>
            <w:vAlign w:val="center"/>
          </w:tcPr>
          <w:p w14:paraId="6BBD7223" w14:textId="08E1A18B" w:rsidR="00725220" w:rsidRPr="00E3577C" w:rsidRDefault="008F4679" w:rsidP="008F4679">
            <w:pPr>
              <w:pStyle w:val="ColumnCenter"/>
              <w:rPr>
                <w:color w:val="auto"/>
                <w:lang w:val="es-ES_tradnl"/>
              </w:rPr>
            </w:pPr>
            <w:r w:rsidRPr="00E3577C">
              <w:rPr>
                <w:color w:val="auto"/>
                <w:lang w:val="es-ES_tradnl"/>
              </w:rPr>
              <w:t>Aseguramiento estatal de la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5DD0A984" w14:textId="285EC76A" w:rsidR="00725220" w:rsidRPr="00E3577C" w:rsidRDefault="008F4679" w:rsidP="008F4679">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29041016" w14:textId="0E32E6AF" w:rsidR="00725220" w:rsidRPr="00E3577C" w:rsidRDefault="008F4679" w:rsidP="008F4679">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3E98DB93" w14:textId="4025A082" w:rsidR="004B4C22" w:rsidRPr="00E3577C" w:rsidRDefault="008F4679" w:rsidP="00A266BA">
            <w:pPr>
              <w:spacing w:after="0"/>
              <w:rPr>
                <w:lang w:val="es-ES_tradnl"/>
              </w:rPr>
            </w:pPr>
            <w:r w:rsidRPr="00E3577C">
              <w:rPr>
                <w:lang w:val="es-ES_tradnl"/>
              </w:rPr>
              <w:t>1. Existe un mecanismo para determinar el tipo de información</w:t>
            </w:r>
            <w:r w:rsidR="00916010">
              <w:rPr>
                <w:lang w:val="es-ES_tradnl"/>
              </w:rPr>
              <w:t>,</w:t>
            </w:r>
            <w:r w:rsidRPr="00E3577C">
              <w:rPr>
                <w:lang w:val="es-ES_tradnl"/>
              </w:rPr>
              <w:t xml:space="preserve"> relacionada con el rendimiento en materia de seguridad operacional de los proveedores ATS</w:t>
            </w:r>
            <w:r w:rsidR="00916010">
              <w:rPr>
                <w:lang w:val="es-ES_tradnl"/>
              </w:rPr>
              <w:t>,</w:t>
            </w:r>
            <w:r w:rsidRPr="00E3577C">
              <w:rPr>
                <w:lang w:val="es-ES_tradnl"/>
              </w:rPr>
              <w:t xml:space="preserve"> que se necesita para la observación del rendimiento en materia de seguridad operacional del Estado</w:t>
            </w:r>
            <w:r w:rsidR="00916010">
              <w:rPr>
                <w:lang w:val="es-ES_tradnl"/>
              </w:rPr>
              <w:t xml:space="preserve">, el </w:t>
            </w:r>
            <w:r w:rsidR="00916010">
              <w:rPr>
                <w:lang w:val="es-ES_tradnl"/>
              </w:rPr>
              <w:lastRenderedPageBreak/>
              <w:t xml:space="preserve">cual </w:t>
            </w:r>
            <w:r w:rsidR="001462D8">
              <w:rPr>
                <w:lang w:val="es-ES_tradnl"/>
              </w:rPr>
              <w:t xml:space="preserve">permite </w:t>
            </w:r>
            <w:r w:rsidRPr="00E3577C">
              <w:rPr>
                <w:lang w:val="es-ES_tradnl"/>
              </w:rPr>
              <w:t>poner a disposición del Estado dicha información.</w:t>
            </w:r>
            <w:r w:rsidR="00725220" w:rsidRPr="00E3577C">
              <w:rPr>
                <w:lang w:val="es-ES_tradnl"/>
              </w:rPr>
              <w:t xml:space="preserve"> </w:t>
            </w:r>
          </w:p>
          <w:p w14:paraId="33C18767" w14:textId="470C9B27" w:rsidR="004B4C22" w:rsidRPr="00E3577C" w:rsidRDefault="008F4679" w:rsidP="00592152">
            <w:pPr>
              <w:spacing w:before="360" w:after="0"/>
              <w:rPr>
                <w:lang w:val="es-ES_tradnl"/>
              </w:rPr>
            </w:pPr>
            <w:r w:rsidRPr="00E3577C">
              <w:rPr>
                <w:lang w:val="es-ES_tradnl"/>
              </w:rPr>
              <w:t>2. Existe un mecanismo para analizar y monitorear la información relacionada con el rendimiento en materia de seguridad operacional de los proveedores ATS, con el fin de observar el rendimiento en materia de seguridad operacional del Estado.</w:t>
            </w:r>
          </w:p>
          <w:p w14:paraId="51040CF2" w14:textId="6C21F184" w:rsidR="004B4C22" w:rsidRPr="00E3577C" w:rsidRDefault="008F4679" w:rsidP="00BD1EB2">
            <w:pPr>
              <w:spacing w:before="480" w:after="0"/>
              <w:rPr>
                <w:lang w:val="es-ES_tradnl"/>
              </w:rPr>
            </w:pPr>
            <w:r w:rsidRPr="00E3577C">
              <w:rPr>
                <w:lang w:val="es-ES_tradnl"/>
              </w:rPr>
              <w:t>3. Existe un mecanismo que permite utilizar la información relacionada con el rendimiento en materia de seguridad operacional de los proveedores ATS</w:t>
            </w:r>
            <w:r w:rsidR="00B47A55">
              <w:rPr>
                <w:lang w:val="es-ES_tradnl"/>
              </w:rPr>
              <w:t xml:space="preserve"> en el proceso de observación del </w:t>
            </w:r>
            <w:r w:rsidR="00B47A55" w:rsidRPr="00E3577C">
              <w:rPr>
                <w:lang w:val="es-ES_tradnl"/>
              </w:rPr>
              <w:t>rendimiento en materia de seguridad operacional del Estado</w:t>
            </w:r>
            <w:r w:rsidRPr="00E3577C">
              <w:rPr>
                <w:lang w:val="es-ES_tradnl"/>
              </w:rPr>
              <w:t>.</w:t>
            </w:r>
            <w:r w:rsidR="00725220" w:rsidRPr="00E3577C">
              <w:rPr>
                <w:lang w:val="es-ES_tradnl"/>
              </w:rPr>
              <w:t xml:space="preserve"> </w:t>
            </w:r>
          </w:p>
          <w:p w14:paraId="0FDB410E" w14:textId="77777777" w:rsidR="00725220" w:rsidRDefault="00725220" w:rsidP="00725220">
            <w:pPr>
              <w:spacing w:after="0"/>
              <w:rPr>
                <w:lang w:val="es-ES_tradnl"/>
              </w:rPr>
            </w:pPr>
          </w:p>
          <w:p w14:paraId="5C439517" w14:textId="7E4A9FA4" w:rsidR="00BD1EB2" w:rsidRPr="00E3577C" w:rsidRDefault="00BD1EB2" w:rsidP="00725220">
            <w:pPr>
              <w:spacing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52811C7C" w14:textId="782E9EDE" w:rsidR="004B4C22" w:rsidRDefault="008F4679" w:rsidP="00CA7EC5">
            <w:pPr>
              <w:spacing w:before="720" w:after="0"/>
              <w:rPr>
                <w:lang w:val="es-ES_tradnl"/>
              </w:rPr>
            </w:pPr>
            <w:r w:rsidRPr="00E3577C">
              <w:rPr>
                <w:lang w:val="es-ES_tradnl"/>
              </w:rPr>
              <w:lastRenderedPageBreak/>
              <w:t>1. El Estado recibe periódicamente información relacionada con el rendimiento en materia de seguridad operacional de los proveedores ATS.</w:t>
            </w:r>
          </w:p>
          <w:p w14:paraId="2F919EB7" w14:textId="77777777" w:rsidR="00A266BA" w:rsidRPr="00E3577C" w:rsidRDefault="00A266BA" w:rsidP="00CA7EC5">
            <w:pPr>
              <w:spacing w:before="720" w:after="0"/>
              <w:rPr>
                <w:lang w:val="es-ES_tradnl"/>
              </w:rPr>
            </w:pPr>
          </w:p>
          <w:p w14:paraId="77764396" w14:textId="7E3E05F9" w:rsidR="004B4C22" w:rsidRPr="00E3577C" w:rsidRDefault="008F4679" w:rsidP="00012971">
            <w:pPr>
              <w:spacing w:before="480" w:after="0" w:line="257" w:lineRule="auto"/>
              <w:rPr>
                <w:lang w:val="es-ES_tradnl"/>
              </w:rPr>
            </w:pPr>
            <w:r w:rsidRPr="00E3577C">
              <w:rPr>
                <w:lang w:val="es-ES_tradnl"/>
              </w:rPr>
              <w:t>2. El Estado analiza y monitorea periódicamente la información relacionada con el rendimiento en materia de seguridad operacional de los proveedores ATS.</w:t>
            </w:r>
            <w:r w:rsidR="00725220" w:rsidRPr="00E3577C">
              <w:rPr>
                <w:lang w:val="es-ES_tradnl"/>
              </w:rPr>
              <w:t xml:space="preserve"> </w:t>
            </w:r>
          </w:p>
          <w:p w14:paraId="12BCEFE1" w14:textId="53BFF06F" w:rsidR="004B4C22" w:rsidRPr="00E3577C" w:rsidRDefault="008F4679" w:rsidP="00592152">
            <w:pPr>
              <w:spacing w:before="360" w:after="0"/>
              <w:rPr>
                <w:lang w:val="es-ES_tradnl"/>
              </w:rPr>
            </w:pPr>
            <w:r w:rsidRPr="00E3577C">
              <w:rPr>
                <w:lang w:val="es-ES_tradnl"/>
              </w:rPr>
              <w:t>3. El Estado</w:t>
            </w:r>
            <w:r w:rsidR="00836B7D">
              <w:rPr>
                <w:lang w:val="es-ES_tradnl"/>
              </w:rPr>
              <w:t xml:space="preserve"> utiliza</w:t>
            </w:r>
            <w:r w:rsidRPr="00E3577C">
              <w:rPr>
                <w:lang w:val="es-ES_tradnl"/>
              </w:rPr>
              <w:t xml:space="preserve"> la información relacionada con el rendimiento en materia de seguridad operacional de los proveedores ATS para </w:t>
            </w:r>
            <w:r w:rsidR="00E84AD2">
              <w:rPr>
                <w:lang w:val="es-ES_tradnl"/>
              </w:rPr>
              <w:t>observar el</w:t>
            </w:r>
            <w:r w:rsidRPr="00E3577C">
              <w:rPr>
                <w:lang w:val="es-ES_tradnl"/>
              </w:rPr>
              <w:t xml:space="preserve"> rendimiento en materia de seguridad operacional del Estado, así como para identificar riesgos clave y problemas emergentes.</w:t>
            </w:r>
            <w:r w:rsidR="00725220" w:rsidRPr="00E3577C">
              <w:rPr>
                <w:lang w:val="es-ES_tradnl"/>
              </w:rPr>
              <w:t xml:space="preserve"> </w:t>
            </w:r>
          </w:p>
          <w:p w14:paraId="4FD12623" w14:textId="53057095" w:rsidR="00725220" w:rsidRPr="00E3577C" w:rsidRDefault="00725220" w:rsidP="00725220">
            <w:pPr>
              <w:spacing w:after="0"/>
              <w:rPr>
                <w:lang w:val="es-ES_tradnl"/>
              </w:rPr>
            </w:pPr>
          </w:p>
        </w:tc>
      </w:tr>
      <w:tr w:rsidR="004766DF" w:rsidRPr="00A266BA" w14:paraId="4393B305" w14:textId="77777777" w:rsidTr="004766DF">
        <w:tc>
          <w:tcPr>
            <w:tcW w:w="3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9D6F56" w14:textId="77777777" w:rsidR="00725220" w:rsidRPr="00B004C9" w:rsidRDefault="00725220" w:rsidP="00725220">
            <w:pPr>
              <w:rPr>
                <w:rFonts w:eastAsia="Times New Roman" w:cstheme="minorHAnsi"/>
                <w:color w:val="000000"/>
                <w:lang w:val="es-ES_tradnl" w:eastAsia="en-CA"/>
              </w:rPr>
            </w:pPr>
            <w:r w:rsidRPr="00B004C9">
              <w:rPr>
                <w:lang w:val="es-ES_tradnl"/>
              </w:rPr>
              <w:lastRenderedPageBreak/>
              <w:t>SSP.ANS.11</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C3C876" w14:textId="1F5203D3" w:rsidR="004B4C22" w:rsidRPr="00E3577C" w:rsidRDefault="008F4679" w:rsidP="008F4679">
            <w:pPr>
              <w:rPr>
                <w:lang w:val="es-ES_tradnl"/>
              </w:rPr>
            </w:pPr>
            <w:r w:rsidRPr="00E3577C">
              <w:rPr>
                <w:lang w:val="es-ES_tradnl"/>
              </w:rPr>
              <w:t>¿De qué manera el Estado permite y promueve el intercambio de información sobre seguridad operacional entre:</w:t>
            </w:r>
            <w:r w:rsidR="00725220" w:rsidRPr="00E3577C">
              <w:rPr>
                <w:lang w:val="es-ES_tradnl"/>
              </w:rPr>
              <w:t xml:space="preserve"> </w:t>
            </w:r>
          </w:p>
          <w:p w14:paraId="14FD5F5C" w14:textId="118E94F8" w:rsidR="004B4C22" w:rsidRPr="00E3577C" w:rsidRDefault="008F4679" w:rsidP="008F4679">
            <w:pPr>
              <w:pStyle w:val="ListParagraph"/>
              <w:numPr>
                <w:ilvl w:val="0"/>
                <w:numId w:val="1"/>
              </w:numPr>
              <w:rPr>
                <w:lang w:val="es-ES_tradnl"/>
              </w:rPr>
            </w:pPr>
            <w:r w:rsidRPr="00E3577C">
              <w:rPr>
                <w:lang w:val="es-ES_tradnl"/>
              </w:rPr>
              <w:t>proveedores ATS; y</w:t>
            </w:r>
          </w:p>
          <w:p w14:paraId="457F4DE5" w14:textId="32D5128D" w:rsidR="00725220" w:rsidRPr="00E3577C" w:rsidRDefault="008F4679" w:rsidP="008F4679">
            <w:pPr>
              <w:pStyle w:val="ListParagraph"/>
              <w:numPr>
                <w:ilvl w:val="0"/>
                <w:numId w:val="1"/>
              </w:numPr>
              <w:rPr>
                <w:rFonts w:eastAsia="Times New Roman" w:cstheme="minorHAnsi"/>
                <w:lang w:val="es-ES_tradnl" w:eastAsia="en-CA"/>
              </w:rPr>
            </w:pPr>
            <w:r w:rsidRPr="00E3577C">
              <w:rPr>
                <w:rFonts w:eastAsia="Times New Roman" w:cstheme="minorHAnsi"/>
                <w:lang w:val="es-ES_tradnl" w:eastAsia="en-CA"/>
              </w:rPr>
              <w:t>proveedores ATS y otros sectores de la aviación civil dentro del Estado?</w:t>
            </w:r>
          </w:p>
        </w:tc>
        <w:tc>
          <w:tcPr>
            <w:tcW w:w="535" w:type="pct"/>
            <w:tcBorders>
              <w:top w:val="single" w:sz="8" w:space="0" w:color="auto"/>
              <w:left w:val="single" w:sz="8" w:space="0" w:color="auto"/>
              <w:bottom w:val="single" w:sz="8" w:space="0" w:color="auto"/>
              <w:right w:val="single" w:sz="8" w:space="0" w:color="auto"/>
            </w:tcBorders>
            <w:vAlign w:val="center"/>
          </w:tcPr>
          <w:p w14:paraId="3FDC1F29" w14:textId="77777777" w:rsidR="00725220" w:rsidRPr="00E3577C" w:rsidRDefault="00725220" w:rsidP="00725220">
            <w:pPr>
              <w:pStyle w:val="ColumnCenter"/>
              <w:rPr>
                <w:color w:val="auto"/>
                <w:lang w:val="es-ES_tradnl"/>
              </w:rPr>
            </w:pPr>
            <w:r w:rsidRPr="00E3577C">
              <w:rPr>
                <w:color w:val="auto"/>
                <w:lang w:val="es-ES_tradnl"/>
              </w:rPr>
              <w:t>SMM 8.6</w:t>
            </w:r>
          </w:p>
        </w:tc>
        <w:tc>
          <w:tcPr>
            <w:tcW w:w="453" w:type="pct"/>
            <w:tcBorders>
              <w:top w:val="single" w:sz="8" w:space="0" w:color="auto"/>
              <w:left w:val="single" w:sz="8" w:space="0" w:color="auto"/>
              <w:bottom w:val="single" w:sz="8" w:space="0" w:color="auto"/>
              <w:right w:val="single" w:sz="8" w:space="0" w:color="auto"/>
            </w:tcBorders>
            <w:vAlign w:val="center"/>
          </w:tcPr>
          <w:p w14:paraId="7AA440FB" w14:textId="1BCD4647" w:rsidR="00725220" w:rsidRPr="00E3577C" w:rsidRDefault="008F4679" w:rsidP="008F4679">
            <w:pPr>
              <w:pStyle w:val="ColumnCenter"/>
              <w:rPr>
                <w:color w:val="auto"/>
                <w:lang w:val="es-ES_tradnl"/>
              </w:rPr>
            </w:pPr>
            <w:r w:rsidRPr="00E3577C">
              <w:rPr>
                <w:color w:val="auto"/>
                <w:lang w:val="es-ES_tradnl"/>
              </w:rPr>
              <w:t>Promoción estatal de la seguridad operacional</w:t>
            </w:r>
          </w:p>
        </w:tc>
        <w:tc>
          <w:tcPr>
            <w:tcW w:w="493" w:type="pct"/>
            <w:tcBorders>
              <w:top w:val="single" w:sz="8" w:space="0" w:color="auto"/>
              <w:left w:val="single" w:sz="8" w:space="0" w:color="auto"/>
              <w:bottom w:val="single" w:sz="8" w:space="0" w:color="auto"/>
              <w:right w:val="single" w:sz="8" w:space="0" w:color="auto"/>
            </w:tcBorders>
            <w:vAlign w:val="center"/>
          </w:tcPr>
          <w:p w14:paraId="0A5DDC44" w14:textId="394EAB68" w:rsidR="00725220" w:rsidRPr="00E3577C" w:rsidRDefault="008F4679" w:rsidP="008F4679">
            <w:pPr>
              <w:pStyle w:val="ColumnCenter"/>
              <w:rPr>
                <w:color w:val="auto"/>
                <w:lang w:val="es-ES_tradnl"/>
              </w:rPr>
            </w:pPr>
            <w:r w:rsidRPr="00E3577C">
              <w:rPr>
                <w:color w:val="auto"/>
                <w:lang w:val="es-ES_tradnl"/>
              </w:rPr>
              <w:t>Con base en la situación actual en el Estado</w:t>
            </w:r>
          </w:p>
        </w:tc>
        <w:tc>
          <w:tcPr>
            <w:tcW w:w="452" w:type="pct"/>
            <w:tcBorders>
              <w:top w:val="single" w:sz="8" w:space="0" w:color="auto"/>
              <w:left w:val="single" w:sz="8" w:space="0" w:color="auto"/>
              <w:bottom w:val="single" w:sz="8" w:space="0" w:color="auto"/>
              <w:right w:val="single" w:sz="8" w:space="0" w:color="auto"/>
            </w:tcBorders>
            <w:vAlign w:val="center"/>
          </w:tcPr>
          <w:p w14:paraId="4DD7D293" w14:textId="387742CA" w:rsidR="00725220" w:rsidRPr="00E3577C" w:rsidRDefault="008F4679" w:rsidP="008F4679">
            <w:pPr>
              <w:pStyle w:val="ColumnCenter"/>
              <w:rPr>
                <w:color w:val="auto"/>
                <w:lang w:val="es-ES_tradnl"/>
              </w:rPr>
            </w:pPr>
            <w:r w:rsidRPr="00E3577C">
              <w:rPr>
                <w:color w:val="auto"/>
                <w:lang w:val="es-ES_tradnl"/>
              </w:rPr>
              <w:t>Con base en el trabajo que el Estado está realizando</w:t>
            </w:r>
          </w:p>
        </w:tc>
        <w:tc>
          <w:tcPr>
            <w:tcW w:w="994" w:type="pct"/>
            <w:tcBorders>
              <w:top w:val="single" w:sz="8" w:space="0" w:color="auto"/>
              <w:left w:val="single" w:sz="8" w:space="0" w:color="auto"/>
              <w:bottom w:val="single" w:sz="8" w:space="0" w:color="auto"/>
              <w:right w:val="single" w:sz="8" w:space="0" w:color="auto"/>
            </w:tcBorders>
            <w:shd w:val="clear" w:color="auto" w:fill="auto"/>
            <w:vAlign w:val="center"/>
          </w:tcPr>
          <w:p w14:paraId="4ED59A61" w14:textId="606A7D71" w:rsidR="004B4C22" w:rsidRPr="00E3577C" w:rsidRDefault="008F4679" w:rsidP="00E07D8E">
            <w:pPr>
              <w:spacing w:after="0"/>
              <w:rPr>
                <w:lang w:val="es-ES_tradnl"/>
              </w:rPr>
            </w:pPr>
            <w:r w:rsidRPr="00E3577C">
              <w:rPr>
                <w:lang w:val="es-ES_tradnl"/>
              </w:rPr>
              <w:t>1. Existe un mecanismo para identificar las necesidades de información sobre seguridad operacional de los proveedores ATS.</w:t>
            </w:r>
          </w:p>
          <w:p w14:paraId="2DFDDC8B" w14:textId="1D3F4034" w:rsidR="004B4C22" w:rsidRPr="00E3577C" w:rsidRDefault="008F4679" w:rsidP="00E07D8E">
            <w:pPr>
              <w:spacing w:before="200" w:after="0"/>
              <w:rPr>
                <w:lang w:val="es-ES_tradnl"/>
              </w:rPr>
            </w:pPr>
            <w:r w:rsidRPr="00E3577C">
              <w:rPr>
                <w:lang w:val="es-ES_tradnl"/>
              </w:rPr>
              <w:t xml:space="preserve">2. Existe un mecanismo para identificar otros sectores de la aviación civil en relación con las necesidades de información sobre seguridad operacional </w:t>
            </w:r>
            <w:r w:rsidR="00BF00A4">
              <w:rPr>
                <w:lang w:val="es-ES_tradnl"/>
              </w:rPr>
              <w:t xml:space="preserve">que tiene </w:t>
            </w:r>
            <w:r w:rsidRPr="00E3577C">
              <w:rPr>
                <w:lang w:val="es-ES_tradnl"/>
              </w:rPr>
              <w:t>el Estado.</w:t>
            </w:r>
          </w:p>
          <w:p w14:paraId="0833FD25" w14:textId="11CDD096" w:rsidR="004B4C22" w:rsidRPr="00E3577C" w:rsidRDefault="008F4679" w:rsidP="00E07D8E">
            <w:pPr>
              <w:spacing w:before="200" w:after="0"/>
              <w:rPr>
                <w:lang w:val="es-ES_tradnl"/>
              </w:rPr>
            </w:pPr>
            <w:r w:rsidRPr="00E3577C">
              <w:rPr>
                <w:lang w:val="es-ES_tradnl"/>
              </w:rPr>
              <w:t>3. Existe un mecanismo para permitir y promover el intercambio de información sobre seguridad operacional entre proveedores ATS.</w:t>
            </w:r>
          </w:p>
          <w:p w14:paraId="44F42D03" w14:textId="77777777" w:rsidR="00725220" w:rsidRDefault="008F4679" w:rsidP="00E07D8E">
            <w:pPr>
              <w:spacing w:before="200" w:after="0"/>
              <w:rPr>
                <w:lang w:val="es-ES_tradnl"/>
              </w:rPr>
            </w:pPr>
            <w:r w:rsidRPr="00E3577C">
              <w:rPr>
                <w:lang w:val="es-ES_tradnl"/>
              </w:rPr>
              <w:t>4. Existe un mecanismo para permitir y promover el intercambio de información sobre seguridad operacional entre proveedores ATS y otros sectores de la aviación civil dentro del Estado.</w:t>
            </w:r>
          </w:p>
          <w:p w14:paraId="406C7DCB" w14:textId="11A368B2" w:rsidR="00A266BA" w:rsidRPr="00E3577C" w:rsidRDefault="00A266BA" w:rsidP="00E07D8E">
            <w:pPr>
              <w:spacing w:before="200" w:after="0"/>
              <w:rPr>
                <w:lang w:val="es-ES_tradnl"/>
              </w:rPr>
            </w:pPr>
          </w:p>
        </w:tc>
        <w:tc>
          <w:tcPr>
            <w:tcW w:w="1134" w:type="pct"/>
            <w:tcBorders>
              <w:top w:val="single" w:sz="8" w:space="0" w:color="auto"/>
              <w:left w:val="single" w:sz="8" w:space="0" w:color="auto"/>
              <w:bottom w:val="single" w:sz="8" w:space="0" w:color="auto"/>
              <w:right w:val="single" w:sz="8" w:space="0" w:color="auto"/>
            </w:tcBorders>
            <w:shd w:val="clear" w:color="auto" w:fill="auto"/>
            <w:vAlign w:val="center"/>
          </w:tcPr>
          <w:p w14:paraId="69716F0E" w14:textId="634A2AA8" w:rsidR="004B4C22" w:rsidRPr="00E3577C" w:rsidRDefault="008F4679" w:rsidP="008F4679">
            <w:pPr>
              <w:rPr>
                <w:lang w:val="es-ES_tradnl"/>
              </w:rPr>
            </w:pPr>
            <w:r w:rsidRPr="00E3577C">
              <w:rPr>
                <w:lang w:val="es-ES_tradnl"/>
              </w:rPr>
              <w:t>1. El Estado identificó las necesidades de información sobre seguridad operacional de los proveedores ATS y de otros sectores de la aviación civil dentro del Estado.</w:t>
            </w:r>
          </w:p>
          <w:p w14:paraId="4B64EA88" w14:textId="75798AB8" w:rsidR="004B4C22" w:rsidRPr="00E3577C" w:rsidRDefault="008F4679" w:rsidP="00E07D8E">
            <w:pPr>
              <w:spacing w:before="240" w:after="0"/>
              <w:rPr>
                <w:lang w:val="es-ES_tradnl"/>
              </w:rPr>
            </w:pPr>
            <w:r w:rsidRPr="00E3577C">
              <w:rPr>
                <w:lang w:val="es-ES_tradnl"/>
              </w:rPr>
              <w:t>2. La información sobre seguridad operacional identificada se comparte entre proveedores ATS y otros sectores de la aviación civil dentro del Estado, de manera que se permite la toma de decisiones en colaboración al enfrentar problemas de seguridad operacional.</w:t>
            </w:r>
          </w:p>
          <w:p w14:paraId="1B41BA45" w14:textId="67CD4470" w:rsidR="00725220" w:rsidRPr="00E3577C" w:rsidRDefault="008F4679" w:rsidP="008F4679">
            <w:pPr>
              <w:spacing w:before="240" w:after="0"/>
              <w:rPr>
                <w:lang w:val="es-ES_tradnl"/>
              </w:rPr>
            </w:pPr>
            <w:r w:rsidRPr="00E3577C">
              <w:rPr>
                <w:lang w:val="es-ES_tradnl"/>
              </w:rPr>
              <w:t>3. El Estado evalúa periódicamente la eficacia del intercambio y la promoción de información sobre seguridad operacional.</w:t>
            </w:r>
            <w:r w:rsidR="00725220" w:rsidRPr="00E3577C">
              <w:rPr>
                <w:lang w:val="es-ES_tradnl"/>
              </w:rPr>
              <w:t xml:space="preserve"> </w:t>
            </w:r>
          </w:p>
        </w:tc>
      </w:tr>
    </w:tbl>
    <w:p w14:paraId="625ADF25" w14:textId="3CEF1993" w:rsidR="006757F9" w:rsidRPr="00B004C9" w:rsidRDefault="008F4679" w:rsidP="00E07D8E">
      <w:pPr>
        <w:pStyle w:val="semiendline"/>
        <w:rPr>
          <w:rFonts w:cstheme="minorHAnsi"/>
          <w:lang w:val="es-ES_tradnl"/>
        </w:rPr>
      </w:pPr>
      <w:r w:rsidRPr="00E3577C">
        <w:rPr>
          <w:lang w:val="es-ES_tradnl"/>
        </w:rPr>
        <w:t>— FIN —</w:t>
      </w:r>
    </w:p>
    <w:sectPr w:rsidR="006757F9" w:rsidRPr="00B004C9" w:rsidSect="004A41E4">
      <w:headerReference w:type="default" r:id="rId11"/>
      <w:footerReference w:type="default" r:id="rId12"/>
      <w:headerReference w:type="first" r:id="rId13"/>
      <w:footerReference w:type="first" r:id="rId14"/>
      <w:pgSz w:w="20163" w:h="12242" w:orient="landscape" w:code="5"/>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FD8C" w14:textId="77777777" w:rsidR="009C01EF" w:rsidRDefault="009C01EF" w:rsidP="00BB0F74">
      <w:pPr>
        <w:spacing w:after="0"/>
      </w:pPr>
      <w:r>
        <w:separator/>
      </w:r>
    </w:p>
  </w:endnote>
  <w:endnote w:type="continuationSeparator" w:id="0">
    <w:p w14:paraId="0E57F8A4" w14:textId="77777777" w:rsidR="009C01EF" w:rsidRDefault="009C01EF" w:rsidP="00BB0F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5494" w14:textId="27D16DC2" w:rsidR="009F5AE3" w:rsidRPr="00550B12" w:rsidRDefault="00E92AA7" w:rsidP="00E92AA7">
    <w:pPr>
      <w:pStyle w:val="Footer"/>
      <w:pBdr>
        <w:top w:val="single" w:sz="4" w:space="1" w:color="auto"/>
      </w:pBdr>
      <w:rPr>
        <w:lang w:val="es-ES_tradnl"/>
      </w:rPr>
    </w:pPr>
    <w:r>
      <w:rPr>
        <w:lang w:val="es-ES_tradnl"/>
      </w:rPr>
      <w:t>QMSF-007-09-SSP.ANS/ES</w:t>
    </w:r>
    <w:r w:rsidR="00D06EFA" w:rsidRPr="00550B12">
      <w:rPr>
        <w:lang w:val="es-ES_tradnl"/>
      </w:rPr>
      <w:t xml:space="preserve"> </w:t>
    </w:r>
    <w:r w:rsidRPr="00E92AA7">
      <w:rPr>
        <w:lang w:val="es-ES_tradnl"/>
      </w:rPr>
      <w:t>Rev 2 (febrero 2020)</w:t>
    </w:r>
    <w:r>
      <w:rPr>
        <w:lang w:val="es-ES_tradnl"/>
      </w:rPr>
      <w:tab/>
    </w:r>
    <w:r w:rsidR="00FD4FED">
      <w:rPr>
        <w:lang w:val="es-ES_tradnl"/>
      </w:rPr>
      <w:t>Preparadas por la</w:t>
    </w:r>
    <w:r w:rsidR="004A41E4" w:rsidRPr="00550B12">
      <w:rPr>
        <w:lang w:val="es-ES_tradnl"/>
      </w:rPr>
      <w:t xml:space="preserve"> OAS/MO/ANB/ICAO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6F8" w14:textId="446724DC" w:rsidR="004A41E4" w:rsidRPr="008F4679" w:rsidRDefault="00E92AA7" w:rsidP="00E92AA7">
    <w:pPr>
      <w:pStyle w:val="Footer"/>
      <w:pBdr>
        <w:top w:val="single" w:sz="4" w:space="1" w:color="auto"/>
      </w:pBdr>
      <w:rPr>
        <w:lang w:val="es-ES_tradnl"/>
      </w:rPr>
    </w:pPr>
    <w:r>
      <w:rPr>
        <w:lang w:val="es-ES_tradnl"/>
      </w:rPr>
      <w:t>QMSF-007-09-SSP.ANS/ES</w:t>
    </w:r>
    <w:r w:rsidR="00D06EFA" w:rsidRPr="008F4679">
      <w:rPr>
        <w:lang w:val="es-ES_tradnl"/>
      </w:rPr>
      <w:t xml:space="preserve"> </w:t>
    </w:r>
    <w:r w:rsidRPr="00E92AA7">
      <w:rPr>
        <w:lang w:val="es-ES_tradnl"/>
      </w:rPr>
      <w:t>Rev 2 (febrero 2020)</w:t>
    </w:r>
    <w:r>
      <w:rPr>
        <w:lang w:val="es-ES_tradnl"/>
      </w:rPr>
      <w:tab/>
    </w:r>
    <w:r w:rsidR="00FD4FED">
      <w:rPr>
        <w:lang w:val="es-ES_tradnl"/>
      </w:rPr>
      <w:t>Preparadas por la</w:t>
    </w:r>
    <w:r w:rsidR="004A41E4" w:rsidRPr="008F4679">
      <w:rPr>
        <w:lang w:val="es-ES_tradnl"/>
      </w:rPr>
      <w:t xml:space="preserve"> OAS/MO/ANB/ICAO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BE23" w14:textId="77777777" w:rsidR="009C01EF" w:rsidRDefault="009C01EF" w:rsidP="00BB0F74">
      <w:pPr>
        <w:spacing w:after="0"/>
      </w:pPr>
      <w:r>
        <w:separator/>
      </w:r>
    </w:p>
  </w:footnote>
  <w:footnote w:type="continuationSeparator" w:id="0">
    <w:p w14:paraId="1CCC028D" w14:textId="77777777" w:rsidR="009C01EF" w:rsidRDefault="009C01EF" w:rsidP="00BB0F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4005" w14:textId="21E26826" w:rsidR="00D25BD3" w:rsidRPr="008F4679" w:rsidRDefault="00D9163C" w:rsidP="002303CE">
    <w:pPr>
      <w:pStyle w:val="Header"/>
      <w:rPr>
        <w:lang w:val="es-ES_tradnl"/>
      </w:rPr>
    </w:pPr>
    <w:r w:rsidRPr="008F4679">
      <w:rPr>
        <w:lang w:val="es-ES_tradnl"/>
      </w:rPr>
      <w:tab/>
    </w:r>
    <w:r w:rsidR="00D25BD3" w:rsidRPr="008F4679">
      <w:rPr>
        <w:lang w:val="es-ES_tradnl"/>
      </w:rPr>
      <w:t xml:space="preserve">SSP.ANS — </w:t>
    </w:r>
    <w:r w:rsidR="008F4679">
      <w:rPr>
        <w:lang w:val="es-ES_tradnl"/>
      </w:rPr>
      <w:t>Servicios de navegación aérea</w:t>
    </w:r>
    <w:r w:rsidR="00D25BD3" w:rsidRPr="008F4679">
      <w:rPr>
        <w:lang w:val="es-ES_tradnl"/>
      </w:rPr>
      <w:tab/>
      <w:t>P</w:t>
    </w:r>
    <w:r w:rsidR="008F4679">
      <w:rPr>
        <w:lang w:val="es-ES_tradnl"/>
      </w:rPr>
      <w:t>ágina</w:t>
    </w:r>
    <w:r w:rsidR="00D25BD3" w:rsidRPr="008F4679">
      <w:rPr>
        <w:lang w:val="es-ES_tradnl"/>
      </w:rPr>
      <w:t xml:space="preserve"> </w:t>
    </w:r>
    <w:r w:rsidR="00D25BD3" w:rsidRPr="008F4679">
      <w:rPr>
        <w:lang w:val="es-ES_tradnl"/>
      </w:rPr>
      <w:fldChar w:fldCharType="begin"/>
    </w:r>
    <w:r w:rsidR="00D25BD3" w:rsidRPr="008F4679">
      <w:rPr>
        <w:lang w:val="es-ES_tradnl"/>
      </w:rPr>
      <w:instrText xml:space="preserve"> PAGE   \* MERGEFORMAT </w:instrText>
    </w:r>
    <w:r w:rsidR="00D25BD3" w:rsidRPr="008F4679">
      <w:rPr>
        <w:lang w:val="es-ES_tradnl"/>
      </w:rPr>
      <w:fldChar w:fldCharType="separate"/>
    </w:r>
    <w:r w:rsidR="00202931">
      <w:rPr>
        <w:noProof/>
        <w:lang w:val="es-ES_tradnl"/>
      </w:rPr>
      <w:t>5</w:t>
    </w:r>
    <w:r w:rsidR="00D25BD3" w:rsidRPr="008F4679">
      <w:rPr>
        <w:noProof/>
        <w:lang w:val="es-ES_tradnl"/>
      </w:rPr>
      <w:fldChar w:fldCharType="end"/>
    </w:r>
    <w:r w:rsidR="00D25BD3" w:rsidRPr="008F4679">
      <w:rPr>
        <w:noProof/>
        <w:lang w:val="es-ES_tradnl"/>
      </w:rPr>
      <w:t xml:space="preserve"> </w:t>
    </w:r>
    <w:r w:rsidR="008F4679">
      <w:rPr>
        <w:noProof/>
        <w:lang w:val="es-ES_tradnl"/>
      </w:rPr>
      <w:t>de</w:t>
    </w:r>
    <w:r w:rsidR="00D25BD3" w:rsidRPr="008F4679">
      <w:rPr>
        <w:noProof/>
        <w:lang w:val="es-ES_tradnl"/>
      </w:rPr>
      <w:t xml:space="preserve"> </w:t>
    </w:r>
    <w:r w:rsidR="00D25BD3" w:rsidRPr="008F4679">
      <w:rPr>
        <w:noProof/>
        <w:lang w:val="es-ES_tradnl"/>
      </w:rPr>
      <w:fldChar w:fldCharType="begin"/>
    </w:r>
    <w:r w:rsidR="00D25BD3" w:rsidRPr="008F4679">
      <w:rPr>
        <w:noProof/>
        <w:lang w:val="es-ES_tradnl"/>
      </w:rPr>
      <w:instrText xml:space="preserve"> NUMPAGES   \* MERGEFORMAT </w:instrText>
    </w:r>
    <w:r w:rsidR="00D25BD3" w:rsidRPr="008F4679">
      <w:rPr>
        <w:noProof/>
        <w:lang w:val="es-ES_tradnl"/>
      </w:rPr>
      <w:fldChar w:fldCharType="separate"/>
    </w:r>
    <w:r w:rsidR="00202931">
      <w:rPr>
        <w:noProof/>
        <w:lang w:val="es-ES_tradnl"/>
      </w:rPr>
      <w:t>13</w:t>
    </w:r>
    <w:r w:rsidR="00D25BD3" w:rsidRPr="008F4679">
      <w:rPr>
        <w:noProof/>
        <w:lang w:val="es-ES_tradnl"/>
      </w:rPr>
      <w:fldChar w:fldCharType="end"/>
    </w:r>
  </w:p>
  <w:p w14:paraId="47ADE1BF" w14:textId="6CD86784" w:rsidR="00D25BD3" w:rsidRPr="008F4679" w:rsidRDefault="008F4679" w:rsidP="008F4679">
    <w:pPr>
      <w:pStyle w:val="Header"/>
      <w:rPr>
        <w:lang w:val="es-ES_tradnl"/>
      </w:rPr>
    </w:pPr>
    <w:r w:rsidRPr="002303CE">
      <w:rPr>
        <w:lang w:val="es-ES_tradnl"/>
      </w:rPr>
      <w:t>Preguntas del protocolo correspondientes a 2018 y matriz del nivel de madurez</w:t>
    </w:r>
  </w:p>
  <w:p w14:paraId="74BA45BC" w14:textId="77777777" w:rsidR="00D9163C" w:rsidRPr="008F4679" w:rsidRDefault="00D9163C" w:rsidP="002303CE">
    <w:pPr>
      <w:pStyle w:val="Header"/>
      <w:rPr>
        <w:lang w:val="es-ES_tradnl"/>
      </w:rPr>
    </w:pPr>
  </w:p>
  <w:p w14:paraId="291225F9" w14:textId="77777777" w:rsidR="00D25BD3" w:rsidRPr="008F4679" w:rsidRDefault="00D25BD3" w:rsidP="002303CE">
    <w:pPr>
      <w:pStyle w:val="Heade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85CC" w14:textId="368A9CC7" w:rsidR="00073B66" w:rsidRPr="002303CE" w:rsidRDefault="004A41E4" w:rsidP="002303CE">
    <w:pPr>
      <w:pStyle w:val="Header"/>
      <w:rPr>
        <w:lang w:val="es-ES_tradnl"/>
      </w:rPr>
    </w:pPr>
    <w:r w:rsidRPr="002303CE">
      <w:rPr>
        <w:lang w:val="es-ES_tradnl"/>
      </w:rPr>
      <w:tab/>
    </w:r>
    <w:r w:rsidR="007E61B7" w:rsidRPr="002303CE">
      <w:rPr>
        <w:lang w:val="es-ES_tradnl"/>
      </w:rPr>
      <w:t>ENFOQUE DE OBSERVACIÓN CONTINUA (CMA) DEL PROGRAMA UNIVERSAL DE AUDITORÍA DE LA VIGILANCIA</w:t>
    </w:r>
    <w:r w:rsidRPr="002303CE">
      <w:rPr>
        <w:lang w:val="es-ES_tradnl"/>
      </w:rPr>
      <w:tab/>
      <w:t>P</w:t>
    </w:r>
    <w:r w:rsidR="00073B66" w:rsidRPr="002303CE">
      <w:rPr>
        <w:lang w:val="es-ES_tradnl"/>
      </w:rPr>
      <w:t>ágina</w:t>
    </w:r>
    <w:r w:rsidRPr="002303CE">
      <w:rPr>
        <w:lang w:val="es-ES_tradnl"/>
      </w:rPr>
      <w:t xml:space="preserve"> </w:t>
    </w:r>
    <w:r w:rsidRPr="002303CE">
      <w:rPr>
        <w:lang w:val="es-ES_tradnl"/>
      </w:rPr>
      <w:fldChar w:fldCharType="begin"/>
    </w:r>
    <w:r w:rsidRPr="002303CE">
      <w:rPr>
        <w:lang w:val="es-ES_tradnl"/>
      </w:rPr>
      <w:instrText xml:space="preserve"> PAGE   \* MERGEFORMAT </w:instrText>
    </w:r>
    <w:r w:rsidRPr="002303CE">
      <w:rPr>
        <w:lang w:val="es-ES_tradnl"/>
      </w:rPr>
      <w:fldChar w:fldCharType="separate"/>
    </w:r>
    <w:r w:rsidR="00202931">
      <w:rPr>
        <w:noProof/>
        <w:lang w:val="es-ES_tradnl"/>
      </w:rPr>
      <w:t>1</w:t>
    </w:r>
    <w:r w:rsidRPr="002303CE">
      <w:rPr>
        <w:noProof/>
        <w:lang w:val="es-ES_tradnl"/>
      </w:rPr>
      <w:fldChar w:fldCharType="end"/>
    </w:r>
    <w:r w:rsidRPr="002303CE">
      <w:rPr>
        <w:noProof/>
        <w:lang w:val="es-ES_tradnl"/>
      </w:rPr>
      <w:t xml:space="preserve"> </w:t>
    </w:r>
    <w:r w:rsidR="00073B66" w:rsidRPr="002303CE">
      <w:rPr>
        <w:noProof/>
        <w:lang w:val="es-ES_tradnl"/>
      </w:rPr>
      <w:t>de</w:t>
    </w:r>
    <w:r w:rsidRPr="002303CE">
      <w:rPr>
        <w:noProof/>
        <w:lang w:val="es-ES_tradnl"/>
      </w:rPr>
      <w:t xml:space="preserve"> </w:t>
    </w:r>
    <w:r w:rsidRPr="002303CE">
      <w:rPr>
        <w:noProof/>
        <w:lang w:val="es-ES_tradnl"/>
      </w:rPr>
      <w:fldChar w:fldCharType="begin"/>
    </w:r>
    <w:r w:rsidRPr="002303CE">
      <w:rPr>
        <w:noProof/>
        <w:lang w:val="es-ES_tradnl"/>
      </w:rPr>
      <w:instrText xml:space="preserve"> NUMPAGES   \* MERGEFORMAT </w:instrText>
    </w:r>
    <w:r w:rsidRPr="002303CE">
      <w:rPr>
        <w:noProof/>
        <w:lang w:val="es-ES_tradnl"/>
      </w:rPr>
      <w:fldChar w:fldCharType="separate"/>
    </w:r>
    <w:r w:rsidR="00202931">
      <w:rPr>
        <w:noProof/>
        <w:lang w:val="es-ES_tradnl"/>
      </w:rPr>
      <w:t>13</w:t>
    </w:r>
    <w:r w:rsidRPr="002303CE">
      <w:rPr>
        <w:noProof/>
        <w:lang w:val="es-ES_tradnl"/>
      </w:rPr>
      <w:fldChar w:fldCharType="end"/>
    </w:r>
  </w:p>
  <w:p w14:paraId="65A08FE7" w14:textId="642F4A29" w:rsidR="00073B66" w:rsidRPr="002303CE" w:rsidRDefault="00C512DB" w:rsidP="002303CE">
    <w:pPr>
      <w:pStyle w:val="Header"/>
      <w:rPr>
        <w:lang w:val="es-ES_tradnl"/>
      </w:rPr>
    </w:pPr>
    <w:r w:rsidRPr="002303CE">
      <w:rPr>
        <w:lang w:val="es-ES_tradnl"/>
      </w:rPr>
      <w:t>DE LA SEGURIDAD OPERACIONAL (USOAP)</w:t>
    </w:r>
  </w:p>
  <w:p w14:paraId="10E595EA" w14:textId="77777777" w:rsidR="00073B66" w:rsidRPr="002303CE" w:rsidRDefault="00C512DB" w:rsidP="002303CE">
    <w:pPr>
      <w:pStyle w:val="Header"/>
      <w:rPr>
        <w:lang w:val="es-ES_tradnl"/>
      </w:rPr>
    </w:pPr>
    <w:r w:rsidRPr="002303CE">
      <w:rPr>
        <w:lang w:val="es-ES_tradnl"/>
      </w:rPr>
      <w:tab/>
    </w:r>
  </w:p>
  <w:p w14:paraId="005EBD06" w14:textId="5FB39549" w:rsidR="00073B66" w:rsidRPr="002303CE" w:rsidRDefault="00C512DB" w:rsidP="002303CE">
    <w:pPr>
      <w:pStyle w:val="Header"/>
      <w:rPr>
        <w:lang w:val="es-ES_tradnl"/>
      </w:rPr>
    </w:pPr>
    <w:r w:rsidRPr="002303CE">
      <w:rPr>
        <w:lang w:val="es-ES_tradnl"/>
      </w:rPr>
      <w:t>EVALUACIÓN DE LA IMPLEMENTACIÓN DE LOS PROGRAMAS ESTATALES DE SEGURIDAD OPERACIONAL (SSPIA)</w:t>
    </w:r>
  </w:p>
  <w:p w14:paraId="34F9BEB6" w14:textId="0772EF09" w:rsidR="00073B66" w:rsidRPr="002303CE" w:rsidRDefault="004A41E4" w:rsidP="002303CE">
    <w:pPr>
      <w:pStyle w:val="Header"/>
      <w:rPr>
        <w:lang w:val="es-ES_tradnl"/>
      </w:rPr>
    </w:pPr>
    <w:r w:rsidRPr="002303CE">
      <w:rPr>
        <w:lang w:val="es-ES_tradnl"/>
      </w:rPr>
      <w:t xml:space="preserve">SSP.ANS — </w:t>
    </w:r>
    <w:r w:rsidR="00073B66" w:rsidRPr="002303CE">
      <w:rPr>
        <w:lang w:val="es-ES_tradnl"/>
      </w:rPr>
      <w:t>Servicios de navegación aérea</w:t>
    </w:r>
  </w:p>
  <w:p w14:paraId="2A40D22E" w14:textId="77777777" w:rsidR="007E61B7" w:rsidRDefault="00073B66" w:rsidP="007E61B7">
    <w:pPr>
      <w:pStyle w:val="Header"/>
      <w:rPr>
        <w:lang w:val="es-ES_tradnl"/>
      </w:rPr>
    </w:pPr>
    <w:r w:rsidRPr="002303CE">
      <w:rPr>
        <w:lang w:val="es-ES_tradnl"/>
      </w:rPr>
      <w:t>Preguntas del protocolo correspondientes a 2018 y matriz del nivel de madurez</w:t>
    </w:r>
  </w:p>
  <w:p w14:paraId="292C2AC6" w14:textId="55432A51" w:rsidR="004A41E4" w:rsidRDefault="004A41E4" w:rsidP="002303CE">
    <w:pPr>
      <w:pStyle w:val="Header"/>
      <w:rPr>
        <w:lang w:val="es-ES_tradnl"/>
      </w:rPr>
    </w:pPr>
  </w:p>
  <w:p w14:paraId="0CBB38AD" w14:textId="77777777" w:rsidR="00BD7F10" w:rsidRPr="002303CE" w:rsidRDefault="00BD7F10" w:rsidP="002303CE">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F7E9F"/>
    <w:multiLevelType w:val="hybridMultilevel"/>
    <w:tmpl w:val="E7E83698"/>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2022-00331"/>
    <w:docVar w:name="TextBaseURL" w:val="empty"/>
    <w:docVar w:name="UILng" w:val="en"/>
  </w:docVars>
  <w:rsids>
    <w:rsidRoot w:val="0059362F"/>
    <w:rsid w:val="00001E25"/>
    <w:rsid w:val="00012971"/>
    <w:rsid w:val="00013650"/>
    <w:rsid w:val="00014ED7"/>
    <w:rsid w:val="00022928"/>
    <w:rsid w:val="00033EBD"/>
    <w:rsid w:val="00035AAC"/>
    <w:rsid w:val="000372AC"/>
    <w:rsid w:val="000459F8"/>
    <w:rsid w:val="00064CE3"/>
    <w:rsid w:val="00070FF7"/>
    <w:rsid w:val="0007179F"/>
    <w:rsid w:val="00073B66"/>
    <w:rsid w:val="000855ED"/>
    <w:rsid w:val="0009196F"/>
    <w:rsid w:val="00094606"/>
    <w:rsid w:val="00097FA6"/>
    <w:rsid w:val="000B2789"/>
    <w:rsid w:val="000B59FC"/>
    <w:rsid w:val="000C0691"/>
    <w:rsid w:val="000E5F46"/>
    <w:rsid w:val="000F588C"/>
    <w:rsid w:val="001013D9"/>
    <w:rsid w:val="00101B9E"/>
    <w:rsid w:val="001023F0"/>
    <w:rsid w:val="00121FBC"/>
    <w:rsid w:val="001243EC"/>
    <w:rsid w:val="0013005E"/>
    <w:rsid w:val="00131B34"/>
    <w:rsid w:val="001452F7"/>
    <w:rsid w:val="00145EC3"/>
    <w:rsid w:val="001462D8"/>
    <w:rsid w:val="00155595"/>
    <w:rsid w:val="001557D3"/>
    <w:rsid w:val="001559BB"/>
    <w:rsid w:val="00161476"/>
    <w:rsid w:val="001644BA"/>
    <w:rsid w:val="00173792"/>
    <w:rsid w:val="00183524"/>
    <w:rsid w:val="00197F75"/>
    <w:rsid w:val="001B65FC"/>
    <w:rsid w:val="001E33F4"/>
    <w:rsid w:val="00202931"/>
    <w:rsid w:val="002057CD"/>
    <w:rsid w:val="0022153D"/>
    <w:rsid w:val="002303CE"/>
    <w:rsid w:val="00234950"/>
    <w:rsid w:val="00235293"/>
    <w:rsid w:val="00244D9D"/>
    <w:rsid w:val="00254D82"/>
    <w:rsid w:val="002652A4"/>
    <w:rsid w:val="00275B4F"/>
    <w:rsid w:val="00276604"/>
    <w:rsid w:val="002803C9"/>
    <w:rsid w:val="002B00B2"/>
    <w:rsid w:val="002B031B"/>
    <w:rsid w:val="002C056C"/>
    <w:rsid w:val="002C71A3"/>
    <w:rsid w:val="002D0A51"/>
    <w:rsid w:val="002E756C"/>
    <w:rsid w:val="002F0529"/>
    <w:rsid w:val="002F2C99"/>
    <w:rsid w:val="002F30CF"/>
    <w:rsid w:val="002F5C50"/>
    <w:rsid w:val="00300DB8"/>
    <w:rsid w:val="00304EE2"/>
    <w:rsid w:val="003066D8"/>
    <w:rsid w:val="00306E5F"/>
    <w:rsid w:val="003136FD"/>
    <w:rsid w:val="0033559E"/>
    <w:rsid w:val="00337928"/>
    <w:rsid w:val="00337BC4"/>
    <w:rsid w:val="00350934"/>
    <w:rsid w:val="003541DE"/>
    <w:rsid w:val="0036508B"/>
    <w:rsid w:val="00372E32"/>
    <w:rsid w:val="00377992"/>
    <w:rsid w:val="003B3378"/>
    <w:rsid w:val="003B4551"/>
    <w:rsid w:val="003C45DD"/>
    <w:rsid w:val="003D080B"/>
    <w:rsid w:val="003F7104"/>
    <w:rsid w:val="00403230"/>
    <w:rsid w:val="00405733"/>
    <w:rsid w:val="00414F9F"/>
    <w:rsid w:val="004158E2"/>
    <w:rsid w:val="00435E9D"/>
    <w:rsid w:val="00440977"/>
    <w:rsid w:val="00442413"/>
    <w:rsid w:val="00444EE8"/>
    <w:rsid w:val="00447FC6"/>
    <w:rsid w:val="004503A9"/>
    <w:rsid w:val="00451E67"/>
    <w:rsid w:val="004559E5"/>
    <w:rsid w:val="00456A25"/>
    <w:rsid w:val="00460B77"/>
    <w:rsid w:val="00462FE5"/>
    <w:rsid w:val="00467E35"/>
    <w:rsid w:val="00467F7F"/>
    <w:rsid w:val="00472F58"/>
    <w:rsid w:val="00474859"/>
    <w:rsid w:val="004766DF"/>
    <w:rsid w:val="00480036"/>
    <w:rsid w:val="004919B9"/>
    <w:rsid w:val="00493197"/>
    <w:rsid w:val="00496D9F"/>
    <w:rsid w:val="004A13B9"/>
    <w:rsid w:val="004A41E4"/>
    <w:rsid w:val="004A5E36"/>
    <w:rsid w:val="004B3E79"/>
    <w:rsid w:val="004B4C22"/>
    <w:rsid w:val="004B5C20"/>
    <w:rsid w:val="004C3207"/>
    <w:rsid w:val="004E3DB1"/>
    <w:rsid w:val="004F65E0"/>
    <w:rsid w:val="00500409"/>
    <w:rsid w:val="00506B99"/>
    <w:rsid w:val="0051474C"/>
    <w:rsid w:val="00517D74"/>
    <w:rsid w:val="0053171D"/>
    <w:rsid w:val="00532378"/>
    <w:rsid w:val="0053470F"/>
    <w:rsid w:val="00536D5D"/>
    <w:rsid w:val="005411D0"/>
    <w:rsid w:val="00550B12"/>
    <w:rsid w:val="005520B2"/>
    <w:rsid w:val="00553443"/>
    <w:rsid w:val="00572CAB"/>
    <w:rsid w:val="00581003"/>
    <w:rsid w:val="00592152"/>
    <w:rsid w:val="0059362F"/>
    <w:rsid w:val="005B1C24"/>
    <w:rsid w:val="005C6749"/>
    <w:rsid w:val="005F60BF"/>
    <w:rsid w:val="00604318"/>
    <w:rsid w:val="00605746"/>
    <w:rsid w:val="006077C4"/>
    <w:rsid w:val="00610091"/>
    <w:rsid w:val="00612E06"/>
    <w:rsid w:val="006132BB"/>
    <w:rsid w:val="006243AE"/>
    <w:rsid w:val="006254B6"/>
    <w:rsid w:val="006311B3"/>
    <w:rsid w:val="00634CC0"/>
    <w:rsid w:val="00641ED4"/>
    <w:rsid w:val="00653DF6"/>
    <w:rsid w:val="006543BE"/>
    <w:rsid w:val="006566FA"/>
    <w:rsid w:val="0065720E"/>
    <w:rsid w:val="00665597"/>
    <w:rsid w:val="006757F9"/>
    <w:rsid w:val="00676B44"/>
    <w:rsid w:val="00677A34"/>
    <w:rsid w:val="0068410A"/>
    <w:rsid w:val="0069209A"/>
    <w:rsid w:val="006A69EF"/>
    <w:rsid w:val="006B668D"/>
    <w:rsid w:val="006C0BCA"/>
    <w:rsid w:val="006D26A3"/>
    <w:rsid w:val="006D2884"/>
    <w:rsid w:val="006E5F2E"/>
    <w:rsid w:val="006E61FF"/>
    <w:rsid w:val="006F0D19"/>
    <w:rsid w:val="006F2CF9"/>
    <w:rsid w:val="00701FEA"/>
    <w:rsid w:val="007044B5"/>
    <w:rsid w:val="0070734A"/>
    <w:rsid w:val="00713956"/>
    <w:rsid w:val="007142A2"/>
    <w:rsid w:val="00725220"/>
    <w:rsid w:val="0074085B"/>
    <w:rsid w:val="00742FBB"/>
    <w:rsid w:val="007558EE"/>
    <w:rsid w:val="00763496"/>
    <w:rsid w:val="0077133C"/>
    <w:rsid w:val="0077564F"/>
    <w:rsid w:val="007812D0"/>
    <w:rsid w:val="00781779"/>
    <w:rsid w:val="00786F43"/>
    <w:rsid w:val="0079174E"/>
    <w:rsid w:val="007964E4"/>
    <w:rsid w:val="007A05FD"/>
    <w:rsid w:val="007A3346"/>
    <w:rsid w:val="007B4C5A"/>
    <w:rsid w:val="007B50CE"/>
    <w:rsid w:val="007C0926"/>
    <w:rsid w:val="007C0B35"/>
    <w:rsid w:val="007E0DB4"/>
    <w:rsid w:val="007E3A2D"/>
    <w:rsid w:val="007E61B7"/>
    <w:rsid w:val="007E6BD3"/>
    <w:rsid w:val="007F4106"/>
    <w:rsid w:val="00802C1E"/>
    <w:rsid w:val="00807E1D"/>
    <w:rsid w:val="00831329"/>
    <w:rsid w:val="00836491"/>
    <w:rsid w:val="00836B7D"/>
    <w:rsid w:val="00841A02"/>
    <w:rsid w:val="00842C8A"/>
    <w:rsid w:val="00856B03"/>
    <w:rsid w:val="0085778F"/>
    <w:rsid w:val="00864D55"/>
    <w:rsid w:val="00870BE2"/>
    <w:rsid w:val="00874681"/>
    <w:rsid w:val="00874B7C"/>
    <w:rsid w:val="00874C1A"/>
    <w:rsid w:val="0089393E"/>
    <w:rsid w:val="008B4B3A"/>
    <w:rsid w:val="008B4C69"/>
    <w:rsid w:val="008C1FB2"/>
    <w:rsid w:val="008C4EC5"/>
    <w:rsid w:val="008D4EEB"/>
    <w:rsid w:val="008D6A32"/>
    <w:rsid w:val="008E674E"/>
    <w:rsid w:val="008F4679"/>
    <w:rsid w:val="008F682C"/>
    <w:rsid w:val="0090731B"/>
    <w:rsid w:val="00914428"/>
    <w:rsid w:val="00916010"/>
    <w:rsid w:val="00921DE6"/>
    <w:rsid w:val="00943324"/>
    <w:rsid w:val="009447EA"/>
    <w:rsid w:val="009504F9"/>
    <w:rsid w:val="0095571F"/>
    <w:rsid w:val="00960C89"/>
    <w:rsid w:val="00963E11"/>
    <w:rsid w:val="00965DC4"/>
    <w:rsid w:val="00977045"/>
    <w:rsid w:val="0097738A"/>
    <w:rsid w:val="009865B4"/>
    <w:rsid w:val="00990F9A"/>
    <w:rsid w:val="0099205B"/>
    <w:rsid w:val="009936F3"/>
    <w:rsid w:val="009C01EF"/>
    <w:rsid w:val="009C08A3"/>
    <w:rsid w:val="009C2474"/>
    <w:rsid w:val="009C7DED"/>
    <w:rsid w:val="009D50D8"/>
    <w:rsid w:val="009E3DB6"/>
    <w:rsid w:val="009E4BD2"/>
    <w:rsid w:val="009F5AE3"/>
    <w:rsid w:val="00A04B52"/>
    <w:rsid w:val="00A054EF"/>
    <w:rsid w:val="00A2098C"/>
    <w:rsid w:val="00A266BA"/>
    <w:rsid w:val="00A26DFC"/>
    <w:rsid w:val="00A3351E"/>
    <w:rsid w:val="00A41054"/>
    <w:rsid w:val="00A420C8"/>
    <w:rsid w:val="00A6057A"/>
    <w:rsid w:val="00A63323"/>
    <w:rsid w:val="00A63883"/>
    <w:rsid w:val="00A71E11"/>
    <w:rsid w:val="00A74C3B"/>
    <w:rsid w:val="00A93746"/>
    <w:rsid w:val="00A939C8"/>
    <w:rsid w:val="00A94886"/>
    <w:rsid w:val="00A95B90"/>
    <w:rsid w:val="00AB00FF"/>
    <w:rsid w:val="00AB27FB"/>
    <w:rsid w:val="00AB4C42"/>
    <w:rsid w:val="00AB6D77"/>
    <w:rsid w:val="00AC2937"/>
    <w:rsid w:val="00AC3738"/>
    <w:rsid w:val="00AC6841"/>
    <w:rsid w:val="00AD1F19"/>
    <w:rsid w:val="00AD478A"/>
    <w:rsid w:val="00AD4EDE"/>
    <w:rsid w:val="00AE74D5"/>
    <w:rsid w:val="00AF01D2"/>
    <w:rsid w:val="00AF5231"/>
    <w:rsid w:val="00AF68E3"/>
    <w:rsid w:val="00B004C9"/>
    <w:rsid w:val="00B13C0F"/>
    <w:rsid w:val="00B223B6"/>
    <w:rsid w:val="00B2565C"/>
    <w:rsid w:val="00B350C6"/>
    <w:rsid w:val="00B35BF2"/>
    <w:rsid w:val="00B408C2"/>
    <w:rsid w:val="00B47A55"/>
    <w:rsid w:val="00B5252D"/>
    <w:rsid w:val="00B545CB"/>
    <w:rsid w:val="00B7039F"/>
    <w:rsid w:val="00B856CA"/>
    <w:rsid w:val="00B93FA7"/>
    <w:rsid w:val="00BB0F74"/>
    <w:rsid w:val="00BB3991"/>
    <w:rsid w:val="00BC7F8E"/>
    <w:rsid w:val="00BD04E9"/>
    <w:rsid w:val="00BD1EB2"/>
    <w:rsid w:val="00BD6EC9"/>
    <w:rsid w:val="00BD7F10"/>
    <w:rsid w:val="00BE45D1"/>
    <w:rsid w:val="00BE5E65"/>
    <w:rsid w:val="00BF00A4"/>
    <w:rsid w:val="00C0287D"/>
    <w:rsid w:val="00C0640C"/>
    <w:rsid w:val="00C12BBA"/>
    <w:rsid w:val="00C21411"/>
    <w:rsid w:val="00C229A1"/>
    <w:rsid w:val="00C35219"/>
    <w:rsid w:val="00C35E80"/>
    <w:rsid w:val="00C36477"/>
    <w:rsid w:val="00C40AB7"/>
    <w:rsid w:val="00C512DB"/>
    <w:rsid w:val="00C61D49"/>
    <w:rsid w:val="00C62F19"/>
    <w:rsid w:val="00C63F84"/>
    <w:rsid w:val="00C6538B"/>
    <w:rsid w:val="00C678EF"/>
    <w:rsid w:val="00C73E54"/>
    <w:rsid w:val="00C8456E"/>
    <w:rsid w:val="00C85BC2"/>
    <w:rsid w:val="00C874D4"/>
    <w:rsid w:val="00C8757D"/>
    <w:rsid w:val="00C9291B"/>
    <w:rsid w:val="00C9775A"/>
    <w:rsid w:val="00CA1671"/>
    <w:rsid w:val="00CA56CE"/>
    <w:rsid w:val="00CA7EC5"/>
    <w:rsid w:val="00CC184B"/>
    <w:rsid w:val="00CC4382"/>
    <w:rsid w:val="00CC6E3A"/>
    <w:rsid w:val="00CE3F96"/>
    <w:rsid w:val="00CE7C11"/>
    <w:rsid w:val="00CF1352"/>
    <w:rsid w:val="00CF2027"/>
    <w:rsid w:val="00CF29FB"/>
    <w:rsid w:val="00CF689E"/>
    <w:rsid w:val="00D042E2"/>
    <w:rsid w:val="00D06EFA"/>
    <w:rsid w:val="00D11C1A"/>
    <w:rsid w:val="00D25BD3"/>
    <w:rsid w:val="00D30F1A"/>
    <w:rsid w:val="00D376D3"/>
    <w:rsid w:val="00D56C77"/>
    <w:rsid w:val="00D66D24"/>
    <w:rsid w:val="00D70023"/>
    <w:rsid w:val="00D724D8"/>
    <w:rsid w:val="00D9163C"/>
    <w:rsid w:val="00DA309A"/>
    <w:rsid w:val="00DB7386"/>
    <w:rsid w:val="00DD2108"/>
    <w:rsid w:val="00DD5FD6"/>
    <w:rsid w:val="00DD6826"/>
    <w:rsid w:val="00DE0758"/>
    <w:rsid w:val="00DF2568"/>
    <w:rsid w:val="00DF3100"/>
    <w:rsid w:val="00DF6CDE"/>
    <w:rsid w:val="00E07140"/>
    <w:rsid w:val="00E07D8E"/>
    <w:rsid w:val="00E113DF"/>
    <w:rsid w:val="00E3577C"/>
    <w:rsid w:val="00E44FB6"/>
    <w:rsid w:val="00E55C7D"/>
    <w:rsid w:val="00E57944"/>
    <w:rsid w:val="00E61BF1"/>
    <w:rsid w:val="00E763E5"/>
    <w:rsid w:val="00E84AD2"/>
    <w:rsid w:val="00E84FC8"/>
    <w:rsid w:val="00E90FDC"/>
    <w:rsid w:val="00E92AA7"/>
    <w:rsid w:val="00E96A43"/>
    <w:rsid w:val="00EA0DC0"/>
    <w:rsid w:val="00EB3A61"/>
    <w:rsid w:val="00EB44A5"/>
    <w:rsid w:val="00EC05D7"/>
    <w:rsid w:val="00EE0AC4"/>
    <w:rsid w:val="00EE1CC8"/>
    <w:rsid w:val="00EE7838"/>
    <w:rsid w:val="00EF7639"/>
    <w:rsid w:val="00F02463"/>
    <w:rsid w:val="00F10244"/>
    <w:rsid w:val="00F12941"/>
    <w:rsid w:val="00F27AC9"/>
    <w:rsid w:val="00F54278"/>
    <w:rsid w:val="00F56B7E"/>
    <w:rsid w:val="00F57A0C"/>
    <w:rsid w:val="00F73142"/>
    <w:rsid w:val="00F852FA"/>
    <w:rsid w:val="00F85B5C"/>
    <w:rsid w:val="00F869CF"/>
    <w:rsid w:val="00F90EEC"/>
    <w:rsid w:val="00F9109A"/>
    <w:rsid w:val="00F96986"/>
    <w:rsid w:val="00FA1F6C"/>
    <w:rsid w:val="00FB754B"/>
    <w:rsid w:val="00FC23DA"/>
    <w:rsid w:val="00FC5804"/>
    <w:rsid w:val="00FD4FED"/>
    <w:rsid w:val="00FE65EC"/>
    <w:rsid w:val="00FF133C"/>
    <w:rsid w:val="00FF3722"/>
    <w:rsid w:val="00FF59B4"/>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DA58F5"/>
  <w15:docId w15:val="{ED0DE02F-93ED-44B5-9F37-0283F404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63C"/>
    <w:pPr>
      <w:spacing w:before="120"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6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6CA"/>
    <w:rPr>
      <w:rFonts w:ascii="Tahoma" w:hAnsi="Tahoma" w:cs="Tahoma"/>
      <w:sz w:val="16"/>
      <w:szCs w:val="16"/>
    </w:rPr>
  </w:style>
  <w:style w:type="paragraph" w:styleId="ListParagraph">
    <w:name w:val="List Paragraph"/>
    <w:basedOn w:val="Normal"/>
    <w:uiPriority w:val="34"/>
    <w:qFormat/>
    <w:rsid w:val="004158E2"/>
    <w:pPr>
      <w:ind w:left="720"/>
      <w:contextualSpacing/>
    </w:pPr>
  </w:style>
  <w:style w:type="character" w:styleId="CommentReference">
    <w:name w:val="annotation reference"/>
    <w:basedOn w:val="DefaultParagraphFont"/>
    <w:uiPriority w:val="99"/>
    <w:semiHidden/>
    <w:unhideWhenUsed/>
    <w:rsid w:val="00C678EF"/>
    <w:rPr>
      <w:sz w:val="16"/>
      <w:szCs w:val="16"/>
    </w:rPr>
  </w:style>
  <w:style w:type="paragraph" w:styleId="CommentText">
    <w:name w:val="annotation text"/>
    <w:basedOn w:val="Normal"/>
    <w:link w:val="CommentTextChar"/>
    <w:uiPriority w:val="99"/>
    <w:unhideWhenUsed/>
    <w:rsid w:val="00C678EF"/>
    <w:rPr>
      <w:sz w:val="20"/>
      <w:szCs w:val="20"/>
    </w:rPr>
  </w:style>
  <w:style w:type="character" w:customStyle="1" w:styleId="CommentTextChar">
    <w:name w:val="Comment Text Char"/>
    <w:basedOn w:val="DefaultParagraphFont"/>
    <w:link w:val="CommentText"/>
    <w:uiPriority w:val="99"/>
    <w:rsid w:val="00C678EF"/>
    <w:rPr>
      <w:sz w:val="20"/>
      <w:szCs w:val="20"/>
    </w:rPr>
  </w:style>
  <w:style w:type="paragraph" w:styleId="CommentSubject">
    <w:name w:val="annotation subject"/>
    <w:basedOn w:val="CommentText"/>
    <w:next w:val="CommentText"/>
    <w:link w:val="CommentSubjectChar"/>
    <w:uiPriority w:val="99"/>
    <w:semiHidden/>
    <w:unhideWhenUsed/>
    <w:rsid w:val="00C678EF"/>
    <w:rPr>
      <w:b/>
      <w:bCs/>
    </w:rPr>
  </w:style>
  <w:style w:type="character" w:customStyle="1" w:styleId="CommentSubjectChar">
    <w:name w:val="Comment Subject Char"/>
    <w:basedOn w:val="CommentTextChar"/>
    <w:link w:val="CommentSubject"/>
    <w:uiPriority w:val="99"/>
    <w:semiHidden/>
    <w:rsid w:val="00C678EF"/>
    <w:rPr>
      <w:b/>
      <w:bCs/>
      <w:sz w:val="20"/>
      <w:szCs w:val="20"/>
    </w:rPr>
  </w:style>
  <w:style w:type="paragraph" w:styleId="Header">
    <w:name w:val="header"/>
    <w:basedOn w:val="Normal"/>
    <w:link w:val="HeaderChar"/>
    <w:autoRedefine/>
    <w:uiPriority w:val="99"/>
    <w:unhideWhenUsed/>
    <w:rsid w:val="002303CE"/>
    <w:pPr>
      <w:tabs>
        <w:tab w:val="center" w:pos="8640"/>
        <w:tab w:val="right" w:pos="17280"/>
      </w:tabs>
      <w:spacing w:before="0" w:after="0" w:line="240" w:lineRule="atLeast"/>
      <w:jc w:val="center"/>
    </w:pPr>
    <w:rPr>
      <w:sz w:val="24"/>
      <w:szCs w:val="36"/>
      <w:lang w:val="en-US"/>
    </w:rPr>
  </w:style>
  <w:style w:type="character" w:customStyle="1" w:styleId="HeaderChar">
    <w:name w:val="Header Char"/>
    <w:basedOn w:val="DefaultParagraphFont"/>
    <w:link w:val="Header"/>
    <w:uiPriority w:val="99"/>
    <w:rsid w:val="002303CE"/>
    <w:rPr>
      <w:rFonts w:ascii="Times New Roman" w:hAnsi="Times New Roman"/>
      <w:sz w:val="24"/>
      <w:szCs w:val="36"/>
      <w:lang w:val="en-US"/>
    </w:rPr>
  </w:style>
  <w:style w:type="paragraph" w:styleId="Footer">
    <w:name w:val="footer"/>
    <w:basedOn w:val="Normal"/>
    <w:link w:val="FooterChar"/>
    <w:autoRedefine/>
    <w:uiPriority w:val="99"/>
    <w:unhideWhenUsed/>
    <w:rsid w:val="00E92AA7"/>
    <w:pPr>
      <w:tabs>
        <w:tab w:val="right" w:pos="17280"/>
      </w:tabs>
      <w:spacing w:after="0"/>
    </w:pPr>
  </w:style>
  <w:style w:type="character" w:customStyle="1" w:styleId="FooterChar">
    <w:name w:val="Footer Char"/>
    <w:basedOn w:val="DefaultParagraphFont"/>
    <w:link w:val="Footer"/>
    <w:uiPriority w:val="99"/>
    <w:rsid w:val="00E92AA7"/>
    <w:rPr>
      <w:rFonts w:ascii="Times New Roman" w:hAnsi="Times New Roman"/>
    </w:rPr>
  </w:style>
  <w:style w:type="paragraph" w:customStyle="1" w:styleId="Tableheading">
    <w:name w:val="Table heading"/>
    <w:basedOn w:val="Normal"/>
    <w:qFormat/>
    <w:rsid w:val="002F2C99"/>
    <w:pPr>
      <w:jc w:val="center"/>
    </w:pPr>
    <w:rPr>
      <w:rFonts w:asciiTheme="majorBidi" w:eastAsiaTheme="minorEastAsia" w:hAnsiTheme="majorBidi"/>
      <w:b/>
      <w:lang w:val="en-US" w:eastAsia="zh-CN"/>
    </w:rPr>
  </w:style>
  <w:style w:type="paragraph" w:customStyle="1" w:styleId="semiendline">
    <w:name w:val="semi endline"/>
    <w:basedOn w:val="Normal"/>
    <w:qFormat/>
    <w:rsid w:val="007558EE"/>
    <w:pPr>
      <w:jc w:val="center"/>
    </w:pPr>
    <w:rPr>
      <w:rFonts w:eastAsiaTheme="minorEastAsia"/>
      <w:lang w:val="en-US" w:eastAsia="zh-CN"/>
    </w:rPr>
  </w:style>
  <w:style w:type="paragraph" w:customStyle="1" w:styleId="TableHeading0">
    <w:name w:val="Table Heading"/>
    <w:basedOn w:val="Normal"/>
    <w:autoRedefine/>
    <w:qFormat/>
    <w:rsid w:val="00CF689E"/>
    <w:pPr>
      <w:spacing w:before="0" w:after="0"/>
      <w:jc w:val="center"/>
    </w:pPr>
    <w:rPr>
      <w:rFonts w:eastAsia="Times New Roman" w:cstheme="minorHAnsi"/>
      <w:b/>
      <w:bCs/>
      <w:color w:val="000000"/>
      <w:lang w:eastAsia="en-CA"/>
    </w:rPr>
  </w:style>
  <w:style w:type="paragraph" w:customStyle="1" w:styleId="ColumnCenter">
    <w:name w:val="Column Center"/>
    <w:basedOn w:val="Normal"/>
    <w:autoRedefine/>
    <w:qFormat/>
    <w:rsid w:val="00A266BA"/>
    <w:pPr>
      <w:spacing w:before="60" w:after="60"/>
      <w:jc w:val="center"/>
    </w:pPr>
    <w:rPr>
      <w:rFonts w:eastAsia="Times New Roman" w:cstheme="minorHAnsi"/>
      <w:color w:val="000000"/>
      <w:lang w:eastAsia="en-CA"/>
    </w:rPr>
  </w:style>
  <w:style w:type="paragraph" w:customStyle="1" w:styleId="Note">
    <w:name w:val="Note"/>
    <w:basedOn w:val="Normal"/>
    <w:autoRedefine/>
    <w:qFormat/>
    <w:rsid w:val="00D25BD3"/>
    <w:pPr>
      <w:spacing w:before="40" w:after="0" w:line="240" w:lineRule="atLeast"/>
    </w:pPr>
    <w:rPr>
      <w:rFonts w:eastAsia="Times New Roman" w:cstheme="minorHAnsi"/>
      <w:i/>
      <w:color w:val="000000"/>
      <w:lang w:val="en-GB" w:eastAsia="en-CA"/>
    </w:rPr>
  </w:style>
  <w:style w:type="paragraph" w:styleId="NoSpacing">
    <w:name w:val="No Spacing"/>
    <w:uiPriority w:val="1"/>
    <w:qFormat/>
    <w:rsid w:val="00D25BD3"/>
    <w:pPr>
      <w:spacing w:after="0" w:line="240" w:lineRule="auto"/>
    </w:pPr>
    <w:rPr>
      <w:rFonts w:ascii="Times New Roman" w:hAnsi="Times New Roman"/>
    </w:rPr>
  </w:style>
  <w:style w:type="paragraph" w:customStyle="1" w:styleId="Tabletext">
    <w:name w:val="Table text"/>
    <w:basedOn w:val="Normal"/>
    <w:autoRedefine/>
    <w:qFormat/>
    <w:rsid w:val="00A266BA"/>
    <w:pPr>
      <w:widowControl w:val="0"/>
      <w:autoSpaceDE w:val="0"/>
      <w:autoSpaceDN w:val="0"/>
      <w:adjustRightInd w:val="0"/>
      <w:spacing w:before="60" w:after="60"/>
    </w:pPr>
    <w:rPr>
      <w:rFonts w:eastAsia="Times New Roman" w:cs="Times New Roman"/>
      <w:szCs w:val="24"/>
      <w:lang w:val="es-ES_tradnl"/>
    </w:rPr>
  </w:style>
  <w:style w:type="table" w:styleId="TableGrid">
    <w:name w:val="Table Grid"/>
    <w:basedOn w:val="TableNormal"/>
    <w:uiPriority w:val="39"/>
    <w:rsid w:val="00A266B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66BA"/>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80449">
      <w:bodyDiv w:val="1"/>
      <w:marLeft w:val="0"/>
      <w:marRight w:val="0"/>
      <w:marTop w:val="0"/>
      <w:marBottom w:val="0"/>
      <w:divBdr>
        <w:top w:val="none" w:sz="0" w:space="0" w:color="auto"/>
        <w:left w:val="none" w:sz="0" w:space="0" w:color="auto"/>
        <w:bottom w:val="none" w:sz="0" w:space="0" w:color="auto"/>
        <w:right w:val="none" w:sz="0" w:space="0" w:color="auto"/>
      </w:divBdr>
    </w:div>
    <w:div w:id="15329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11</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Evaluación de la implementación de los programas estatales de seguridad operacional (SSPIA) SSP.ANS</LongTitle>
    <cat xmlns="101a94fc-4fb7-49fc-ab36-dbb3e9e3ccdb" xsi:nil="true"/>
    <PublishingExpirationDate xmlns="http://schemas.microsoft.com/sharepoint/v3" xsi:nil="true"/>
    <Language xmlns="101a94fc-4fb7-49fc-ab36-dbb3e9e3ccdb">Spanish</Language>
    <aaa xmlns="101a94fc-4fb7-49fc-ab36-dbb3e9e3ccdb">false</aaa>
    <a xmlns="101a94fc-4fb7-49fc-ab36-dbb3e9e3ccdb">1505</a>
    <Title2 xmlns="101a94fc-4fb7-49fc-ab36-dbb3e9e3ccdb" xsi:nil="true"/>
    <PublishingStartDate xmlns="http://schemas.microsoft.com/sharepoint/v3" xsi:nil="true"/>
    <Presenter xmlns="101a94fc-4fb7-49fc-ab36-dbb3e9e3ccdb">Secretaría</Prese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5149-8155-485F-A3CF-AC4F9954AAB8}"/>
</file>

<file path=customXml/itemProps2.xml><?xml version="1.0" encoding="utf-8"?>
<ds:datastoreItem xmlns:ds="http://schemas.openxmlformats.org/officeDocument/2006/customXml" ds:itemID="{AB1638BB-11BF-426A-A493-EB040AEFC670}">
  <ds:schemaRefs>
    <ds:schemaRef ds:uri="http://schemas.microsoft.com/sharepoint/v3/contenttype/forms"/>
  </ds:schemaRefs>
</ds:datastoreItem>
</file>

<file path=customXml/itemProps3.xml><?xml version="1.0" encoding="utf-8"?>
<ds:datastoreItem xmlns:ds="http://schemas.openxmlformats.org/officeDocument/2006/customXml" ds:itemID="{B21BE8B4-2766-4C98-B7BF-4BA4AA85AD70}">
  <ds:schemaRefs>
    <ds:schemaRef ds:uri="fd743d32-1f6b-4eae-aae0-9ce3982f9000"/>
    <ds:schemaRef ds:uri="http://purl.org/dc/dcmitype/"/>
    <ds:schemaRef ds:uri="9ede57a1-c949-496d-9af0-2be70d76ea7c"/>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E4C1C4E-ED38-4205-9AF1-8EA17D56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6_SSP-ANS_PQ_FULL (es) Rev 2 Feb 2022</vt:lpstr>
    </vt:vector>
  </TitlesOfParts>
  <Company>ICAO</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6_SSP-ANS_PQ_FULL (es) Rev 2 Feb 2022</dc:subject>
  <dc:creator>Prillieux, Frederic;aweiss@icao.int</dc:creator>
  <cp:keywords>ANS;SSP;Rev2;Feb2022;ES</cp:keywords>
  <dc:description>updated 23 Jun 2021</dc:description>
  <cp:lastModifiedBy>Sosa, Roberto</cp:lastModifiedBy>
  <cp:revision>2</cp:revision>
  <cp:lastPrinted>2022-03-09T20:44:00Z</cp:lastPrinted>
  <dcterms:created xsi:type="dcterms:W3CDTF">2022-06-10T14:20:00Z</dcterms:created>
  <dcterms:modified xsi:type="dcterms:W3CDTF">2022-06-10T14:20:00Z</dcterms:modified>
  <cp:category>SSP maturity matrix</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