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8CA45" w14:textId="77777777" w:rsidR="005B05C9" w:rsidRPr="00AB3C7B" w:rsidRDefault="005B05C9" w:rsidP="005B05C9">
      <w:pPr>
        <w:pStyle w:val="Header"/>
        <w:rPr>
          <w:b/>
          <w:bCs/>
        </w:rPr>
      </w:pPr>
      <w:bookmarkStart w:id="0" w:name="_GoBack"/>
      <w:bookmarkEnd w:id="0"/>
      <w:r>
        <w:tab/>
      </w:r>
      <w:r w:rsidRPr="00AB3C7B">
        <w:rPr>
          <w:b/>
          <w:bCs/>
        </w:rPr>
        <w:t>Summary of Amendments</w:t>
      </w:r>
    </w:p>
    <w:p w14:paraId="063E72C5" w14:textId="4DFE3713" w:rsidR="005B05C9" w:rsidRDefault="005B05C9" w:rsidP="005B05C9">
      <w:pPr>
        <w:pStyle w:val="Header"/>
      </w:pPr>
    </w:p>
    <w:p w14:paraId="3CD60987" w14:textId="77777777" w:rsidR="005B05C9" w:rsidRDefault="005B05C9" w:rsidP="005B05C9">
      <w:pPr>
        <w:pStyle w:val="Note"/>
      </w:pPr>
      <w:r>
        <w:t>Note 1.— The 2018 SSPIA Protocol Questions (PQs) were first published in June 2018 and the associated maturity level matrix added in December 2020 (Rev 1). The Rev 2 February 2022 version includes revisions made to some “Guidance for Review” following beta testing of the SSP assessment tools in December 2021.</w:t>
      </w:r>
    </w:p>
    <w:p w14:paraId="2BFF7B40" w14:textId="42F17567" w:rsidR="005B05C9" w:rsidRDefault="005B05C9" w:rsidP="00D25BD3">
      <w:pPr>
        <w:pStyle w:val="Note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2"/>
        <w:gridCol w:w="2132"/>
        <w:gridCol w:w="954"/>
        <w:gridCol w:w="1257"/>
        <w:gridCol w:w="1223"/>
        <w:gridCol w:w="1257"/>
        <w:gridCol w:w="1651"/>
        <w:gridCol w:w="6667"/>
      </w:tblGrid>
      <w:tr w:rsidR="005B05C9" w:rsidRPr="00B11D40" w14:paraId="37750672" w14:textId="77777777" w:rsidTr="005B05C9">
        <w:trPr>
          <w:trHeight w:val="323"/>
          <w:tblHeader/>
        </w:trPr>
        <w:tc>
          <w:tcPr>
            <w:tcW w:w="617" w:type="pct"/>
            <w:vMerge w:val="restart"/>
            <w:shd w:val="clear" w:color="auto" w:fill="DAEEF3" w:themeFill="accent5" w:themeFillTint="33"/>
            <w:vAlign w:val="center"/>
          </w:tcPr>
          <w:p w14:paraId="69BFF770" w14:textId="77777777" w:rsidR="005B05C9" w:rsidRPr="00B11D40" w:rsidRDefault="005B05C9" w:rsidP="00801C4A">
            <w:pPr>
              <w:pStyle w:val="Tableheading"/>
            </w:pPr>
            <w:r w:rsidRPr="00B11D40">
              <w:t xml:space="preserve">Rev 1 </w:t>
            </w:r>
            <w:r w:rsidRPr="00B11D40">
              <w:br/>
              <w:t>Dec 2020</w:t>
            </w:r>
          </w:p>
        </w:tc>
        <w:tc>
          <w:tcPr>
            <w:tcW w:w="617" w:type="pct"/>
            <w:vMerge w:val="restart"/>
            <w:shd w:val="clear" w:color="auto" w:fill="DAEEF3" w:themeFill="accent5" w:themeFillTint="33"/>
            <w:vAlign w:val="center"/>
          </w:tcPr>
          <w:p w14:paraId="04846326" w14:textId="77777777" w:rsidR="005B05C9" w:rsidRPr="00B11D40" w:rsidRDefault="005B05C9" w:rsidP="00801C4A">
            <w:pPr>
              <w:pStyle w:val="Tableheading"/>
            </w:pPr>
            <w:r w:rsidRPr="00B11D40">
              <w:t xml:space="preserve">Rev 2 </w:t>
            </w:r>
            <w:r w:rsidRPr="00B11D40">
              <w:br/>
              <w:t>Feb 2022</w:t>
            </w:r>
          </w:p>
        </w:tc>
        <w:tc>
          <w:tcPr>
            <w:tcW w:w="1836" w:type="pct"/>
            <w:gridSpan w:val="5"/>
            <w:shd w:val="clear" w:color="auto" w:fill="DAEEF3" w:themeFill="accent5" w:themeFillTint="33"/>
            <w:vAlign w:val="center"/>
          </w:tcPr>
          <w:p w14:paraId="65DC6C03" w14:textId="77777777" w:rsidR="005B05C9" w:rsidRPr="00B11D40" w:rsidRDefault="005B05C9" w:rsidP="00801C4A">
            <w:pPr>
              <w:pStyle w:val="Tableheading"/>
            </w:pPr>
            <w:r w:rsidRPr="00B11D40">
              <w:t>Type of Amendment</w:t>
            </w:r>
          </w:p>
        </w:tc>
        <w:tc>
          <w:tcPr>
            <w:tcW w:w="1930" w:type="pct"/>
            <w:vMerge w:val="restart"/>
            <w:shd w:val="clear" w:color="auto" w:fill="DAEEF3" w:themeFill="accent5" w:themeFillTint="33"/>
            <w:vAlign w:val="center"/>
          </w:tcPr>
          <w:p w14:paraId="5428ACAB" w14:textId="77777777" w:rsidR="005B05C9" w:rsidRPr="00B11D40" w:rsidRDefault="005B05C9" w:rsidP="00801C4A">
            <w:pPr>
              <w:pStyle w:val="Tableheading"/>
            </w:pPr>
            <w:r w:rsidRPr="00B11D40">
              <w:t>Description of Amendments</w:t>
            </w:r>
          </w:p>
        </w:tc>
      </w:tr>
      <w:tr w:rsidR="005B05C9" w14:paraId="4A1940AE" w14:textId="77777777" w:rsidTr="005B05C9">
        <w:trPr>
          <w:trHeight w:val="368"/>
          <w:tblHeader/>
        </w:trPr>
        <w:tc>
          <w:tcPr>
            <w:tcW w:w="617" w:type="pct"/>
            <w:vMerge/>
          </w:tcPr>
          <w:p w14:paraId="1F851397" w14:textId="77777777" w:rsidR="005B05C9" w:rsidRDefault="005B05C9" w:rsidP="00801C4A">
            <w:pPr>
              <w:rPr>
                <w:lang w:val="en-US"/>
              </w:rPr>
            </w:pPr>
          </w:p>
        </w:tc>
        <w:tc>
          <w:tcPr>
            <w:tcW w:w="617" w:type="pct"/>
            <w:vMerge/>
          </w:tcPr>
          <w:p w14:paraId="4F4D48F8" w14:textId="77777777" w:rsidR="005B05C9" w:rsidRDefault="005B05C9" w:rsidP="00801C4A">
            <w:pPr>
              <w:rPr>
                <w:lang w:val="en-US"/>
              </w:rPr>
            </w:pPr>
          </w:p>
        </w:tc>
        <w:tc>
          <w:tcPr>
            <w:tcW w:w="276" w:type="pct"/>
            <w:shd w:val="clear" w:color="auto" w:fill="DAEEF3" w:themeFill="accent5" w:themeFillTint="33"/>
            <w:vAlign w:val="center"/>
          </w:tcPr>
          <w:p w14:paraId="62F52603" w14:textId="77777777" w:rsidR="005B05C9" w:rsidRPr="002D7463" w:rsidRDefault="005B05C9" w:rsidP="00801C4A">
            <w:pPr>
              <w:pStyle w:val="Tableheading"/>
            </w:pPr>
            <w:r w:rsidRPr="002D7463">
              <w:t>New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71C02BB6" w14:textId="77777777" w:rsidR="005B05C9" w:rsidRPr="002D7463" w:rsidRDefault="005B05C9" w:rsidP="00801C4A">
            <w:pPr>
              <w:pStyle w:val="Tableheading"/>
            </w:pPr>
            <w:r w:rsidRPr="002D7463">
              <w:t>Revised</w:t>
            </w:r>
          </w:p>
        </w:tc>
        <w:tc>
          <w:tcPr>
            <w:tcW w:w="354" w:type="pct"/>
            <w:shd w:val="clear" w:color="auto" w:fill="DAEEF3" w:themeFill="accent5" w:themeFillTint="33"/>
            <w:vAlign w:val="center"/>
          </w:tcPr>
          <w:p w14:paraId="7459D129" w14:textId="77777777" w:rsidR="005B05C9" w:rsidRPr="002D7463" w:rsidRDefault="005B05C9" w:rsidP="00801C4A">
            <w:pPr>
              <w:pStyle w:val="Tableheading"/>
            </w:pPr>
            <w:r w:rsidRPr="002D7463">
              <w:t>Deleted</w:t>
            </w:r>
          </w:p>
        </w:tc>
        <w:tc>
          <w:tcPr>
            <w:tcW w:w="364" w:type="pct"/>
            <w:shd w:val="clear" w:color="auto" w:fill="DAEEF3" w:themeFill="accent5" w:themeFillTint="33"/>
            <w:vAlign w:val="center"/>
          </w:tcPr>
          <w:p w14:paraId="34BA0F67" w14:textId="77777777" w:rsidR="005B05C9" w:rsidRPr="002D7463" w:rsidRDefault="005B05C9" w:rsidP="00801C4A">
            <w:pPr>
              <w:pStyle w:val="Tableheading"/>
            </w:pPr>
            <w:r w:rsidRPr="002D7463">
              <w:t>Merged</w:t>
            </w:r>
          </w:p>
        </w:tc>
        <w:tc>
          <w:tcPr>
            <w:tcW w:w="478" w:type="pct"/>
            <w:shd w:val="clear" w:color="auto" w:fill="DAEEF3" w:themeFill="accent5" w:themeFillTint="33"/>
            <w:vAlign w:val="center"/>
          </w:tcPr>
          <w:p w14:paraId="60ED9F7C" w14:textId="77777777" w:rsidR="005B05C9" w:rsidRPr="002D7463" w:rsidRDefault="005B05C9" w:rsidP="00801C4A">
            <w:pPr>
              <w:pStyle w:val="Tableheading"/>
            </w:pPr>
            <w:r w:rsidRPr="002D7463">
              <w:t>No Change</w:t>
            </w:r>
          </w:p>
        </w:tc>
        <w:tc>
          <w:tcPr>
            <w:tcW w:w="1930" w:type="pct"/>
            <w:vMerge/>
          </w:tcPr>
          <w:p w14:paraId="170C3350" w14:textId="77777777" w:rsidR="005B05C9" w:rsidRDefault="005B05C9" w:rsidP="00801C4A">
            <w:pPr>
              <w:rPr>
                <w:lang w:val="en-US"/>
              </w:rPr>
            </w:pPr>
          </w:p>
        </w:tc>
      </w:tr>
      <w:tr w:rsidR="005B05C9" w14:paraId="512680E3" w14:textId="77777777" w:rsidTr="005B05C9">
        <w:trPr>
          <w:trHeight w:val="431"/>
        </w:trPr>
        <w:tc>
          <w:tcPr>
            <w:tcW w:w="5000" w:type="pct"/>
            <w:gridSpan w:val="8"/>
            <w:shd w:val="clear" w:color="auto" w:fill="E5B8B7" w:themeFill="accent2" w:themeFillTint="66"/>
            <w:vAlign w:val="center"/>
          </w:tcPr>
          <w:p w14:paraId="45D32B07" w14:textId="77777777" w:rsidR="005B05C9" w:rsidRPr="00EB20BA" w:rsidRDefault="005B05C9" w:rsidP="00801C4A">
            <w:pPr>
              <w:rPr>
                <w:rStyle w:val="Emphasis"/>
                <w:lang w:val="en-GB"/>
              </w:rPr>
            </w:pPr>
            <w:r>
              <w:rPr>
                <w:rStyle w:val="Emphasis"/>
                <w:lang w:val="en-GB"/>
              </w:rPr>
              <w:t>SSP.ANS</w:t>
            </w:r>
            <w:r w:rsidRPr="00EB20BA">
              <w:rPr>
                <w:rStyle w:val="Emphasis"/>
                <w:lang w:val="en-GB"/>
              </w:rPr>
              <w:t xml:space="preserve"> — </w:t>
            </w:r>
            <w:r>
              <w:rPr>
                <w:rStyle w:val="Emphasis"/>
                <w:lang w:val="en-GB"/>
              </w:rPr>
              <w:t>Air Navigation Services</w:t>
            </w:r>
          </w:p>
        </w:tc>
      </w:tr>
      <w:tr w:rsidR="005B05C9" w14:paraId="5C51B900" w14:textId="77777777" w:rsidTr="005B05C9">
        <w:tc>
          <w:tcPr>
            <w:tcW w:w="617" w:type="pct"/>
            <w:vAlign w:val="center"/>
          </w:tcPr>
          <w:p w14:paraId="4D2B5A08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01</w:t>
            </w:r>
          </w:p>
        </w:tc>
        <w:tc>
          <w:tcPr>
            <w:tcW w:w="617" w:type="pct"/>
            <w:vAlign w:val="center"/>
          </w:tcPr>
          <w:p w14:paraId="1329CF62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01</w:t>
            </w:r>
          </w:p>
        </w:tc>
        <w:tc>
          <w:tcPr>
            <w:tcW w:w="276" w:type="pct"/>
            <w:vAlign w:val="center"/>
          </w:tcPr>
          <w:p w14:paraId="46059A59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5FFF2790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5A9DBA58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7002A58C" w14:textId="77777777" w:rsidR="005B05C9" w:rsidRDefault="005B05C9" w:rsidP="005B05C9">
            <w:pPr>
              <w:pStyle w:val="tabletextctr"/>
            </w:pPr>
          </w:p>
        </w:tc>
        <w:sdt>
          <w:sdtPr>
            <w:id w:val="-926411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3095D50F" w14:textId="23F742DB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7F1B7B2F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  <w:tr w:rsidR="005B05C9" w14:paraId="1D0EA8DC" w14:textId="77777777" w:rsidTr="005B05C9">
        <w:tc>
          <w:tcPr>
            <w:tcW w:w="617" w:type="pct"/>
            <w:vAlign w:val="center"/>
          </w:tcPr>
          <w:p w14:paraId="463329D0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02</w:t>
            </w:r>
          </w:p>
        </w:tc>
        <w:tc>
          <w:tcPr>
            <w:tcW w:w="617" w:type="pct"/>
            <w:vAlign w:val="center"/>
          </w:tcPr>
          <w:p w14:paraId="33D7F139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02</w:t>
            </w:r>
          </w:p>
        </w:tc>
        <w:tc>
          <w:tcPr>
            <w:tcW w:w="276" w:type="pct"/>
            <w:vAlign w:val="center"/>
          </w:tcPr>
          <w:p w14:paraId="7E4DD751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0B4A46CC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3B8ACA10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5676AC5D" w14:textId="77777777" w:rsidR="005B05C9" w:rsidRDefault="005B05C9" w:rsidP="005B05C9">
            <w:pPr>
              <w:pStyle w:val="tabletextctr"/>
            </w:pPr>
          </w:p>
        </w:tc>
        <w:sdt>
          <w:sdtPr>
            <w:id w:val="3282590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21BF62D9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463FEA5C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  <w:tr w:rsidR="005B05C9" w:rsidRPr="00F836E2" w14:paraId="2F028F1A" w14:textId="77777777" w:rsidTr="005B05C9">
        <w:tc>
          <w:tcPr>
            <w:tcW w:w="617" w:type="pct"/>
            <w:vAlign w:val="center"/>
          </w:tcPr>
          <w:p w14:paraId="5670C6CE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03</w:t>
            </w:r>
          </w:p>
        </w:tc>
        <w:tc>
          <w:tcPr>
            <w:tcW w:w="617" w:type="pct"/>
            <w:vAlign w:val="center"/>
          </w:tcPr>
          <w:p w14:paraId="3F87A03B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03</w:t>
            </w:r>
          </w:p>
        </w:tc>
        <w:tc>
          <w:tcPr>
            <w:tcW w:w="276" w:type="pct"/>
            <w:vAlign w:val="center"/>
          </w:tcPr>
          <w:p w14:paraId="511AD7A4" w14:textId="77777777" w:rsidR="005B05C9" w:rsidRDefault="005B05C9" w:rsidP="005B05C9">
            <w:pPr>
              <w:pStyle w:val="tabletextctr"/>
            </w:pPr>
          </w:p>
        </w:tc>
        <w:sdt>
          <w:sdtPr>
            <w:id w:val="-791200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pct"/>
                <w:vAlign w:val="center"/>
              </w:tcPr>
              <w:p w14:paraId="0DCF911D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54" w:type="pct"/>
            <w:vAlign w:val="center"/>
          </w:tcPr>
          <w:p w14:paraId="6EFEB38A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3C3AA334" w14:textId="77777777" w:rsidR="005B05C9" w:rsidRDefault="005B05C9" w:rsidP="005B05C9">
            <w:pPr>
              <w:pStyle w:val="tabletextctr"/>
            </w:pPr>
          </w:p>
        </w:tc>
        <w:tc>
          <w:tcPr>
            <w:tcW w:w="478" w:type="pct"/>
            <w:vAlign w:val="center"/>
          </w:tcPr>
          <w:p w14:paraId="3093D549" w14:textId="77777777" w:rsidR="005B05C9" w:rsidRDefault="005B05C9" w:rsidP="005B05C9">
            <w:pPr>
              <w:pStyle w:val="tabletextctr"/>
            </w:pPr>
          </w:p>
        </w:tc>
        <w:tc>
          <w:tcPr>
            <w:tcW w:w="1930" w:type="pct"/>
          </w:tcPr>
          <w:p w14:paraId="326A31BB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Guidance for “Present and Effective” revised.</w:t>
            </w:r>
          </w:p>
        </w:tc>
      </w:tr>
      <w:tr w:rsidR="005B05C9" w14:paraId="5EA4CC76" w14:textId="77777777" w:rsidTr="005B05C9">
        <w:tc>
          <w:tcPr>
            <w:tcW w:w="617" w:type="pct"/>
            <w:vAlign w:val="center"/>
          </w:tcPr>
          <w:p w14:paraId="1038ACD1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04</w:t>
            </w:r>
          </w:p>
        </w:tc>
        <w:tc>
          <w:tcPr>
            <w:tcW w:w="617" w:type="pct"/>
            <w:vAlign w:val="center"/>
          </w:tcPr>
          <w:p w14:paraId="694A95A1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04</w:t>
            </w:r>
          </w:p>
        </w:tc>
        <w:tc>
          <w:tcPr>
            <w:tcW w:w="276" w:type="pct"/>
            <w:vAlign w:val="center"/>
          </w:tcPr>
          <w:p w14:paraId="6D5B3B2B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5FF9E039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101BD170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163E6A4A" w14:textId="77777777" w:rsidR="005B05C9" w:rsidRDefault="005B05C9" w:rsidP="005B05C9">
            <w:pPr>
              <w:pStyle w:val="tabletextctr"/>
            </w:pPr>
          </w:p>
        </w:tc>
        <w:sdt>
          <w:sdtPr>
            <w:id w:val="-501967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73805FFD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1EEF5536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  <w:tr w:rsidR="005B05C9" w:rsidRPr="00F836E2" w14:paraId="77BD49CB" w14:textId="77777777" w:rsidTr="005B05C9">
        <w:tc>
          <w:tcPr>
            <w:tcW w:w="617" w:type="pct"/>
            <w:vAlign w:val="center"/>
          </w:tcPr>
          <w:p w14:paraId="7344AE85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05</w:t>
            </w:r>
          </w:p>
        </w:tc>
        <w:tc>
          <w:tcPr>
            <w:tcW w:w="617" w:type="pct"/>
            <w:vAlign w:val="center"/>
          </w:tcPr>
          <w:p w14:paraId="2CE8147C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05</w:t>
            </w:r>
          </w:p>
        </w:tc>
        <w:tc>
          <w:tcPr>
            <w:tcW w:w="276" w:type="pct"/>
            <w:vAlign w:val="center"/>
          </w:tcPr>
          <w:p w14:paraId="5E66AFBD" w14:textId="77777777" w:rsidR="005B05C9" w:rsidRDefault="005B05C9" w:rsidP="005B05C9">
            <w:pPr>
              <w:pStyle w:val="tabletextctr"/>
            </w:pPr>
          </w:p>
        </w:tc>
        <w:sdt>
          <w:sdtPr>
            <w:id w:val="-1143038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pct"/>
                <w:vAlign w:val="center"/>
              </w:tcPr>
              <w:p w14:paraId="2470C592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54" w:type="pct"/>
            <w:vAlign w:val="center"/>
          </w:tcPr>
          <w:p w14:paraId="155838B3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7483E984" w14:textId="77777777" w:rsidR="005B05C9" w:rsidRDefault="005B05C9" w:rsidP="005B05C9">
            <w:pPr>
              <w:pStyle w:val="tabletextctr"/>
            </w:pPr>
          </w:p>
        </w:tc>
        <w:tc>
          <w:tcPr>
            <w:tcW w:w="478" w:type="pct"/>
            <w:vAlign w:val="center"/>
          </w:tcPr>
          <w:p w14:paraId="03A25987" w14:textId="77777777" w:rsidR="005B05C9" w:rsidRDefault="005B05C9" w:rsidP="005B05C9">
            <w:pPr>
              <w:pStyle w:val="tabletextctr"/>
            </w:pPr>
          </w:p>
        </w:tc>
        <w:tc>
          <w:tcPr>
            <w:tcW w:w="1930" w:type="pct"/>
          </w:tcPr>
          <w:p w14:paraId="06514B2A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Guidance for “Present and Effective” revised.</w:t>
            </w:r>
          </w:p>
        </w:tc>
      </w:tr>
      <w:tr w:rsidR="005B05C9" w:rsidRPr="00F836E2" w14:paraId="18D5A8B3" w14:textId="77777777" w:rsidTr="005B05C9">
        <w:tc>
          <w:tcPr>
            <w:tcW w:w="617" w:type="pct"/>
            <w:vAlign w:val="center"/>
          </w:tcPr>
          <w:p w14:paraId="33C4F226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06</w:t>
            </w:r>
          </w:p>
        </w:tc>
        <w:tc>
          <w:tcPr>
            <w:tcW w:w="617" w:type="pct"/>
            <w:vAlign w:val="center"/>
          </w:tcPr>
          <w:p w14:paraId="258A69F5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06</w:t>
            </w:r>
          </w:p>
        </w:tc>
        <w:tc>
          <w:tcPr>
            <w:tcW w:w="276" w:type="pct"/>
            <w:vAlign w:val="center"/>
          </w:tcPr>
          <w:p w14:paraId="4A0FA0CA" w14:textId="77777777" w:rsidR="005B05C9" w:rsidRDefault="005B05C9" w:rsidP="005B05C9">
            <w:pPr>
              <w:pStyle w:val="tabletextctr"/>
            </w:pPr>
          </w:p>
        </w:tc>
        <w:sdt>
          <w:sdtPr>
            <w:id w:val="-8147142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pct"/>
                <w:vAlign w:val="center"/>
              </w:tcPr>
              <w:p w14:paraId="5498357B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54" w:type="pct"/>
            <w:vAlign w:val="center"/>
          </w:tcPr>
          <w:p w14:paraId="6E489030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70D07FD7" w14:textId="77777777" w:rsidR="005B05C9" w:rsidRDefault="005B05C9" w:rsidP="005B05C9">
            <w:pPr>
              <w:pStyle w:val="tabletextctr"/>
            </w:pPr>
          </w:p>
        </w:tc>
        <w:tc>
          <w:tcPr>
            <w:tcW w:w="478" w:type="pct"/>
            <w:vAlign w:val="center"/>
          </w:tcPr>
          <w:p w14:paraId="09C5456F" w14:textId="77777777" w:rsidR="005B05C9" w:rsidRDefault="005B05C9" w:rsidP="005B05C9">
            <w:pPr>
              <w:pStyle w:val="tabletextctr"/>
            </w:pPr>
          </w:p>
        </w:tc>
        <w:tc>
          <w:tcPr>
            <w:tcW w:w="1930" w:type="pct"/>
          </w:tcPr>
          <w:p w14:paraId="70055D35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Guidance for “Present” and “Present and Effective” revised.</w:t>
            </w:r>
          </w:p>
        </w:tc>
      </w:tr>
      <w:tr w:rsidR="005B05C9" w14:paraId="639A99A2" w14:textId="77777777" w:rsidTr="005B05C9">
        <w:tc>
          <w:tcPr>
            <w:tcW w:w="617" w:type="pct"/>
            <w:vAlign w:val="center"/>
          </w:tcPr>
          <w:p w14:paraId="57B5AAFA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07</w:t>
            </w:r>
          </w:p>
        </w:tc>
        <w:tc>
          <w:tcPr>
            <w:tcW w:w="617" w:type="pct"/>
            <w:vAlign w:val="center"/>
          </w:tcPr>
          <w:p w14:paraId="6F6D0B64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07</w:t>
            </w:r>
          </w:p>
        </w:tc>
        <w:tc>
          <w:tcPr>
            <w:tcW w:w="276" w:type="pct"/>
            <w:vAlign w:val="center"/>
          </w:tcPr>
          <w:p w14:paraId="455ADB9C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49A7D93F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47461D1A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67D758C4" w14:textId="77777777" w:rsidR="005B05C9" w:rsidRDefault="005B05C9" w:rsidP="005B05C9">
            <w:pPr>
              <w:pStyle w:val="tabletextctr"/>
            </w:pPr>
          </w:p>
        </w:tc>
        <w:sdt>
          <w:sdtPr>
            <w:id w:val="-16735565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4B754DBD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6E343322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  <w:tr w:rsidR="005B05C9" w:rsidRPr="00F836E2" w14:paraId="7A86B65C" w14:textId="77777777" w:rsidTr="005B05C9">
        <w:tc>
          <w:tcPr>
            <w:tcW w:w="617" w:type="pct"/>
            <w:vAlign w:val="center"/>
          </w:tcPr>
          <w:p w14:paraId="3D04C67A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08</w:t>
            </w:r>
          </w:p>
        </w:tc>
        <w:tc>
          <w:tcPr>
            <w:tcW w:w="617" w:type="pct"/>
            <w:vAlign w:val="center"/>
          </w:tcPr>
          <w:p w14:paraId="7B3EFC00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08</w:t>
            </w:r>
          </w:p>
        </w:tc>
        <w:tc>
          <w:tcPr>
            <w:tcW w:w="276" w:type="pct"/>
            <w:vAlign w:val="center"/>
          </w:tcPr>
          <w:p w14:paraId="3A56895B" w14:textId="77777777" w:rsidR="005B05C9" w:rsidRDefault="005B05C9" w:rsidP="005B05C9">
            <w:pPr>
              <w:pStyle w:val="tabletextctr"/>
            </w:pPr>
          </w:p>
        </w:tc>
        <w:sdt>
          <w:sdtPr>
            <w:id w:val="2977262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4" w:type="pct"/>
                <w:vAlign w:val="center"/>
              </w:tcPr>
              <w:p w14:paraId="24E03D8E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54" w:type="pct"/>
            <w:vAlign w:val="center"/>
          </w:tcPr>
          <w:p w14:paraId="49A62DBA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07351ACE" w14:textId="77777777" w:rsidR="005B05C9" w:rsidRDefault="005B05C9" w:rsidP="005B05C9">
            <w:pPr>
              <w:pStyle w:val="tabletextctr"/>
            </w:pPr>
          </w:p>
        </w:tc>
        <w:tc>
          <w:tcPr>
            <w:tcW w:w="478" w:type="pct"/>
            <w:vAlign w:val="center"/>
          </w:tcPr>
          <w:p w14:paraId="1B520956" w14:textId="77777777" w:rsidR="005B05C9" w:rsidRDefault="005B05C9" w:rsidP="005B05C9">
            <w:pPr>
              <w:pStyle w:val="tabletextctr"/>
            </w:pPr>
          </w:p>
        </w:tc>
        <w:tc>
          <w:tcPr>
            <w:tcW w:w="1930" w:type="pct"/>
          </w:tcPr>
          <w:p w14:paraId="353CDA12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Guidance for “Present” and “Present and Effective” revised.</w:t>
            </w:r>
          </w:p>
        </w:tc>
      </w:tr>
      <w:tr w:rsidR="005B05C9" w14:paraId="610F1817" w14:textId="77777777" w:rsidTr="005B05C9">
        <w:tc>
          <w:tcPr>
            <w:tcW w:w="617" w:type="pct"/>
          </w:tcPr>
          <w:p w14:paraId="1D0ECEC0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09</w:t>
            </w:r>
          </w:p>
        </w:tc>
        <w:tc>
          <w:tcPr>
            <w:tcW w:w="617" w:type="pct"/>
          </w:tcPr>
          <w:p w14:paraId="5C1E61CE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09</w:t>
            </w:r>
          </w:p>
        </w:tc>
        <w:tc>
          <w:tcPr>
            <w:tcW w:w="276" w:type="pct"/>
            <w:vAlign w:val="center"/>
          </w:tcPr>
          <w:p w14:paraId="149B15AC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1C9B284D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0765CA06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6703F68F" w14:textId="77777777" w:rsidR="005B05C9" w:rsidRDefault="005B05C9" w:rsidP="005B05C9">
            <w:pPr>
              <w:pStyle w:val="tabletextctr"/>
            </w:pPr>
          </w:p>
        </w:tc>
        <w:sdt>
          <w:sdtPr>
            <w:id w:val="-7352369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1E16B680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68640B36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  <w:tr w:rsidR="005B05C9" w14:paraId="20B4913B" w14:textId="77777777" w:rsidTr="005B05C9">
        <w:tc>
          <w:tcPr>
            <w:tcW w:w="617" w:type="pct"/>
          </w:tcPr>
          <w:p w14:paraId="1B1C25C4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10</w:t>
            </w:r>
          </w:p>
        </w:tc>
        <w:tc>
          <w:tcPr>
            <w:tcW w:w="617" w:type="pct"/>
          </w:tcPr>
          <w:p w14:paraId="21E189E6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10</w:t>
            </w:r>
          </w:p>
        </w:tc>
        <w:tc>
          <w:tcPr>
            <w:tcW w:w="276" w:type="pct"/>
            <w:vAlign w:val="center"/>
          </w:tcPr>
          <w:p w14:paraId="64741126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53C2BB6A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709CBED3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4851A561" w14:textId="77777777" w:rsidR="005B05C9" w:rsidRDefault="005B05C9" w:rsidP="005B05C9">
            <w:pPr>
              <w:pStyle w:val="tabletextctr"/>
            </w:pPr>
          </w:p>
        </w:tc>
        <w:sdt>
          <w:sdtPr>
            <w:id w:val="1083418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7F425679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2EFC50CD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  <w:tr w:rsidR="005B05C9" w14:paraId="6AA5633C" w14:textId="77777777" w:rsidTr="005B05C9">
        <w:tc>
          <w:tcPr>
            <w:tcW w:w="617" w:type="pct"/>
          </w:tcPr>
          <w:p w14:paraId="4A344638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11</w:t>
            </w:r>
          </w:p>
        </w:tc>
        <w:tc>
          <w:tcPr>
            <w:tcW w:w="617" w:type="pct"/>
          </w:tcPr>
          <w:p w14:paraId="5276BE9D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SSP.ANS 11</w:t>
            </w:r>
          </w:p>
        </w:tc>
        <w:tc>
          <w:tcPr>
            <w:tcW w:w="276" w:type="pct"/>
            <w:vAlign w:val="center"/>
          </w:tcPr>
          <w:p w14:paraId="307B78EF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0BDB31E2" w14:textId="77777777" w:rsidR="005B05C9" w:rsidRDefault="005B05C9" w:rsidP="005B05C9">
            <w:pPr>
              <w:pStyle w:val="tabletextctr"/>
            </w:pPr>
          </w:p>
        </w:tc>
        <w:tc>
          <w:tcPr>
            <w:tcW w:w="354" w:type="pct"/>
            <w:vAlign w:val="center"/>
          </w:tcPr>
          <w:p w14:paraId="73156265" w14:textId="77777777" w:rsidR="005B05C9" w:rsidRDefault="005B05C9" w:rsidP="005B05C9">
            <w:pPr>
              <w:pStyle w:val="tabletextctr"/>
            </w:pPr>
          </w:p>
        </w:tc>
        <w:tc>
          <w:tcPr>
            <w:tcW w:w="364" w:type="pct"/>
            <w:vAlign w:val="center"/>
          </w:tcPr>
          <w:p w14:paraId="166CBED8" w14:textId="77777777" w:rsidR="005B05C9" w:rsidRDefault="005B05C9" w:rsidP="005B05C9">
            <w:pPr>
              <w:pStyle w:val="tabletextctr"/>
            </w:pPr>
          </w:p>
        </w:tc>
        <w:sdt>
          <w:sdtPr>
            <w:id w:val="-19633427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8" w:type="pct"/>
                <w:vAlign w:val="center"/>
              </w:tcPr>
              <w:p w14:paraId="64E22B93" w14:textId="77777777" w:rsidR="005B05C9" w:rsidRDefault="005B05C9" w:rsidP="005B05C9">
                <w:pPr>
                  <w:pStyle w:val="tabletextct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930" w:type="pct"/>
          </w:tcPr>
          <w:p w14:paraId="53AE8EB4" w14:textId="77777777" w:rsidR="005B05C9" w:rsidRDefault="005B05C9" w:rsidP="00801C4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No change.</w:t>
            </w:r>
          </w:p>
        </w:tc>
      </w:tr>
    </w:tbl>
    <w:p w14:paraId="69BE9C53" w14:textId="77777777" w:rsidR="005B05C9" w:rsidRDefault="005B05C9" w:rsidP="005B05C9">
      <w:pPr>
        <w:pStyle w:val="endline"/>
      </w:pPr>
    </w:p>
    <w:p w14:paraId="2A5C8137" w14:textId="00F247F1" w:rsidR="005B05C9" w:rsidRDefault="005B05C9" w:rsidP="005B05C9">
      <w:pPr>
        <w:pStyle w:val="endline"/>
      </w:pPr>
      <w:r>
        <w:t>— — — — — — — —</w:t>
      </w:r>
      <w:r>
        <w:br w:type="page"/>
      </w:r>
    </w:p>
    <w:p w14:paraId="0AC58F98" w14:textId="63D0F160" w:rsidR="005B05C9" w:rsidRPr="005B05C9" w:rsidRDefault="005B05C9" w:rsidP="001267C9"/>
    <w:p w14:paraId="795F1B24" w14:textId="7016C199" w:rsidR="00D25BD3" w:rsidRDefault="00D25BD3" w:rsidP="00D25BD3">
      <w:pPr>
        <w:pStyle w:val="Note"/>
      </w:pPr>
      <w:r>
        <w:t xml:space="preserve">Note 2.— The “SMM” cited in the “References” column refers to ICAO’s </w:t>
      </w:r>
      <w:r w:rsidRPr="005D2D5C">
        <w:rPr>
          <w:i w:val="0"/>
        </w:rPr>
        <w:t>Safety Management Manual</w:t>
      </w:r>
      <w:r>
        <w:t xml:space="preserve"> (Doc 9859, Fourth edition, 2018).</w:t>
      </w:r>
    </w:p>
    <w:p w14:paraId="50A1346E" w14:textId="77777777" w:rsidR="00D25BD3" w:rsidRDefault="00D25BD3" w:rsidP="00D25BD3">
      <w:pPr>
        <w:pStyle w:val="NoSpacing"/>
      </w:pPr>
    </w:p>
    <w:p w14:paraId="53653FA5" w14:textId="77777777" w:rsidR="00D25BD3" w:rsidRDefault="00D25BD3" w:rsidP="00D25BD3">
      <w:pPr>
        <w:pStyle w:val="NoSpacing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5"/>
        <w:gridCol w:w="2455"/>
        <w:gridCol w:w="1486"/>
        <w:gridCol w:w="1420"/>
        <w:gridCol w:w="1420"/>
        <w:gridCol w:w="1510"/>
        <w:gridCol w:w="3578"/>
        <w:gridCol w:w="4013"/>
      </w:tblGrid>
      <w:tr w:rsidR="00725220" w:rsidRPr="009D6323" w14:paraId="27ABB24C" w14:textId="77777777" w:rsidTr="00725220">
        <w:trPr>
          <w:trHeight w:val="885"/>
          <w:tblHeader/>
        </w:trPr>
        <w:tc>
          <w:tcPr>
            <w:tcW w:w="393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5D940DED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PQ No.</w:t>
            </w:r>
          </w:p>
        </w:tc>
        <w:tc>
          <w:tcPr>
            <w:tcW w:w="712" w:type="pct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000000" w:fill="D9D9D9"/>
            <w:vAlign w:val="center"/>
          </w:tcPr>
          <w:p w14:paraId="13E72F71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Protocol Question</w:t>
            </w:r>
          </w:p>
        </w:tc>
        <w:tc>
          <w:tcPr>
            <w:tcW w:w="431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2713BC92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References in ICAO Guidance Material</w:t>
            </w:r>
          </w:p>
        </w:tc>
        <w:tc>
          <w:tcPr>
            <w:tcW w:w="412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3B36018F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SSP Component</w:t>
            </w:r>
          </w:p>
        </w:tc>
        <w:tc>
          <w:tcPr>
            <w:tcW w:w="3052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21E6A098" w14:textId="490D3842" w:rsidR="00725220" w:rsidRPr="009D6323" w:rsidRDefault="00725220" w:rsidP="0011268B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Maturity Levels</w:t>
            </w:r>
            <w:r w:rsidR="00324D8B">
              <w:rPr>
                <w:color w:val="auto"/>
              </w:rPr>
              <w:t xml:space="preserve"> </w:t>
            </w:r>
            <w:r w:rsidR="0011268B">
              <w:rPr>
                <w:color w:val="auto"/>
              </w:rPr>
              <w:t>—</w:t>
            </w:r>
            <w:r w:rsidR="00324D8B">
              <w:rPr>
                <w:color w:val="auto"/>
              </w:rPr>
              <w:t xml:space="preserve"> </w:t>
            </w:r>
            <w:r w:rsidR="002E310B">
              <w:rPr>
                <w:color w:val="auto"/>
              </w:rPr>
              <w:t>G</w:t>
            </w:r>
            <w:r w:rsidR="00324D8B">
              <w:rPr>
                <w:color w:val="auto"/>
              </w:rPr>
              <w:t xml:space="preserve">uidance for </w:t>
            </w:r>
            <w:r w:rsidR="00051A26">
              <w:rPr>
                <w:color w:val="auto"/>
              </w:rPr>
              <w:t>Review</w:t>
            </w:r>
          </w:p>
        </w:tc>
      </w:tr>
      <w:tr w:rsidR="00725220" w:rsidRPr="009D6323" w14:paraId="227B2408" w14:textId="77777777" w:rsidTr="00725220">
        <w:trPr>
          <w:trHeight w:val="885"/>
          <w:tblHeader/>
        </w:trPr>
        <w:tc>
          <w:tcPr>
            <w:tcW w:w="393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00E3E79A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</w:p>
        </w:tc>
        <w:tc>
          <w:tcPr>
            <w:tcW w:w="712" w:type="pct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4238B831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</w:p>
        </w:tc>
        <w:tc>
          <w:tcPr>
            <w:tcW w:w="431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14FF00F4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</w:p>
        </w:tc>
        <w:tc>
          <w:tcPr>
            <w:tcW w:w="412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15D444B8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</w:p>
        </w:tc>
        <w:tc>
          <w:tcPr>
            <w:tcW w:w="41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0B5D038A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Not Present and Not Planned</w:t>
            </w:r>
          </w:p>
        </w:tc>
        <w:tc>
          <w:tcPr>
            <w:tcW w:w="4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14:paraId="0A5D7D8F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Not Present but Being Worked On</w:t>
            </w:r>
          </w:p>
        </w:tc>
        <w:tc>
          <w:tcPr>
            <w:tcW w:w="10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3FA681CF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Present</w:t>
            </w:r>
          </w:p>
        </w:tc>
        <w:tc>
          <w:tcPr>
            <w:tcW w:w="1164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71CEB824" w14:textId="77777777" w:rsidR="00725220" w:rsidRPr="009D6323" w:rsidRDefault="00725220" w:rsidP="00357935">
            <w:pPr>
              <w:pStyle w:val="TableHeading0"/>
              <w:rPr>
                <w:color w:val="auto"/>
              </w:rPr>
            </w:pPr>
            <w:r w:rsidRPr="009D6323">
              <w:rPr>
                <w:color w:val="auto"/>
              </w:rPr>
              <w:t>Present and Effective</w:t>
            </w:r>
          </w:p>
        </w:tc>
      </w:tr>
      <w:tr w:rsidR="00725220" w:rsidRPr="009D50D8" w14:paraId="4719D114" w14:textId="77777777" w:rsidTr="00725220"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2108F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t>SSP.ANS</w:t>
            </w:r>
            <w:r w:rsidRPr="004B5A88">
              <w:t>.01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22CFE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 xml:space="preserve">What regulatory requirements have been promulgated by the State for </w:t>
            </w:r>
            <w:r>
              <w:t xml:space="preserve">air traffic services (ATS) providers </w:t>
            </w:r>
            <w:r w:rsidRPr="00FE5F60">
              <w:t>to implement a</w:t>
            </w:r>
            <w:r>
              <w:t xml:space="preserve"> safety management system</w:t>
            </w:r>
            <w:r w:rsidRPr="00FE5F60">
              <w:t xml:space="preserve"> </w:t>
            </w:r>
            <w:r>
              <w:t>(</w:t>
            </w:r>
            <w:r w:rsidRPr="00FE5F60">
              <w:t>SMS</w:t>
            </w:r>
            <w:r>
              <w:t>)</w:t>
            </w:r>
            <w:r w:rsidRPr="00FE5F60">
              <w:t xml:space="preserve"> acceptable to the State?</w:t>
            </w:r>
          </w:p>
        </w:tc>
        <w:tc>
          <w:tcPr>
            <w:tcW w:w="431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4ED75" w14:textId="77777777" w:rsidR="00725220" w:rsidRPr="00FE5F60" w:rsidRDefault="00725220" w:rsidP="00725220">
            <w:pPr>
              <w:pStyle w:val="ColumnCenter"/>
            </w:pPr>
            <w:r>
              <w:t>SMM 8.4.7</w:t>
            </w:r>
          </w:p>
        </w:tc>
        <w:tc>
          <w:tcPr>
            <w:tcW w:w="412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66B89" w14:textId="77777777" w:rsidR="00725220" w:rsidRPr="00FE5F60" w:rsidRDefault="00725220" w:rsidP="00725220">
            <w:pPr>
              <w:pStyle w:val="ColumnCenter"/>
            </w:pPr>
            <w:r w:rsidRPr="00FE5F60">
              <w:t>State Safety Risk Management</w:t>
            </w:r>
          </w:p>
        </w:tc>
        <w:tc>
          <w:tcPr>
            <w:tcW w:w="412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82BED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A1609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C49B0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9D50D8">
              <w:rPr>
                <w:lang w:val="en-GB"/>
              </w:rPr>
              <w:t>1. The State has promulgated regulatory requirements to implement SMS acceptable to the State, in accordance with ICAO provisions.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3A680" w14:textId="77777777" w:rsidR="00725220" w:rsidRDefault="00725220" w:rsidP="00725220">
            <w:pPr>
              <w:rPr>
                <w:lang w:val="en-GB"/>
              </w:rPr>
            </w:pPr>
          </w:p>
          <w:p w14:paraId="29B753DE" w14:textId="77777777" w:rsidR="00725220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>1. The State has promulgated regu</w:t>
            </w:r>
            <w:r>
              <w:rPr>
                <w:lang w:val="en-GB"/>
              </w:rPr>
              <w:t>latory requirements that distinguish</w:t>
            </w:r>
            <w:r w:rsidRPr="009D50D8">
              <w:rPr>
                <w:lang w:val="en-GB"/>
              </w:rPr>
              <w:t xml:space="preserve"> between complex</w:t>
            </w:r>
            <w:r>
              <w:rPr>
                <w:lang w:val="en-GB"/>
              </w:rPr>
              <w:t xml:space="preserve"> and non-</w:t>
            </w:r>
            <w:r w:rsidRPr="009D50D8">
              <w:rPr>
                <w:lang w:val="en-GB"/>
              </w:rPr>
              <w:t xml:space="preserve">complex organizations, </w:t>
            </w:r>
            <w:r>
              <w:rPr>
                <w:lang w:val="en-GB"/>
              </w:rPr>
              <w:t>taking</w:t>
            </w:r>
            <w:r w:rsidRPr="009D50D8">
              <w:rPr>
                <w:lang w:val="en-GB"/>
              </w:rPr>
              <w:t xml:space="preserve"> into account scalability factors (when applicable).</w:t>
            </w:r>
          </w:p>
          <w:p w14:paraId="79193D8B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585AEBCA" w14:textId="77777777" w:rsidR="00725220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2. The regulatory requirements address the initial acceptance and the continuous monitoring of </w:t>
            </w:r>
            <w:r>
              <w:rPr>
                <w:lang w:val="en-GB"/>
              </w:rPr>
              <w:t>the ATS providers’</w:t>
            </w:r>
            <w:r w:rsidRPr="009D50D8">
              <w:rPr>
                <w:lang w:val="en-GB"/>
              </w:rPr>
              <w:t xml:space="preserve"> SMS. </w:t>
            </w:r>
          </w:p>
          <w:p w14:paraId="33148C9C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3663098D" w14:textId="77777777" w:rsidR="00725220" w:rsidRDefault="00725220" w:rsidP="00725220">
            <w:pPr>
              <w:spacing w:after="0"/>
              <w:rPr>
                <w:lang w:val="en-GB"/>
              </w:rPr>
            </w:pPr>
            <w:r w:rsidRPr="009D50D8">
              <w:rPr>
                <w:lang w:val="en-GB"/>
              </w:rPr>
              <w:t xml:space="preserve">3. </w:t>
            </w:r>
            <w:r>
              <w:rPr>
                <w:lang w:val="en-GB"/>
              </w:rPr>
              <w:t xml:space="preserve">The </w:t>
            </w:r>
            <w:r w:rsidRPr="009D50D8">
              <w:rPr>
                <w:lang w:val="en-GB"/>
              </w:rPr>
              <w:t>State</w:t>
            </w:r>
            <w:r>
              <w:rPr>
                <w:lang w:val="en-GB"/>
              </w:rPr>
              <w:t xml:space="preserve"> periodically</w:t>
            </w:r>
            <w:r w:rsidRPr="009D50D8">
              <w:rPr>
                <w:lang w:val="en-GB"/>
              </w:rPr>
              <w:t xml:space="preserve"> review</w:t>
            </w:r>
            <w:r>
              <w:rPr>
                <w:lang w:val="en-GB"/>
              </w:rPr>
              <w:t>s</w:t>
            </w:r>
            <w:r w:rsidRPr="009D50D8">
              <w:rPr>
                <w:lang w:val="en-GB"/>
              </w:rPr>
              <w:t xml:space="preserve"> the regulatory requirements, to </w:t>
            </w:r>
            <w:r>
              <w:rPr>
                <w:lang w:val="en-GB"/>
              </w:rPr>
              <w:t xml:space="preserve">identify </w:t>
            </w:r>
            <w:r w:rsidRPr="009D50D8">
              <w:rPr>
                <w:lang w:val="en-GB"/>
              </w:rPr>
              <w:t xml:space="preserve">and address the </w:t>
            </w:r>
            <w:r>
              <w:rPr>
                <w:lang w:val="en-GB"/>
              </w:rPr>
              <w:t xml:space="preserve">challenges faced by the </w:t>
            </w:r>
            <w:r w:rsidRPr="009D50D8">
              <w:rPr>
                <w:lang w:val="en-GB"/>
              </w:rPr>
              <w:t xml:space="preserve">State’s </w:t>
            </w:r>
            <w:r>
              <w:rPr>
                <w:lang w:val="en-GB"/>
              </w:rPr>
              <w:t>ATS providers</w:t>
            </w:r>
            <w:r w:rsidRPr="009D50D8">
              <w:rPr>
                <w:lang w:val="en-GB"/>
              </w:rPr>
              <w:t xml:space="preserve"> in implementing these requirements.  </w:t>
            </w:r>
          </w:p>
          <w:p w14:paraId="107227A3" w14:textId="77777777" w:rsidR="00725220" w:rsidRDefault="00725220" w:rsidP="00725220">
            <w:pPr>
              <w:spacing w:after="0"/>
              <w:rPr>
                <w:rFonts w:eastAsia="Times New Roman" w:cstheme="minorHAnsi"/>
                <w:lang w:val="en-GB" w:eastAsia="en-CA"/>
              </w:rPr>
            </w:pPr>
          </w:p>
          <w:p w14:paraId="066761A6" w14:textId="77777777" w:rsidR="00725220" w:rsidRPr="001243EC" w:rsidRDefault="00725220" w:rsidP="00725220">
            <w:pPr>
              <w:spacing w:after="0"/>
              <w:rPr>
                <w:rFonts w:eastAsia="Times New Roman" w:cstheme="minorHAnsi"/>
                <w:lang w:val="en-GB" w:eastAsia="en-CA"/>
              </w:rPr>
            </w:pPr>
          </w:p>
        </w:tc>
      </w:tr>
      <w:tr w:rsidR="00725220" w:rsidRPr="009D50D8" w14:paraId="5D3C3105" w14:textId="77777777" w:rsidTr="00AB046E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D9D0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SSP.ANS.02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C978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 xml:space="preserve">What </w:t>
            </w:r>
            <w:r>
              <w:t xml:space="preserve">support </w:t>
            </w:r>
            <w:r w:rsidRPr="00FE5F60">
              <w:t xml:space="preserve">has the State </w:t>
            </w:r>
            <w:r>
              <w:t>provided to air traffic service (ATS) providers</w:t>
            </w:r>
            <w:r w:rsidDel="0001667A">
              <w:t xml:space="preserve"> </w:t>
            </w:r>
            <w:r>
              <w:t xml:space="preserve">for </w:t>
            </w:r>
            <w:r w:rsidRPr="00EE4767">
              <w:t>SMS implementa</w:t>
            </w:r>
            <w:r>
              <w:t>t</w:t>
            </w:r>
            <w:r w:rsidRPr="00EE4767">
              <w:t>ion</w:t>
            </w:r>
            <w:r w:rsidRPr="00FE5F60">
              <w:t>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3D051" w14:textId="77777777" w:rsidR="00725220" w:rsidRDefault="00725220" w:rsidP="00725220">
            <w:pPr>
              <w:pStyle w:val="ColumnCenter"/>
            </w:pPr>
            <w:r>
              <w:t xml:space="preserve">SMM 8.3.8 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B9774" w14:textId="77777777" w:rsidR="00725220" w:rsidRPr="00FE5F60" w:rsidRDefault="00725220" w:rsidP="00725220">
            <w:pPr>
              <w:pStyle w:val="ColumnCenter"/>
            </w:pPr>
            <w:r w:rsidRPr="00FE5F60">
              <w:t>State Safety Policy, Objectives and Resources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E29C9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EC65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AB994" w14:textId="77777777" w:rsidR="00725220" w:rsidRDefault="00725220" w:rsidP="00725220">
            <w:pPr>
              <w:spacing w:before="240"/>
              <w:rPr>
                <w:lang w:val="en-GB"/>
              </w:rPr>
            </w:pPr>
            <w:r w:rsidRPr="009D50D8">
              <w:rPr>
                <w:lang w:val="en-GB"/>
              </w:rPr>
              <w:t xml:space="preserve">1. There is a mechanism in place to define the </w:t>
            </w:r>
            <w:r>
              <w:rPr>
                <w:lang w:val="en-GB"/>
              </w:rPr>
              <w:t>ATS providers’</w:t>
            </w:r>
            <w:r w:rsidRPr="009D50D8">
              <w:rPr>
                <w:lang w:val="en-GB"/>
              </w:rPr>
              <w:t xml:space="preserve"> SMS implementation and State-level support needs (i.e. workshops, seminars, training courses etc.). </w:t>
            </w:r>
          </w:p>
          <w:p w14:paraId="1C6E4945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4DFDA220" w14:textId="77777777" w:rsidR="00725220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2. There is a mechanism in place to facilitate the </w:t>
            </w:r>
            <w:r>
              <w:rPr>
                <w:lang w:val="en-GB"/>
              </w:rPr>
              <w:t xml:space="preserve">ATS providers’ </w:t>
            </w:r>
            <w:r w:rsidRPr="009D50D8">
              <w:rPr>
                <w:lang w:val="en-GB"/>
              </w:rPr>
              <w:t xml:space="preserve">SMS implementation and State-level support needs, as defined. </w:t>
            </w:r>
          </w:p>
          <w:p w14:paraId="16417919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68CF74E5" w14:textId="77777777" w:rsidR="00725220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3. Guidance materials and tools have been made available to </w:t>
            </w:r>
            <w:r>
              <w:rPr>
                <w:lang w:val="en-GB"/>
              </w:rPr>
              <w:t>ATS providers</w:t>
            </w:r>
            <w:r w:rsidRPr="009D50D8">
              <w:rPr>
                <w:lang w:val="en-GB"/>
              </w:rPr>
              <w:t>, to support their SMS implementations.</w:t>
            </w:r>
          </w:p>
          <w:p w14:paraId="79C45399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7BC80FB0" w14:textId="77777777" w:rsidR="00725220" w:rsidRDefault="00725220" w:rsidP="00725220">
            <w:pPr>
              <w:spacing w:after="0"/>
              <w:rPr>
                <w:lang w:val="en-GB"/>
              </w:rPr>
            </w:pPr>
            <w:r w:rsidRPr="009D50D8">
              <w:rPr>
                <w:lang w:val="en-GB"/>
              </w:rPr>
              <w:t xml:space="preserve">4. There is a mechanism in place to support individual </w:t>
            </w:r>
            <w:r>
              <w:rPr>
                <w:lang w:val="en-GB"/>
              </w:rPr>
              <w:t>ATS provider’s</w:t>
            </w:r>
            <w:r w:rsidRPr="009D50D8">
              <w:rPr>
                <w:lang w:val="en-GB"/>
              </w:rPr>
              <w:t xml:space="preserve"> SMS implementation needs, based on </w:t>
            </w:r>
            <w:r>
              <w:rPr>
                <w:lang w:val="en-GB"/>
              </w:rPr>
              <w:t>its</w:t>
            </w:r>
            <w:r w:rsidRPr="009D50D8">
              <w:rPr>
                <w:lang w:val="en-GB"/>
              </w:rPr>
              <w:t xml:space="preserve"> risk picture.</w:t>
            </w:r>
          </w:p>
          <w:p w14:paraId="450EBD8F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lang w:eastAsia="en-CA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B0312" w14:textId="77777777" w:rsidR="00725220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1. </w:t>
            </w:r>
            <w:r>
              <w:rPr>
                <w:lang w:val="en-GB"/>
              </w:rPr>
              <w:t>The</w:t>
            </w:r>
            <w:r w:rsidRPr="009D50D8">
              <w:rPr>
                <w:lang w:val="en-GB"/>
              </w:rPr>
              <w:t xml:space="preserve"> State-level support given to </w:t>
            </w:r>
            <w:r>
              <w:rPr>
                <w:lang w:val="en-GB"/>
              </w:rPr>
              <w:t>ATS providers</w:t>
            </w:r>
            <w:r w:rsidRPr="009D50D8">
              <w:rPr>
                <w:lang w:val="en-GB"/>
              </w:rPr>
              <w:t xml:space="preserve"> is </w:t>
            </w:r>
            <w:r>
              <w:rPr>
                <w:lang w:val="en-GB"/>
              </w:rPr>
              <w:t>resulting in</w:t>
            </w:r>
            <w:r w:rsidRPr="009D50D8">
              <w:rPr>
                <w:lang w:val="en-GB"/>
              </w:rPr>
              <w:t xml:space="preserve"> continuous improvement</w:t>
            </w:r>
            <w:r>
              <w:rPr>
                <w:lang w:val="en-GB"/>
              </w:rPr>
              <w:t xml:space="preserve"> and further maturation</w:t>
            </w:r>
            <w:r w:rsidRPr="009D50D8">
              <w:rPr>
                <w:lang w:val="en-GB"/>
              </w:rPr>
              <w:t xml:space="preserve"> </w:t>
            </w:r>
            <w:r>
              <w:rPr>
                <w:lang w:val="en-GB"/>
              </w:rPr>
              <w:t>of</w:t>
            </w:r>
            <w:r w:rsidRPr="009D50D8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>ATS providers’</w:t>
            </w:r>
            <w:r w:rsidRPr="009D50D8">
              <w:rPr>
                <w:lang w:val="en-GB"/>
              </w:rPr>
              <w:t xml:space="preserve"> SMS</w:t>
            </w:r>
            <w:r>
              <w:rPr>
                <w:lang w:val="en-GB"/>
              </w:rPr>
              <w:t>.</w:t>
            </w:r>
          </w:p>
          <w:p w14:paraId="2D01A780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3383AACC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lang w:eastAsia="en-CA"/>
              </w:rPr>
            </w:pPr>
            <w:r w:rsidRPr="009D50D8">
              <w:rPr>
                <w:lang w:val="en-GB"/>
              </w:rPr>
              <w:t xml:space="preserve">2. </w:t>
            </w:r>
            <w:r>
              <w:rPr>
                <w:lang w:val="en-GB"/>
              </w:rPr>
              <w:t>The</w:t>
            </w:r>
            <w:r w:rsidRPr="009D50D8">
              <w:rPr>
                <w:lang w:val="en-GB"/>
              </w:rPr>
              <w:t xml:space="preserve"> State is continuously improving its support to </w:t>
            </w:r>
            <w:r>
              <w:rPr>
                <w:lang w:val="en-GB"/>
              </w:rPr>
              <w:t xml:space="preserve">ATS providers </w:t>
            </w:r>
            <w:r w:rsidRPr="009D50D8">
              <w:rPr>
                <w:lang w:val="en-GB"/>
              </w:rPr>
              <w:t>based on their changing needs, taking into consideration the level of progress</w:t>
            </w:r>
            <w:r>
              <w:rPr>
                <w:lang w:val="en-GB"/>
              </w:rPr>
              <w:t xml:space="preserve"> and maturation that</w:t>
            </w:r>
            <w:r w:rsidRPr="009D50D8">
              <w:rPr>
                <w:lang w:val="en-GB"/>
              </w:rPr>
              <w:t xml:space="preserve"> they have achieved. </w:t>
            </w:r>
          </w:p>
        </w:tc>
      </w:tr>
      <w:tr w:rsidR="00725220" w:rsidRPr="009D50D8" w14:paraId="370C4B6A" w14:textId="77777777" w:rsidTr="00513496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6FA5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SSP.ANS.03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FD30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>
              <w:t>How does the State ensure that the personnel responsible for the acceptance and monitoring of ATS providers’ SMS develop the required competencies</w:t>
            </w:r>
            <w:r w:rsidRPr="00FE5F60">
              <w:t>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1D1A8" w14:textId="77777777" w:rsidR="00725220" w:rsidDel="00F010DC" w:rsidRDefault="00725220" w:rsidP="00725220">
            <w:pPr>
              <w:pStyle w:val="ColumnCenter"/>
            </w:pPr>
            <w:r>
              <w:t>SMM 8.3.7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51538" w14:textId="77777777" w:rsidR="00725220" w:rsidRPr="00FE5F60" w:rsidRDefault="00725220" w:rsidP="00725220">
            <w:pPr>
              <w:pStyle w:val="ColumnCenter"/>
            </w:pPr>
            <w:r w:rsidRPr="00FE5F60">
              <w:t>State Safety Policy, Objectives and Resources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BAA22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ABB4F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0A12F" w14:textId="77777777" w:rsidR="00725220" w:rsidRDefault="00725220" w:rsidP="003541DE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1. The competencies required for the initial acceptance and continuous monitoring of </w:t>
            </w:r>
            <w:r>
              <w:rPr>
                <w:lang w:val="en-GB"/>
              </w:rPr>
              <w:t>ATS providers’</w:t>
            </w:r>
            <w:r w:rsidRPr="009D50D8">
              <w:rPr>
                <w:lang w:val="en-GB"/>
              </w:rPr>
              <w:t xml:space="preserve"> SMS are identified and documented. </w:t>
            </w:r>
          </w:p>
          <w:p w14:paraId="25047FF6" w14:textId="77777777" w:rsidR="00725220" w:rsidRPr="009D50D8" w:rsidRDefault="00725220" w:rsidP="00725220">
            <w:pPr>
              <w:spacing w:before="240"/>
              <w:rPr>
                <w:lang w:val="en-GB"/>
              </w:rPr>
            </w:pPr>
          </w:p>
          <w:p w14:paraId="7E710DC1" w14:textId="46C8E878" w:rsidR="00725220" w:rsidRPr="009D50D8" w:rsidRDefault="00725220" w:rsidP="00B632D8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2. A training plan that addresses K/S/A concepts, recurrent training and OJT for the personnel responsible </w:t>
            </w:r>
            <w:r>
              <w:rPr>
                <w:lang w:val="en-GB"/>
              </w:rPr>
              <w:t>for</w:t>
            </w:r>
            <w:r w:rsidRPr="009D50D8">
              <w:rPr>
                <w:lang w:val="en-GB"/>
              </w:rPr>
              <w:t xml:space="preserve"> the acceptance and continuous monitoring of </w:t>
            </w:r>
            <w:r>
              <w:rPr>
                <w:lang w:val="en-GB"/>
              </w:rPr>
              <w:t>ATS providers’</w:t>
            </w:r>
            <w:r w:rsidRPr="009D50D8">
              <w:rPr>
                <w:lang w:val="en-GB"/>
              </w:rPr>
              <w:t xml:space="preserve"> SMS is in place</w:t>
            </w:r>
            <w:r w:rsidR="00B632D8">
              <w:rPr>
                <w:lang w:val="en-GB"/>
              </w:rPr>
              <w:t>.</w:t>
            </w:r>
          </w:p>
          <w:p w14:paraId="3298C787" w14:textId="77777777" w:rsidR="007E52ED" w:rsidRDefault="007E52ED" w:rsidP="00725220">
            <w:pPr>
              <w:rPr>
                <w:lang w:val="en-GB"/>
              </w:rPr>
            </w:pPr>
          </w:p>
          <w:p w14:paraId="5229967B" w14:textId="0D9BF1D2" w:rsidR="00725220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3. </w:t>
            </w:r>
            <w:r>
              <w:rPr>
                <w:lang w:val="en-GB"/>
              </w:rPr>
              <w:t>The training plan addresses both i</w:t>
            </w:r>
            <w:r w:rsidRPr="009D50D8">
              <w:rPr>
                <w:lang w:val="en-GB"/>
              </w:rPr>
              <w:t xml:space="preserve">nitial acceptance and continuous monitoring of the </w:t>
            </w:r>
            <w:r>
              <w:rPr>
                <w:lang w:val="en-GB"/>
              </w:rPr>
              <w:t xml:space="preserve">ATS providers’ </w:t>
            </w:r>
            <w:r w:rsidRPr="009D50D8">
              <w:rPr>
                <w:lang w:val="en-GB"/>
              </w:rPr>
              <w:t>SMS.</w:t>
            </w:r>
          </w:p>
          <w:p w14:paraId="207EBFC8" w14:textId="77777777" w:rsidR="00725220" w:rsidRPr="009D50D8" w:rsidRDefault="00725220" w:rsidP="00725220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 </w:t>
            </w:r>
          </w:p>
          <w:p w14:paraId="39901FFE" w14:textId="6FEAE372" w:rsidR="00725220" w:rsidRPr="009D50D8" w:rsidRDefault="00725220" w:rsidP="00312B25">
            <w:pPr>
              <w:rPr>
                <w:lang w:val="en-GB"/>
              </w:rPr>
            </w:pPr>
            <w:r w:rsidRPr="009D50D8">
              <w:rPr>
                <w:lang w:val="en-GB"/>
              </w:rPr>
              <w:t xml:space="preserve">4. </w:t>
            </w:r>
            <w:r>
              <w:rPr>
                <w:lang w:val="en-GB"/>
              </w:rPr>
              <w:t>The training plan addresses s</w:t>
            </w:r>
            <w:r w:rsidRPr="009D50D8">
              <w:rPr>
                <w:lang w:val="en-GB"/>
              </w:rPr>
              <w:t xml:space="preserve">calability and complexity </w:t>
            </w:r>
            <w:r>
              <w:rPr>
                <w:lang w:val="en-GB"/>
              </w:rPr>
              <w:t xml:space="preserve">of ATS providers’ SMS </w:t>
            </w:r>
            <w:r w:rsidRPr="009D50D8">
              <w:rPr>
                <w:lang w:val="en-GB"/>
              </w:rPr>
              <w:t>aspects</w:t>
            </w:r>
            <w:r w:rsidR="00312B25">
              <w:rPr>
                <w:lang w:val="en-GB"/>
              </w:rPr>
              <w:t>.</w:t>
            </w:r>
          </w:p>
          <w:p w14:paraId="69281FEC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894E2" w14:textId="1436A338" w:rsidR="00222A5A" w:rsidRDefault="0011268B" w:rsidP="00222A5A">
            <w:pPr>
              <w:rPr>
                <w:lang w:val="en-GB"/>
              </w:rPr>
            </w:pPr>
            <w:r>
              <w:rPr>
                <w:lang w:val="en-GB"/>
              </w:rPr>
              <w:t>1.</w:t>
            </w:r>
            <w:r w:rsidR="00051A26">
              <w:rPr>
                <w:lang w:val="en-GB"/>
              </w:rPr>
              <w:t xml:space="preserve"> </w:t>
            </w:r>
            <w:r w:rsidR="00222A5A">
              <w:rPr>
                <w:lang w:val="en-GB"/>
              </w:rPr>
              <w:t>The</w:t>
            </w:r>
            <w:r w:rsidR="00222A5A" w:rsidRPr="009D50D8">
              <w:rPr>
                <w:lang w:val="en-GB"/>
              </w:rPr>
              <w:t xml:space="preserve"> training plan that addresses K/S/A concepts, recurrent training and OJT for the personnel responsible </w:t>
            </w:r>
            <w:r w:rsidR="00222A5A">
              <w:rPr>
                <w:lang w:val="en-GB"/>
              </w:rPr>
              <w:t>for</w:t>
            </w:r>
            <w:r w:rsidR="00222A5A" w:rsidRPr="009D50D8">
              <w:rPr>
                <w:lang w:val="en-GB"/>
              </w:rPr>
              <w:t xml:space="preserve"> the acceptance and continuous monitoring of </w:t>
            </w:r>
            <w:r w:rsidR="00222A5A">
              <w:rPr>
                <w:lang w:val="en-GB"/>
              </w:rPr>
              <w:t>ATS providers’</w:t>
            </w:r>
            <w:r w:rsidR="00222A5A" w:rsidRPr="009D50D8">
              <w:rPr>
                <w:lang w:val="en-GB"/>
              </w:rPr>
              <w:t xml:space="preserve"> SMS is </w:t>
            </w:r>
            <w:r w:rsidR="00222A5A">
              <w:rPr>
                <w:lang w:val="en-GB"/>
              </w:rPr>
              <w:t xml:space="preserve">being followed. </w:t>
            </w:r>
          </w:p>
          <w:p w14:paraId="0B5A4506" w14:textId="77777777" w:rsidR="0011268B" w:rsidRDefault="0011268B" w:rsidP="00222A5A">
            <w:pPr>
              <w:rPr>
                <w:lang w:val="en-GB"/>
              </w:rPr>
            </w:pPr>
          </w:p>
          <w:p w14:paraId="0DA4A17C" w14:textId="212473BE" w:rsidR="00725220" w:rsidRDefault="00222A5A" w:rsidP="00725220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725220" w:rsidRPr="009D50D8">
              <w:rPr>
                <w:lang w:val="en-GB"/>
              </w:rPr>
              <w:t xml:space="preserve">. </w:t>
            </w:r>
            <w:r w:rsidR="00725220">
              <w:rPr>
                <w:lang w:val="en-GB"/>
              </w:rPr>
              <w:t>The</w:t>
            </w:r>
            <w:r w:rsidR="00725220" w:rsidRPr="009D50D8">
              <w:rPr>
                <w:lang w:val="en-GB"/>
              </w:rPr>
              <w:t xml:space="preserve"> competent authority </w:t>
            </w:r>
            <w:r w:rsidR="00725220">
              <w:rPr>
                <w:lang w:val="en-GB"/>
              </w:rPr>
              <w:t>periodically</w:t>
            </w:r>
            <w:r w:rsidR="00725220" w:rsidRPr="009D50D8">
              <w:rPr>
                <w:lang w:val="en-GB"/>
              </w:rPr>
              <w:t xml:space="preserve"> review</w:t>
            </w:r>
            <w:r w:rsidR="00725220">
              <w:rPr>
                <w:lang w:val="en-GB"/>
              </w:rPr>
              <w:t>s</w:t>
            </w:r>
            <w:r w:rsidR="00725220" w:rsidRPr="009D50D8">
              <w:rPr>
                <w:lang w:val="en-GB"/>
              </w:rPr>
              <w:t xml:space="preserve"> </w:t>
            </w:r>
            <w:r w:rsidR="00725220">
              <w:rPr>
                <w:lang w:val="en-GB"/>
              </w:rPr>
              <w:t>t</w:t>
            </w:r>
            <w:r w:rsidR="00725220" w:rsidRPr="009D50D8">
              <w:rPr>
                <w:lang w:val="en-GB"/>
              </w:rPr>
              <w:t xml:space="preserve">he competencies required </w:t>
            </w:r>
            <w:r w:rsidR="00725220">
              <w:rPr>
                <w:lang w:val="en-GB"/>
              </w:rPr>
              <w:t>of</w:t>
            </w:r>
            <w:r w:rsidR="00725220" w:rsidRPr="009D50D8">
              <w:rPr>
                <w:lang w:val="en-GB"/>
              </w:rPr>
              <w:t xml:space="preserve"> their personnel responsible for the initial acceptance and continuous monitoring of </w:t>
            </w:r>
            <w:r w:rsidR="00725220">
              <w:rPr>
                <w:lang w:val="en-GB"/>
              </w:rPr>
              <w:t>ATS providers’</w:t>
            </w:r>
            <w:r w:rsidR="00725220" w:rsidRPr="009D50D8">
              <w:rPr>
                <w:lang w:val="en-GB"/>
              </w:rPr>
              <w:t xml:space="preserve"> SMS.</w:t>
            </w:r>
          </w:p>
          <w:p w14:paraId="7FD3BD6D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79170551" w14:textId="0E790616" w:rsidR="00725220" w:rsidRDefault="00222A5A" w:rsidP="00725220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725220" w:rsidRPr="009D50D8">
              <w:rPr>
                <w:lang w:val="en-GB"/>
              </w:rPr>
              <w:t xml:space="preserve">. The training plan is reviewed </w:t>
            </w:r>
            <w:r w:rsidR="00725220">
              <w:rPr>
                <w:lang w:val="en-GB"/>
              </w:rPr>
              <w:t>periodically</w:t>
            </w:r>
            <w:r w:rsidR="00725220" w:rsidRPr="009D50D8">
              <w:rPr>
                <w:lang w:val="en-GB"/>
              </w:rPr>
              <w:t xml:space="preserve"> to identify new training needs, in order to </w:t>
            </w:r>
            <w:r w:rsidR="00725220">
              <w:rPr>
                <w:lang w:val="en-GB"/>
              </w:rPr>
              <w:t>maintain</w:t>
            </w:r>
            <w:r w:rsidR="00725220" w:rsidRPr="009D50D8">
              <w:rPr>
                <w:lang w:val="en-GB"/>
              </w:rPr>
              <w:t xml:space="preserve"> the competencies required for accepting and continuously monitoring </w:t>
            </w:r>
            <w:r w:rsidR="00725220">
              <w:rPr>
                <w:lang w:val="en-GB"/>
              </w:rPr>
              <w:t>ATS providers’</w:t>
            </w:r>
            <w:r w:rsidR="00725220" w:rsidRPr="009D50D8">
              <w:rPr>
                <w:lang w:val="en-GB"/>
              </w:rPr>
              <w:t xml:space="preserve"> SMS.</w:t>
            </w:r>
          </w:p>
          <w:p w14:paraId="0333E50C" w14:textId="77777777" w:rsidR="00725220" w:rsidRPr="009D50D8" w:rsidRDefault="00725220" w:rsidP="00725220">
            <w:pPr>
              <w:rPr>
                <w:lang w:val="en-GB"/>
              </w:rPr>
            </w:pPr>
          </w:p>
          <w:p w14:paraId="02CB8B37" w14:textId="026722C2" w:rsidR="00725220" w:rsidRPr="009D50D8" w:rsidRDefault="00222A5A" w:rsidP="00725220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725220" w:rsidRPr="009D50D8">
              <w:rPr>
                <w:lang w:val="en-GB"/>
              </w:rPr>
              <w:t>. Challenges in inspector</w:t>
            </w:r>
            <w:r w:rsidR="00725220">
              <w:rPr>
                <w:lang w:val="en-GB"/>
              </w:rPr>
              <w:t>s’</w:t>
            </w:r>
            <w:r w:rsidR="00725220" w:rsidRPr="009D50D8">
              <w:rPr>
                <w:lang w:val="en-GB"/>
              </w:rPr>
              <w:t xml:space="preserve"> capabilities </w:t>
            </w:r>
            <w:r w:rsidR="00725220">
              <w:rPr>
                <w:lang w:val="en-GB"/>
              </w:rPr>
              <w:t xml:space="preserve">to transition </w:t>
            </w:r>
            <w:r w:rsidR="00725220" w:rsidRPr="009D50D8">
              <w:rPr>
                <w:lang w:val="en-GB"/>
              </w:rPr>
              <w:t>from presc</w:t>
            </w:r>
            <w:r w:rsidR="00725220">
              <w:rPr>
                <w:lang w:val="en-GB"/>
              </w:rPr>
              <w:t>riptive approach to performance-</w:t>
            </w:r>
            <w:r w:rsidR="00725220" w:rsidRPr="009D50D8">
              <w:rPr>
                <w:lang w:val="en-GB"/>
              </w:rPr>
              <w:t xml:space="preserve">based approach are </w:t>
            </w:r>
            <w:r w:rsidR="00725220" w:rsidRPr="009D50D8">
              <w:rPr>
                <w:lang w:val="en-GB"/>
              </w:rPr>
              <w:lastRenderedPageBreak/>
              <w:t>recognized and addressed (when applicable).</w:t>
            </w:r>
          </w:p>
          <w:p w14:paraId="55A85D33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</w:p>
        </w:tc>
      </w:tr>
      <w:tr w:rsidR="00725220" w:rsidRPr="009D50D8" w14:paraId="33680D96" w14:textId="77777777" w:rsidTr="00B5498C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02D6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</w:t>
            </w:r>
            <w:r w:rsidRPr="004B5A88">
              <w:t>.0</w:t>
            </w:r>
            <w: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7CA11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 xml:space="preserve">What </w:t>
            </w:r>
            <w:r>
              <w:t xml:space="preserve">guidance and tools </w:t>
            </w:r>
            <w:r w:rsidRPr="00FE5F60">
              <w:t xml:space="preserve">has the State </w:t>
            </w:r>
            <w:r>
              <w:t>provided to its personnel on the initial acceptance and continuous surveillance of ATS providers’ SMS</w:t>
            </w:r>
            <w:r w:rsidRPr="00FE5F60">
              <w:t>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FF7F8" w14:textId="77777777" w:rsidR="00725220" w:rsidRDefault="00725220" w:rsidP="00725220">
            <w:pPr>
              <w:pStyle w:val="ColumnCenter"/>
            </w:pPr>
            <w:r>
              <w:t xml:space="preserve">SMM 8.3.8 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8C06E" w14:textId="77777777" w:rsidR="00725220" w:rsidRPr="00FE5F60" w:rsidRDefault="00725220" w:rsidP="00725220">
            <w:pPr>
              <w:pStyle w:val="ColumnCenter"/>
            </w:pPr>
            <w:r w:rsidRPr="00FE5F60">
              <w:t>State Safety Policy, Objectives and Resources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B25E9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A2F57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6F252" w14:textId="77777777" w:rsidR="00725220" w:rsidRDefault="00725220" w:rsidP="00725220">
            <w:pPr>
              <w:spacing w:before="360"/>
              <w:rPr>
                <w:lang w:val="en-GB"/>
              </w:rPr>
            </w:pPr>
            <w:r w:rsidRPr="00C35219">
              <w:rPr>
                <w:lang w:val="en-GB"/>
              </w:rPr>
              <w:t xml:space="preserve">1. Guidance material and tools that address scalability and complexity aspects, for both initial acceptance and continuous monitoring phases of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SMS, have been provided to the competent authority personnel.</w:t>
            </w:r>
          </w:p>
          <w:p w14:paraId="597B2C33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655B7665" w14:textId="77777777" w:rsidR="00725220" w:rsidRPr="00C35219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There is a mechanism </w:t>
            </w:r>
            <w:r>
              <w:rPr>
                <w:lang w:val="en-GB"/>
              </w:rPr>
              <w:t xml:space="preserve">in place </w:t>
            </w:r>
            <w:r w:rsidRPr="00C35219">
              <w:rPr>
                <w:lang w:val="en-GB"/>
              </w:rPr>
              <w:t>that supports the exchange of guidance material, tools and best practices, between technical personnel from different domains within the competent authority.</w:t>
            </w:r>
          </w:p>
          <w:p w14:paraId="00D9E0AE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D1A79" w14:textId="77777777" w:rsidR="00725220" w:rsidRDefault="00725220" w:rsidP="00725220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1.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guidance material and tools </w:t>
            </w:r>
            <w:r>
              <w:rPr>
                <w:lang w:val="en-GB"/>
              </w:rPr>
              <w:t xml:space="preserve">are used </w:t>
            </w:r>
            <w:r w:rsidRPr="00C35219">
              <w:rPr>
                <w:lang w:val="en-GB"/>
              </w:rPr>
              <w:t xml:space="preserve">by the personnel responsible </w:t>
            </w:r>
            <w:r>
              <w:rPr>
                <w:lang w:val="en-GB"/>
              </w:rPr>
              <w:t xml:space="preserve">for </w:t>
            </w:r>
            <w:r w:rsidRPr="00C35219">
              <w:rPr>
                <w:lang w:val="en-GB"/>
              </w:rPr>
              <w:t xml:space="preserve">the initial acceptance and continuous monitoring of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SMS.</w:t>
            </w:r>
          </w:p>
          <w:p w14:paraId="5D3D74B0" w14:textId="77777777" w:rsidR="00725220" w:rsidRPr="00C35219" w:rsidRDefault="00725220" w:rsidP="00725220">
            <w:pPr>
              <w:spacing w:before="240"/>
              <w:rPr>
                <w:lang w:val="en-GB"/>
              </w:rPr>
            </w:pPr>
          </w:p>
          <w:p w14:paraId="19B27C5A" w14:textId="77777777" w:rsidR="00725220" w:rsidRDefault="00725220" w:rsidP="003541DE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guidance material, tools and best practices are reviewed regularly and amended (if needed).</w:t>
            </w:r>
          </w:p>
          <w:p w14:paraId="6F593833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4CCDDC83" w14:textId="77777777" w:rsidR="00725220" w:rsidRPr="00C35219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>3. The exchange of guidance material, tools and best practices between technical personnel from different domains, has contributed to the harmonization of the SMS surveillance</w:t>
            </w:r>
            <w:r>
              <w:rPr>
                <w:lang w:val="en-GB"/>
              </w:rPr>
              <w:t>-</w:t>
            </w:r>
            <w:r w:rsidRPr="00C35219">
              <w:rPr>
                <w:lang w:val="en-GB"/>
              </w:rPr>
              <w:t>related process and tools at the State level (unified approach).</w:t>
            </w:r>
          </w:p>
          <w:p w14:paraId="10915B4B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</w:tr>
      <w:tr w:rsidR="00725220" w:rsidRPr="009D50D8" w14:paraId="1C54616A" w14:textId="77777777" w:rsidTr="00F20BE2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F5F4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SSP.ANS.05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6FE7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>
              <w:t>How does the State determine the initial and continued acceptability of the ATS provider</w:t>
            </w:r>
            <w:r w:rsidRPr="00EE4767">
              <w:rPr>
                <w:iCs/>
              </w:rPr>
              <w:t>’s</w:t>
            </w:r>
            <w:r>
              <w:t xml:space="preserve"> SMS?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9EB7B9" w14:textId="77777777" w:rsidR="00725220" w:rsidRPr="004A4862" w:rsidRDefault="00725220" w:rsidP="00725220">
            <w:pPr>
              <w:pStyle w:val="ColumnCenter"/>
            </w:pPr>
            <w:r>
              <w:t>SMM 8.4.7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B26FF" w14:textId="77777777" w:rsidR="00725220" w:rsidRPr="00FE5F60" w:rsidRDefault="00725220" w:rsidP="00725220">
            <w:pPr>
              <w:pStyle w:val="ColumnCenter"/>
            </w:pPr>
            <w:r w:rsidRPr="00FE5F60">
              <w:t>State Safety Risk Management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3E8F7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D2DE2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63581" w14:textId="77777777" w:rsidR="00725220" w:rsidRDefault="00725220" w:rsidP="00725220">
            <w:pPr>
              <w:spacing w:before="360"/>
              <w:rPr>
                <w:lang w:val="en-GB"/>
              </w:rPr>
            </w:pPr>
            <w:r w:rsidRPr="00C35219">
              <w:rPr>
                <w:lang w:val="en-GB"/>
              </w:rPr>
              <w:t xml:space="preserve">1. There is a mechanism in place to determine the initial and continued acceptability of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SMS.</w:t>
            </w:r>
          </w:p>
          <w:p w14:paraId="6BAF801C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46D2A1BD" w14:textId="77777777" w:rsidR="00725220" w:rsidRPr="00C35219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 The mechanism enables the implementation of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SMS in a phased-in approach.</w:t>
            </w:r>
          </w:p>
          <w:p w14:paraId="1993BB56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68664" w14:textId="09B52304" w:rsidR="00725220" w:rsidRDefault="00725220" w:rsidP="003541DE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1.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initial acceptance and continued acceptability of each </w:t>
            </w:r>
            <w:r>
              <w:rPr>
                <w:lang w:val="en-GB"/>
              </w:rPr>
              <w:t>ATS provider’s</w:t>
            </w:r>
            <w:r w:rsidRPr="00C35219">
              <w:rPr>
                <w:lang w:val="en-GB"/>
              </w:rPr>
              <w:t xml:space="preserve"> SMS follow a phased-in approach</w:t>
            </w:r>
            <w:r>
              <w:rPr>
                <w:lang w:val="en-GB"/>
              </w:rPr>
              <w:t>.</w:t>
            </w:r>
          </w:p>
          <w:p w14:paraId="050CF95E" w14:textId="77777777" w:rsidR="0011268B" w:rsidRDefault="0011268B" w:rsidP="003541DE">
            <w:pPr>
              <w:rPr>
                <w:lang w:val="en-GB"/>
              </w:rPr>
            </w:pPr>
          </w:p>
          <w:p w14:paraId="6ADE9459" w14:textId="18FB3DBA" w:rsidR="00816AFC" w:rsidRDefault="00816AFC" w:rsidP="00092131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9D50D8">
              <w:rPr>
                <w:lang w:val="en-GB"/>
              </w:rPr>
              <w:t xml:space="preserve">. Different approaches are applied </w:t>
            </w:r>
            <w:r>
              <w:rPr>
                <w:lang w:val="en-GB"/>
              </w:rPr>
              <w:t>for</w:t>
            </w:r>
            <w:r w:rsidRPr="009D50D8">
              <w:rPr>
                <w:lang w:val="en-GB"/>
              </w:rPr>
              <w:t xml:space="preserve"> initially accepting </w:t>
            </w:r>
            <w:r>
              <w:rPr>
                <w:lang w:val="en-GB"/>
              </w:rPr>
              <w:t>ATS providers’</w:t>
            </w:r>
            <w:r w:rsidRPr="009D50D8">
              <w:rPr>
                <w:lang w:val="en-GB"/>
              </w:rPr>
              <w:t xml:space="preserve"> SMS and</w:t>
            </w:r>
            <w:r>
              <w:rPr>
                <w:lang w:val="en-GB"/>
              </w:rPr>
              <w:t xml:space="preserve"> for </w:t>
            </w:r>
            <w:r w:rsidRPr="009D50D8">
              <w:rPr>
                <w:lang w:val="en-GB"/>
              </w:rPr>
              <w:t xml:space="preserve">monitoring </w:t>
            </w:r>
            <w:r>
              <w:rPr>
                <w:lang w:val="en-GB"/>
              </w:rPr>
              <w:t xml:space="preserve">the SMS </w:t>
            </w:r>
            <w:r w:rsidRPr="009D50D8">
              <w:rPr>
                <w:lang w:val="en-GB"/>
              </w:rPr>
              <w:t>on a continuous basis</w:t>
            </w:r>
            <w:r>
              <w:rPr>
                <w:lang w:val="en-GB"/>
              </w:rPr>
              <w:t xml:space="preserve">, when </w:t>
            </w:r>
            <w:r w:rsidR="00092131">
              <w:rPr>
                <w:lang w:val="en-GB"/>
              </w:rPr>
              <w:t>appropriate</w:t>
            </w:r>
            <w:r>
              <w:rPr>
                <w:lang w:val="en-GB"/>
              </w:rPr>
              <w:t>.</w:t>
            </w:r>
          </w:p>
          <w:p w14:paraId="77EE1B5B" w14:textId="77777777" w:rsidR="00816AFC" w:rsidRPr="009D50D8" w:rsidRDefault="00816AFC" w:rsidP="00816AFC">
            <w:pPr>
              <w:rPr>
                <w:lang w:val="en-GB"/>
              </w:rPr>
            </w:pPr>
          </w:p>
          <w:p w14:paraId="049C6A2C" w14:textId="52E90613" w:rsidR="00816AFC" w:rsidRDefault="00816AFC" w:rsidP="00092131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Pr="009D50D8">
              <w:rPr>
                <w:lang w:val="en-GB"/>
              </w:rPr>
              <w:t xml:space="preserve">. Different approaches are applied when assessing </w:t>
            </w:r>
            <w:r>
              <w:rPr>
                <w:lang w:val="en-GB"/>
              </w:rPr>
              <w:t xml:space="preserve">the SMS of </w:t>
            </w:r>
            <w:r w:rsidRPr="009D50D8">
              <w:rPr>
                <w:lang w:val="en-GB"/>
              </w:rPr>
              <w:t xml:space="preserve">a complex or a non-complex </w:t>
            </w:r>
            <w:r>
              <w:rPr>
                <w:lang w:val="en-GB"/>
              </w:rPr>
              <w:t xml:space="preserve">ATS provider, when </w:t>
            </w:r>
            <w:r w:rsidR="00092131">
              <w:rPr>
                <w:lang w:val="en-GB"/>
              </w:rPr>
              <w:t>appropriate.</w:t>
            </w:r>
          </w:p>
          <w:p w14:paraId="7FA1D40D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7E50EE28" w14:textId="298EBE19" w:rsidR="00725220" w:rsidRDefault="00816AFC" w:rsidP="00725220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725220" w:rsidRPr="00C35219">
              <w:rPr>
                <w:lang w:val="en-GB"/>
              </w:rPr>
              <w:t xml:space="preserve">. </w:t>
            </w:r>
            <w:r w:rsidR="00725220">
              <w:rPr>
                <w:lang w:val="en-GB"/>
              </w:rPr>
              <w:t>T</w:t>
            </w:r>
            <w:r w:rsidR="00725220" w:rsidRPr="00C35219">
              <w:rPr>
                <w:lang w:val="en-GB"/>
              </w:rPr>
              <w:t xml:space="preserve">he continued acceptability mechanism enables, promotes and encourages the further maturation of the </w:t>
            </w:r>
            <w:r w:rsidR="00725220">
              <w:rPr>
                <w:lang w:val="en-GB"/>
              </w:rPr>
              <w:t>ATS providers’</w:t>
            </w:r>
            <w:r w:rsidR="00725220" w:rsidRPr="00C35219">
              <w:rPr>
                <w:lang w:val="en-GB"/>
              </w:rPr>
              <w:t xml:space="preserve"> SMS. </w:t>
            </w:r>
          </w:p>
          <w:p w14:paraId="01CD630E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03317B50" w14:textId="1DA44AE4" w:rsidR="00725220" w:rsidRPr="00F532EB" w:rsidRDefault="00816AFC" w:rsidP="008B716D">
            <w:pPr>
              <w:spacing w:after="0"/>
              <w:rPr>
                <w:lang w:val="en-US"/>
              </w:rPr>
            </w:pPr>
            <w:r>
              <w:rPr>
                <w:lang w:val="en-GB"/>
              </w:rPr>
              <w:t>5</w:t>
            </w:r>
            <w:r w:rsidR="00725220" w:rsidRPr="00C35219">
              <w:rPr>
                <w:lang w:val="en-GB"/>
              </w:rPr>
              <w:t xml:space="preserve">. </w:t>
            </w:r>
            <w:r w:rsidR="00725220">
              <w:rPr>
                <w:lang w:val="en-GB"/>
              </w:rPr>
              <w:t>The</w:t>
            </w:r>
            <w:r w:rsidR="00725220" w:rsidRPr="00C35219">
              <w:rPr>
                <w:lang w:val="en-GB"/>
              </w:rPr>
              <w:t xml:space="preserve"> mechanism to determine the initial and continued acceptability of </w:t>
            </w:r>
            <w:r w:rsidR="00725220">
              <w:rPr>
                <w:lang w:val="en-GB"/>
              </w:rPr>
              <w:t>ATS providers’</w:t>
            </w:r>
            <w:r w:rsidR="00725220" w:rsidRPr="00C35219">
              <w:rPr>
                <w:lang w:val="en-GB"/>
              </w:rPr>
              <w:t xml:space="preserve"> SMS is reviewed regularly and amended (when applicable). </w:t>
            </w:r>
          </w:p>
        </w:tc>
      </w:tr>
      <w:tr w:rsidR="00725220" w:rsidRPr="009D50D8" w14:paraId="544BC376" w14:textId="77777777" w:rsidTr="00E327D7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DF92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SSP.ANS.06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E07F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>How does the State asses</w:t>
            </w:r>
            <w:r>
              <w:t>s</w:t>
            </w:r>
            <w:r w:rsidRPr="00FE5F60">
              <w:t xml:space="preserve"> the effectiveness of the hazard identification and risk management processes of </w:t>
            </w:r>
            <w:r>
              <w:t>ATS providers</w:t>
            </w:r>
            <w:r w:rsidRPr="00FE5F60">
              <w:t>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B36BC" w14:textId="77777777" w:rsidR="00725220" w:rsidRPr="00FE5F60" w:rsidRDefault="00725220" w:rsidP="00725220">
            <w:pPr>
              <w:pStyle w:val="ColumnCenter"/>
            </w:pPr>
            <w:r>
              <w:t>SMM 8.4.7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FB8E4" w14:textId="77777777" w:rsidR="00725220" w:rsidRPr="00FE5F60" w:rsidRDefault="00725220" w:rsidP="00725220">
            <w:pPr>
              <w:pStyle w:val="ColumnCenter"/>
            </w:pPr>
            <w:r w:rsidRPr="00FE5F60">
              <w:t>State Safety Risk Management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4E08F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7D712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2909A" w14:textId="77777777" w:rsidR="00725220" w:rsidRDefault="00725220" w:rsidP="003541DE">
            <w:pPr>
              <w:spacing w:before="600"/>
              <w:rPr>
                <w:lang w:val="en-GB"/>
              </w:rPr>
            </w:pPr>
            <w:r w:rsidRPr="00C35219">
              <w:rPr>
                <w:lang w:val="en-GB"/>
              </w:rPr>
              <w:t xml:space="preserve">1. There is a mechanism in place to </w:t>
            </w:r>
            <w:r>
              <w:rPr>
                <w:lang w:val="en-GB"/>
              </w:rPr>
              <w:t>assess</w:t>
            </w:r>
            <w:r w:rsidRPr="00C35219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>ATS provider’</w:t>
            </w:r>
            <w:r w:rsidRPr="00C35219">
              <w:rPr>
                <w:lang w:val="en-GB"/>
              </w:rPr>
              <w:t>s hazard log, including the data sources that feed it.</w:t>
            </w:r>
          </w:p>
          <w:p w14:paraId="20122D3A" w14:textId="77777777" w:rsidR="00725220" w:rsidRPr="00C35219" w:rsidRDefault="00725220" w:rsidP="00725220">
            <w:pPr>
              <w:spacing w:before="240"/>
              <w:rPr>
                <w:lang w:val="en-GB"/>
              </w:rPr>
            </w:pPr>
          </w:p>
          <w:p w14:paraId="745DD645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>2. There is a mechanism in place to document the hazard log in a way that enables its evolution over time.</w:t>
            </w:r>
          </w:p>
          <w:p w14:paraId="4EF20ADA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7AF501C3" w14:textId="75971530" w:rsidR="00725220" w:rsidRDefault="00725220" w:rsidP="00380352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3. There is a mechanism </w:t>
            </w:r>
            <w:r>
              <w:rPr>
                <w:lang w:val="en-GB"/>
              </w:rPr>
              <w:t xml:space="preserve">in place </w:t>
            </w:r>
            <w:r w:rsidRPr="00C35219">
              <w:rPr>
                <w:lang w:val="en-GB"/>
              </w:rPr>
              <w:t xml:space="preserve">to ensure that all hazards that are documented in the hazard log are subjected to a risk assessment. </w:t>
            </w:r>
          </w:p>
          <w:p w14:paraId="24517EBE" w14:textId="77777777" w:rsidR="00725220" w:rsidRPr="00380352" w:rsidRDefault="00725220" w:rsidP="00725220">
            <w:pPr>
              <w:rPr>
                <w:lang w:val="en-US"/>
              </w:rPr>
            </w:pPr>
          </w:p>
          <w:p w14:paraId="6577FDE3" w14:textId="6C63F57B" w:rsidR="00725220" w:rsidRPr="00C35219" w:rsidRDefault="00363799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725220" w:rsidRPr="00C35219">
              <w:rPr>
                <w:lang w:val="en-GB"/>
              </w:rPr>
              <w:t xml:space="preserve">. There is a mechanism in place to evaluate the </w:t>
            </w:r>
            <w:r w:rsidR="00725220">
              <w:rPr>
                <w:lang w:val="en-GB"/>
              </w:rPr>
              <w:t>ATS provider’</w:t>
            </w:r>
            <w:r w:rsidR="00725220" w:rsidRPr="00C35219">
              <w:rPr>
                <w:lang w:val="en-GB"/>
              </w:rPr>
              <w:t xml:space="preserve">s risk </w:t>
            </w:r>
            <w:r w:rsidR="00725220">
              <w:rPr>
                <w:lang w:val="en-GB"/>
              </w:rPr>
              <w:t>management</w:t>
            </w:r>
            <w:r w:rsidR="00725220" w:rsidRPr="00C35219">
              <w:rPr>
                <w:lang w:val="en-GB"/>
              </w:rPr>
              <w:t xml:space="preserve"> processes, including</w:t>
            </w:r>
            <w:r>
              <w:rPr>
                <w:lang w:val="en-GB"/>
              </w:rPr>
              <w:t xml:space="preserve"> </w:t>
            </w:r>
            <w:r w:rsidR="00725220" w:rsidRPr="00C35219">
              <w:rPr>
                <w:lang w:val="en-GB"/>
              </w:rPr>
              <w:t>residual risks</w:t>
            </w:r>
            <w:r w:rsidR="0011268B">
              <w:rPr>
                <w:lang w:val="en-GB"/>
              </w:rPr>
              <w:t xml:space="preserve"> and risks that may affect the ATS provider but were not generated by the ATS provider itself</w:t>
            </w:r>
            <w:r w:rsidR="00725220" w:rsidRPr="00C35219">
              <w:rPr>
                <w:lang w:val="en-GB"/>
              </w:rPr>
              <w:t>.</w:t>
            </w:r>
          </w:p>
          <w:p w14:paraId="4753D684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952C0" w14:textId="51CD5EA7" w:rsidR="00725220" w:rsidRDefault="00725220" w:rsidP="003541DE">
            <w:pPr>
              <w:spacing w:before="360"/>
              <w:rPr>
                <w:lang w:val="en-GB"/>
              </w:rPr>
            </w:pPr>
            <w:r w:rsidRPr="00C35219">
              <w:rPr>
                <w:lang w:val="en-GB"/>
              </w:rPr>
              <w:t xml:space="preserve">1.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 regularly evaluat</w:t>
            </w:r>
            <w:r>
              <w:rPr>
                <w:lang w:val="en-GB"/>
              </w:rPr>
              <w:t>es</w:t>
            </w:r>
            <w:r w:rsidRPr="00C35219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hazard log, including the data sources that feed it, in a way that enables the State to identify existing unregistered hazards, both at the State level or at the individual </w:t>
            </w:r>
            <w:r>
              <w:rPr>
                <w:lang w:val="en-GB"/>
              </w:rPr>
              <w:t>ATS provider’s</w:t>
            </w:r>
            <w:r w:rsidRPr="00C35219">
              <w:rPr>
                <w:lang w:val="en-GB"/>
              </w:rPr>
              <w:t xml:space="preserve"> level.</w:t>
            </w:r>
          </w:p>
          <w:p w14:paraId="5BC896EB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3952A949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 regularly evaluat</w:t>
            </w:r>
            <w:r>
              <w:rPr>
                <w:lang w:val="en-GB"/>
              </w:rPr>
              <w:t>es</w:t>
            </w:r>
            <w:r w:rsidRPr="00C35219">
              <w:rPr>
                <w:lang w:val="en-GB"/>
              </w:rPr>
              <w:t xml:space="preserve"> the evolution </w:t>
            </w:r>
            <w:r>
              <w:rPr>
                <w:lang w:val="en-GB"/>
              </w:rPr>
              <w:t>o</w:t>
            </w:r>
            <w:r w:rsidRPr="00C35219">
              <w:rPr>
                <w:lang w:val="en-GB"/>
              </w:rPr>
              <w:t xml:space="preserve">f 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hazard log.</w:t>
            </w:r>
          </w:p>
          <w:p w14:paraId="33352F49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1A63CE3A" w14:textId="77777777" w:rsidR="00725220" w:rsidRDefault="00725220" w:rsidP="003541DE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3.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</w:t>
            </w:r>
            <w:r>
              <w:rPr>
                <w:lang w:val="en-GB"/>
              </w:rPr>
              <w:t xml:space="preserve"> ensures</w:t>
            </w:r>
            <w:r w:rsidRPr="00C35219">
              <w:rPr>
                <w:lang w:val="en-GB"/>
              </w:rPr>
              <w:t xml:space="preserve"> that risk </w:t>
            </w:r>
            <w:r>
              <w:rPr>
                <w:lang w:val="en-GB"/>
              </w:rPr>
              <w:t>management actions (including risk assessment) are taken</w:t>
            </w:r>
            <w:r w:rsidRPr="00C35219">
              <w:rPr>
                <w:lang w:val="en-GB"/>
              </w:rPr>
              <w:t xml:space="preserve"> for each registered hazard. </w:t>
            </w:r>
          </w:p>
          <w:p w14:paraId="565B1D3E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007DBE27" w14:textId="77903CE0" w:rsidR="00725220" w:rsidRPr="00C35219" w:rsidRDefault="0011268B" w:rsidP="0011268B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725220" w:rsidRPr="00C35219"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Each </w:t>
            </w:r>
            <w:r w:rsidR="00725220">
              <w:rPr>
                <w:lang w:val="en-GB"/>
              </w:rPr>
              <w:t>ATS provider</w:t>
            </w:r>
            <w:r>
              <w:rPr>
                <w:lang w:val="en-GB"/>
              </w:rPr>
              <w:t>’</w:t>
            </w:r>
            <w:r w:rsidR="00725220">
              <w:rPr>
                <w:lang w:val="en-GB"/>
              </w:rPr>
              <w:t>s</w:t>
            </w:r>
            <w:r w:rsidR="00725220" w:rsidRPr="00C35219">
              <w:rPr>
                <w:lang w:val="en-GB"/>
              </w:rPr>
              <w:t xml:space="preserve"> risk assessment processes, including residual risks</w:t>
            </w:r>
            <w:r>
              <w:rPr>
                <w:lang w:val="en-GB"/>
              </w:rPr>
              <w:t xml:space="preserve"> and risks that may affect the ATS provider but were not generated by the ATS provider itself</w:t>
            </w:r>
            <w:r w:rsidR="00725220" w:rsidRPr="00C35219">
              <w:rPr>
                <w:lang w:val="en-GB"/>
              </w:rPr>
              <w:t>, are evaluated</w:t>
            </w:r>
            <w:r w:rsidR="00725220">
              <w:rPr>
                <w:lang w:val="en-GB"/>
              </w:rPr>
              <w:t xml:space="preserve"> </w:t>
            </w:r>
            <w:r w:rsidR="00725220" w:rsidRPr="00C35219">
              <w:rPr>
                <w:lang w:val="en-GB"/>
              </w:rPr>
              <w:t xml:space="preserve">regularly.  </w:t>
            </w:r>
          </w:p>
          <w:p w14:paraId="55A9205F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</w:tr>
      <w:tr w:rsidR="00725220" w:rsidRPr="009D50D8" w14:paraId="5089C3EF" w14:textId="77777777" w:rsidTr="00FF7223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75BB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SSP.ANS.07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8E68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 xml:space="preserve">How does the State ensure that </w:t>
            </w:r>
            <w:r>
              <w:t>ATS providers</w:t>
            </w:r>
            <w:r w:rsidRPr="00FE5F60">
              <w:t xml:space="preserve"> monitor and analyze safety </w:t>
            </w:r>
            <w:r>
              <w:t>data to identify</w:t>
            </w:r>
            <w:r w:rsidRPr="00FE5F60">
              <w:t xml:space="preserve"> trends and take appropriate action when needed?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6EED7" w14:textId="77777777" w:rsidR="00725220" w:rsidRPr="00FE5F60" w:rsidRDefault="00725220" w:rsidP="00725220">
            <w:pPr>
              <w:pStyle w:val="ColumnCenter"/>
            </w:pPr>
            <w:r>
              <w:t>SMM 8.4.7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59DBF" w14:textId="77777777" w:rsidR="00725220" w:rsidRPr="00FE5F60" w:rsidRDefault="00725220" w:rsidP="00725220">
            <w:pPr>
              <w:pStyle w:val="ColumnCenter"/>
            </w:pPr>
            <w:r w:rsidRPr="00FE5F60">
              <w:t>State Safety Risk Management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19AF4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25212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31E56" w14:textId="77777777" w:rsidR="00725220" w:rsidRDefault="00725220" w:rsidP="00725220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1. There is a mechanism in place to ensure the identification of trends, safety risks and emerging issues by </w:t>
            </w:r>
            <w:r>
              <w:rPr>
                <w:lang w:val="en-GB"/>
              </w:rPr>
              <w:t>ATS providers</w:t>
            </w:r>
            <w:r w:rsidRPr="00C35219">
              <w:rPr>
                <w:lang w:val="en-GB"/>
              </w:rPr>
              <w:t>.</w:t>
            </w:r>
          </w:p>
          <w:p w14:paraId="464F79A6" w14:textId="77777777" w:rsidR="00725220" w:rsidRPr="00C35219" w:rsidRDefault="00725220" w:rsidP="00725220">
            <w:pPr>
              <w:spacing w:before="240"/>
              <w:rPr>
                <w:lang w:val="en-GB"/>
              </w:rPr>
            </w:pPr>
          </w:p>
          <w:p w14:paraId="71FAACCF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>2. There is a mechanism in place to ensure the monitoring and analysi</w:t>
            </w:r>
            <w:r>
              <w:rPr>
                <w:lang w:val="en-GB"/>
              </w:rPr>
              <w:t>s</w:t>
            </w:r>
            <w:r w:rsidRPr="00C35219">
              <w:rPr>
                <w:lang w:val="en-GB"/>
              </w:rPr>
              <w:t xml:space="preserve"> of safety occurrences, including mandatory, voluntary and internal reports, by </w:t>
            </w:r>
            <w:r>
              <w:rPr>
                <w:lang w:val="en-GB"/>
              </w:rPr>
              <w:t>ATS providers</w:t>
            </w:r>
            <w:r w:rsidRPr="00C35219">
              <w:rPr>
                <w:lang w:val="en-GB"/>
              </w:rPr>
              <w:t xml:space="preserve">. </w:t>
            </w:r>
          </w:p>
          <w:p w14:paraId="38C4781C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6440AE33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3. There is a mechanism in place to ensure </w:t>
            </w:r>
            <w:r>
              <w:rPr>
                <w:lang w:val="en-GB"/>
              </w:rPr>
              <w:t xml:space="preserve">that ATS providers </w:t>
            </w:r>
            <w:r w:rsidRPr="00C35219">
              <w:rPr>
                <w:lang w:val="en-GB"/>
              </w:rPr>
              <w:t>utilize all relevant data</w:t>
            </w:r>
            <w:r>
              <w:rPr>
                <w:lang w:val="en-GB"/>
              </w:rPr>
              <w:t>-</w:t>
            </w:r>
            <w:r w:rsidRPr="00C35219">
              <w:rPr>
                <w:lang w:val="en-GB"/>
              </w:rPr>
              <w:t xml:space="preserve">feeding sources, to get a </w:t>
            </w:r>
            <w:r>
              <w:rPr>
                <w:lang w:val="en-GB"/>
              </w:rPr>
              <w:t>true</w:t>
            </w:r>
            <w:r w:rsidRPr="00C35219">
              <w:rPr>
                <w:lang w:val="en-GB"/>
              </w:rPr>
              <w:t xml:space="preserve"> picture of their safety performance.</w:t>
            </w:r>
          </w:p>
          <w:p w14:paraId="2067C72D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5E96633C" w14:textId="21B6FB70" w:rsidR="00725220" w:rsidRPr="00C35219" w:rsidRDefault="00725220" w:rsidP="008B716D">
            <w:pPr>
              <w:spacing w:before="240" w:after="0"/>
              <w:rPr>
                <w:lang w:val="en-GB"/>
              </w:rPr>
            </w:pPr>
            <w:r w:rsidRPr="00C35219">
              <w:rPr>
                <w:lang w:val="en-GB"/>
              </w:rPr>
              <w:t xml:space="preserve">4. There is a mechanism in place to ensure </w:t>
            </w:r>
            <w:r>
              <w:rPr>
                <w:lang w:val="en-GB"/>
              </w:rPr>
              <w:t xml:space="preserve">that </w:t>
            </w:r>
            <w:r w:rsidRPr="00C35219">
              <w:rPr>
                <w:lang w:val="en-GB"/>
              </w:rPr>
              <w:t>appropriate actions are being taken</w:t>
            </w:r>
            <w:r>
              <w:rPr>
                <w:lang w:val="en-GB"/>
              </w:rPr>
              <w:t>,</w:t>
            </w:r>
            <w:r w:rsidRPr="00C35219">
              <w:rPr>
                <w:lang w:val="en-GB"/>
              </w:rPr>
              <w:t xml:space="preserve"> when needed</w:t>
            </w:r>
            <w:r>
              <w:rPr>
                <w:lang w:val="en-GB"/>
              </w:rPr>
              <w:t>,</w:t>
            </w:r>
            <w:r w:rsidRPr="00C35219">
              <w:rPr>
                <w:lang w:val="en-GB"/>
              </w:rPr>
              <w:t xml:space="preserve"> by </w:t>
            </w:r>
            <w:r>
              <w:rPr>
                <w:lang w:val="en-GB"/>
              </w:rPr>
              <w:t>ATS providers</w:t>
            </w:r>
            <w:r w:rsidRPr="00C35219">
              <w:rPr>
                <w:lang w:val="en-GB"/>
              </w:rPr>
              <w:t>.</w:t>
            </w: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D455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1.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>are identifying trends, safety risks and emerging issues in a systematic and continuous man</w:t>
            </w:r>
            <w:r>
              <w:rPr>
                <w:lang w:val="en-GB"/>
              </w:rPr>
              <w:t>ner, in a way that enables data-</w:t>
            </w:r>
            <w:r w:rsidRPr="00C35219">
              <w:rPr>
                <w:lang w:val="en-GB"/>
              </w:rPr>
              <w:t xml:space="preserve">driven decision-making. </w:t>
            </w:r>
          </w:p>
          <w:p w14:paraId="59038B0F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77FA918B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ATS provider </w:t>
            </w:r>
            <w:r w:rsidRPr="00C35219">
              <w:rPr>
                <w:lang w:val="en-GB"/>
              </w:rPr>
              <w:t>are regularly monitoring and analysing safety occurrences, including mandatory, voluntary and internal reports</w:t>
            </w:r>
            <w:r>
              <w:rPr>
                <w:lang w:val="en-GB"/>
              </w:rPr>
              <w:t>, in a manner that enables data-driven decision-</w:t>
            </w:r>
            <w:r w:rsidRPr="00C35219">
              <w:rPr>
                <w:lang w:val="en-GB"/>
              </w:rPr>
              <w:t>making.</w:t>
            </w:r>
          </w:p>
          <w:p w14:paraId="62AE6C31" w14:textId="77777777" w:rsidR="00725220" w:rsidRPr="00C35219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 </w:t>
            </w:r>
          </w:p>
          <w:p w14:paraId="587986D1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3. </w:t>
            </w:r>
            <w:r>
              <w:rPr>
                <w:lang w:val="en-GB"/>
              </w:rPr>
              <w:t>All</w:t>
            </w:r>
            <w:r w:rsidRPr="00C35219">
              <w:rPr>
                <w:lang w:val="en-GB"/>
              </w:rPr>
              <w:t xml:space="preserve"> relevant data</w:t>
            </w:r>
            <w:r>
              <w:rPr>
                <w:lang w:val="en-GB"/>
              </w:rPr>
              <w:t>-</w:t>
            </w:r>
            <w:r w:rsidRPr="00C35219">
              <w:rPr>
                <w:lang w:val="en-GB"/>
              </w:rPr>
              <w:t xml:space="preserve">feeding sources are optimized and effectively utilized to get a </w:t>
            </w:r>
            <w:r>
              <w:rPr>
                <w:lang w:val="en-GB"/>
              </w:rPr>
              <w:t xml:space="preserve">true </w:t>
            </w:r>
            <w:r w:rsidRPr="00C35219">
              <w:rPr>
                <w:lang w:val="en-GB"/>
              </w:rPr>
              <w:t xml:space="preserve">picture of the </w:t>
            </w:r>
            <w:r>
              <w:rPr>
                <w:lang w:val="en-GB"/>
              </w:rPr>
              <w:t>safety performance of the ATS providers</w:t>
            </w:r>
            <w:r w:rsidRPr="00C35219">
              <w:rPr>
                <w:lang w:val="en-GB"/>
              </w:rPr>
              <w:t>.</w:t>
            </w:r>
          </w:p>
          <w:p w14:paraId="4935D2CC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30E4B1E7" w14:textId="77777777" w:rsidR="00725220" w:rsidRPr="00C35219" w:rsidRDefault="00725220" w:rsidP="003541DE">
            <w:pPr>
              <w:spacing w:before="240" w:after="0"/>
              <w:rPr>
                <w:lang w:val="en-GB"/>
              </w:rPr>
            </w:pPr>
            <w:r w:rsidRPr="00C35219">
              <w:rPr>
                <w:lang w:val="en-GB"/>
              </w:rPr>
              <w:t xml:space="preserve">4.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appropriate actions that are taken</w:t>
            </w:r>
            <w:r>
              <w:rPr>
                <w:lang w:val="en-GB"/>
              </w:rPr>
              <w:t>,</w:t>
            </w:r>
            <w:r w:rsidRPr="00C35219">
              <w:rPr>
                <w:lang w:val="en-GB"/>
              </w:rPr>
              <w:t xml:space="preserve"> when needed, affect positively 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safety performance.  </w:t>
            </w:r>
          </w:p>
        </w:tc>
      </w:tr>
      <w:tr w:rsidR="00725220" w:rsidRPr="009D50D8" w14:paraId="42C52651" w14:textId="77777777" w:rsidTr="00792737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7992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SSP.ANS.08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B666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>
              <w:t xml:space="preserve">How does </w:t>
            </w:r>
            <w:r w:rsidRPr="00FE5F60">
              <w:t>the State</w:t>
            </w:r>
            <w:r>
              <w:t xml:space="preserve"> review and monitor</w:t>
            </w:r>
            <w:r w:rsidRPr="00FE5F60">
              <w:t xml:space="preserve"> safety performance indicators (SPIs), alert levels and target levels, when applicable, of individual </w:t>
            </w:r>
            <w:r>
              <w:t>ATS providers</w:t>
            </w:r>
            <w:r w:rsidRPr="00FE5F60">
              <w:t>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43129" w14:textId="77777777" w:rsidR="00725220" w:rsidRPr="00FE5F60" w:rsidRDefault="00725220" w:rsidP="00725220">
            <w:pPr>
              <w:pStyle w:val="ColumnCenter"/>
            </w:pPr>
            <w:r>
              <w:t>SMM 8.4.7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EBE06" w14:textId="77777777" w:rsidR="00725220" w:rsidRPr="00FE5F60" w:rsidRDefault="00725220" w:rsidP="00725220">
            <w:pPr>
              <w:pStyle w:val="ColumnCenter"/>
            </w:pPr>
            <w:r w:rsidRPr="00FE5F60">
              <w:t>State Safety Risk Management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CB4A2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A9D7F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8C151" w14:textId="737C4FB6" w:rsidR="00725220" w:rsidRDefault="00725220" w:rsidP="009B189A">
            <w:pPr>
              <w:spacing w:before="360"/>
              <w:rPr>
                <w:lang w:val="en-GB"/>
              </w:rPr>
            </w:pPr>
            <w:r w:rsidRPr="00C35219">
              <w:rPr>
                <w:lang w:val="en-GB"/>
              </w:rPr>
              <w:t>1. There is a mechanism in place to accept</w:t>
            </w:r>
            <w:r>
              <w:rPr>
                <w:lang w:val="en-GB"/>
              </w:rPr>
              <w:t xml:space="preserve"> and </w:t>
            </w:r>
            <w:r w:rsidR="009B189A">
              <w:rPr>
                <w:lang w:val="en-GB"/>
              </w:rPr>
              <w:t xml:space="preserve">regularly </w:t>
            </w:r>
            <w:r>
              <w:rPr>
                <w:lang w:val="en-GB"/>
              </w:rPr>
              <w:t xml:space="preserve">monitor the </w:t>
            </w:r>
            <w:r w:rsidRPr="00C35219">
              <w:rPr>
                <w:lang w:val="en-GB"/>
              </w:rPr>
              <w:t>SPIs, SPTs and alert levels</w:t>
            </w:r>
            <w:r>
              <w:rPr>
                <w:lang w:val="en-GB"/>
              </w:rPr>
              <w:t xml:space="preserve"> of the individual ATS providers</w:t>
            </w:r>
            <w:r w:rsidRPr="00C35219">
              <w:rPr>
                <w:lang w:val="en-GB"/>
              </w:rPr>
              <w:t>.</w:t>
            </w:r>
          </w:p>
          <w:p w14:paraId="2C2D1266" w14:textId="77777777" w:rsidR="00725220" w:rsidRPr="00C35219" w:rsidRDefault="00725220" w:rsidP="00725220">
            <w:pPr>
              <w:spacing w:before="240"/>
              <w:rPr>
                <w:lang w:val="en-GB"/>
              </w:rPr>
            </w:pPr>
          </w:p>
          <w:p w14:paraId="5827AF97" w14:textId="581F841F" w:rsidR="00725220" w:rsidRDefault="00725220" w:rsidP="001C715F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There is a mechanism </w:t>
            </w:r>
            <w:r>
              <w:rPr>
                <w:lang w:val="en-GB"/>
              </w:rPr>
              <w:t xml:space="preserve">in place </w:t>
            </w:r>
            <w:r w:rsidRPr="00C35219">
              <w:rPr>
                <w:lang w:val="en-GB"/>
              </w:rPr>
              <w:t xml:space="preserve">to ensure </w:t>
            </w:r>
            <w:r>
              <w:rPr>
                <w:lang w:val="en-GB"/>
              </w:rPr>
              <w:t xml:space="preserve">that ATS providers’ </w:t>
            </w:r>
            <w:r w:rsidRPr="00C35219">
              <w:rPr>
                <w:lang w:val="en-GB"/>
              </w:rPr>
              <w:t>SPIs</w:t>
            </w:r>
            <w:r w:rsidR="001C715F">
              <w:rPr>
                <w:lang w:val="en-GB"/>
              </w:rPr>
              <w:t xml:space="preserve"> are</w:t>
            </w:r>
            <w:r w:rsidRPr="00C35219">
              <w:rPr>
                <w:lang w:val="en-GB"/>
              </w:rPr>
              <w:t xml:space="preserve"> S.M.A.R.T</w:t>
            </w:r>
            <w:r w:rsidR="001C715F">
              <w:rPr>
                <w:lang w:val="en-GB"/>
              </w:rPr>
              <w:t>.</w:t>
            </w:r>
          </w:p>
          <w:p w14:paraId="05881A36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516241BD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3. There is a mechanism in place to ensure </w:t>
            </w:r>
            <w:r>
              <w:rPr>
                <w:lang w:val="en-GB"/>
              </w:rPr>
              <w:t xml:space="preserve">that </w:t>
            </w:r>
            <w:r w:rsidRPr="00C35219">
              <w:rPr>
                <w:lang w:val="en-GB"/>
              </w:rPr>
              <w:t xml:space="preserve">individual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>have balanced their SPIs, incorporating both leading and lagging indicators, State-level and self-generated SPIs.</w:t>
            </w:r>
          </w:p>
          <w:p w14:paraId="4180CB5F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0506E1F1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>4. There is a mechanism in place to systematically monitor alert levels and to ensure</w:t>
            </w:r>
            <w:r>
              <w:rPr>
                <w:lang w:val="en-GB"/>
              </w:rPr>
              <w:t xml:space="preserve"> that</w:t>
            </w:r>
            <w:r w:rsidRPr="00C35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 xml:space="preserve">have defined the actions needed in case of an alert level </w:t>
            </w:r>
            <w:r>
              <w:rPr>
                <w:lang w:val="en-GB"/>
              </w:rPr>
              <w:t>is</w:t>
            </w:r>
            <w:r w:rsidRPr="00C35219">
              <w:rPr>
                <w:lang w:val="en-GB"/>
              </w:rPr>
              <w:t xml:space="preserve"> reached.  </w:t>
            </w:r>
          </w:p>
          <w:p w14:paraId="741699A3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2211002C" w14:textId="77777777" w:rsidR="00725220" w:rsidRPr="00C35219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5. There is a mechanism in place to document 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previous sets of SPIs, in a manner that enables the State to assess the maturation of the </w:t>
            </w:r>
            <w:r>
              <w:rPr>
                <w:lang w:val="en-GB"/>
              </w:rPr>
              <w:t xml:space="preserve">ATS providers’ SMS </w:t>
            </w:r>
            <w:r w:rsidRPr="00C35219">
              <w:rPr>
                <w:lang w:val="en-GB"/>
              </w:rPr>
              <w:t>over time.</w:t>
            </w:r>
          </w:p>
          <w:p w14:paraId="01405880" w14:textId="77777777" w:rsidR="00725220" w:rsidRDefault="00725220" w:rsidP="00725220">
            <w:pPr>
              <w:spacing w:after="0"/>
              <w:rPr>
                <w:lang w:val="en-GB"/>
              </w:rPr>
            </w:pPr>
          </w:p>
          <w:p w14:paraId="1C8FE90A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BE37F" w14:textId="4C1C6DA2" w:rsidR="00725220" w:rsidRDefault="00725220" w:rsidP="007E0645">
            <w:pPr>
              <w:spacing w:before="360"/>
              <w:rPr>
                <w:lang w:val="en-GB"/>
              </w:rPr>
            </w:pPr>
            <w:r w:rsidRPr="00C35219">
              <w:rPr>
                <w:lang w:val="en-GB"/>
              </w:rPr>
              <w:lastRenderedPageBreak/>
              <w:t xml:space="preserve">1. </w:t>
            </w:r>
            <w:r>
              <w:rPr>
                <w:lang w:val="en-GB"/>
              </w:rPr>
              <w:t>The State has accepted the</w:t>
            </w:r>
            <w:r w:rsidRPr="00C35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ATS providers’ </w:t>
            </w:r>
            <w:r w:rsidRPr="00C35219">
              <w:rPr>
                <w:lang w:val="en-GB"/>
              </w:rPr>
              <w:t>SPIs, SPTs and alert levels based on relevant data, and the</w:t>
            </w:r>
            <w:r>
              <w:rPr>
                <w:lang w:val="en-GB"/>
              </w:rPr>
              <w:t>y</w:t>
            </w:r>
            <w:r w:rsidRPr="00C35219">
              <w:rPr>
                <w:lang w:val="en-GB"/>
              </w:rPr>
              <w:t xml:space="preserve"> are being monitored </w:t>
            </w:r>
            <w:r w:rsidR="007E0645">
              <w:rPr>
                <w:lang w:val="en-GB"/>
              </w:rPr>
              <w:t>regularly</w:t>
            </w:r>
            <w:r w:rsidRPr="00C35219">
              <w:rPr>
                <w:lang w:val="en-GB"/>
              </w:rPr>
              <w:t>.</w:t>
            </w:r>
          </w:p>
          <w:p w14:paraId="0F8373B1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40FA025A" w14:textId="26C7611C" w:rsidR="00725220" w:rsidRDefault="00725220" w:rsidP="001C715F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SPIs </w:t>
            </w:r>
            <w:r w:rsidR="001C715F">
              <w:rPr>
                <w:lang w:val="en-GB"/>
              </w:rPr>
              <w:t>are</w:t>
            </w:r>
            <w:r>
              <w:rPr>
                <w:lang w:val="en-GB"/>
              </w:rPr>
              <w:t xml:space="preserve"> </w:t>
            </w:r>
            <w:r w:rsidRPr="00C35219">
              <w:rPr>
                <w:lang w:val="en-GB"/>
              </w:rPr>
              <w:t>S.M.A.R.T</w:t>
            </w:r>
            <w:r>
              <w:rPr>
                <w:lang w:val="en-GB"/>
              </w:rPr>
              <w:t>.</w:t>
            </w:r>
          </w:p>
          <w:p w14:paraId="52390140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6FF1C3D2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>3. SPIs are balanced (leading / lagging, State-level / self-generated) and accurately represent the</w:t>
            </w:r>
            <w:r>
              <w:rPr>
                <w:lang w:val="en-GB"/>
              </w:rPr>
              <w:t xml:space="preserve"> risk picture of</w:t>
            </w:r>
            <w:r w:rsidRPr="00C35219">
              <w:rPr>
                <w:lang w:val="en-GB"/>
              </w:rPr>
              <w:t xml:space="preserve"> individual </w:t>
            </w:r>
            <w:r>
              <w:rPr>
                <w:lang w:val="en-GB"/>
              </w:rPr>
              <w:t>ATS providers</w:t>
            </w:r>
            <w:r w:rsidRPr="00C35219">
              <w:rPr>
                <w:lang w:val="en-GB"/>
              </w:rPr>
              <w:t xml:space="preserve"> and </w:t>
            </w:r>
            <w:r>
              <w:rPr>
                <w:lang w:val="en-GB"/>
              </w:rPr>
              <w:t xml:space="preserve">can </w:t>
            </w:r>
            <w:r w:rsidRPr="00C35219">
              <w:rPr>
                <w:lang w:val="en-GB"/>
              </w:rPr>
              <w:t xml:space="preserve">serve as a tool for monitoring </w:t>
            </w:r>
            <w:r>
              <w:rPr>
                <w:lang w:val="en-GB"/>
              </w:rPr>
              <w:t>their</w:t>
            </w:r>
            <w:r w:rsidRPr="00C35219">
              <w:rPr>
                <w:lang w:val="en-GB"/>
              </w:rPr>
              <w:t xml:space="preserve"> safety performance.</w:t>
            </w:r>
          </w:p>
          <w:p w14:paraId="28F24BBF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7250ACFC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4. </w:t>
            </w:r>
            <w:r>
              <w:rPr>
                <w:lang w:val="en-GB"/>
              </w:rPr>
              <w:t>In</w:t>
            </w:r>
            <w:r w:rsidRPr="00C35219">
              <w:rPr>
                <w:lang w:val="en-GB"/>
              </w:rPr>
              <w:t xml:space="preserve"> case alert levels</w:t>
            </w:r>
            <w:r>
              <w:rPr>
                <w:lang w:val="en-GB"/>
              </w:rPr>
              <w:t xml:space="preserve"> are</w:t>
            </w:r>
            <w:r w:rsidRPr="00C35219">
              <w:rPr>
                <w:lang w:val="en-GB"/>
              </w:rPr>
              <w:t xml:space="preserve"> reached, adequate actions </w:t>
            </w:r>
            <w:r>
              <w:rPr>
                <w:lang w:val="en-GB"/>
              </w:rPr>
              <w:t>are</w:t>
            </w:r>
            <w:r w:rsidRPr="00C35219">
              <w:rPr>
                <w:lang w:val="en-GB"/>
              </w:rPr>
              <w:t xml:space="preserve"> taken by the </w:t>
            </w:r>
            <w:r>
              <w:rPr>
                <w:lang w:val="en-GB"/>
              </w:rPr>
              <w:t>ATS providers</w:t>
            </w:r>
            <w:r w:rsidRPr="00C35219">
              <w:rPr>
                <w:lang w:val="en-GB"/>
              </w:rPr>
              <w:t xml:space="preserve"> or by the State. </w:t>
            </w:r>
          </w:p>
          <w:p w14:paraId="1C092E25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273BF8D1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  <w:r w:rsidRPr="00C35219">
              <w:rPr>
                <w:lang w:val="en-GB"/>
              </w:rPr>
              <w:t xml:space="preserve">5.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 </w:t>
            </w:r>
            <w:r>
              <w:rPr>
                <w:lang w:val="en-GB"/>
              </w:rPr>
              <w:t xml:space="preserve">utilizes </w:t>
            </w:r>
            <w:r w:rsidRPr="00C35219">
              <w:rPr>
                <w:lang w:val="en-GB"/>
              </w:rPr>
              <w:t xml:space="preserve">the documented previous sets of individual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SPIs to assess </w:t>
            </w:r>
            <w:r>
              <w:rPr>
                <w:lang w:val="en-GB"/>
              </w:rPr>
              <w:t xml:space="preserve">the </w:t>
            </w:r>
            <w:r w:rsidRPr="00C35219">
              <w:rPr>
                <w:lang w:val="en-GB"/>
              </w:rPr>
              <w:t xml:space="preserve">maturation </w:t>
            </w:r>
            <w:r>
              <w:rPr>
                <w:lang w:val="en-GB"/>
              </w:rPr>
              <w:t xml:space="preserve">of the ATS providers’ SMS </w:t>
            </w:r>
            <w:r w:rsidRPr="00C35219">
              <w:rPr>
                <w:lang w:val="en-GB"/>
              </w:rPr>
              <w:t xml:space="preserve">over time.   </w:t>
            </w:r>
          </w:p>
        </w:tc>
      </w:tr>
      <w:tr w:rsidR="00725220" w:rsidRPr="009D50D8" w14:paraId="1CA16D15" w14:textId="77777777" w:rsidTr="005B3739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DAB4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t>SSP.ANS.09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1E6BB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>How does the State prioritize inspections, audits and surveys of</w:t>
            </w:r>
            <w:r>
              <w:t xml:space="preserve"> ATS providers</w:t>
            </w:r>
            <w:r w:rsidRPr="00FE5F60">
              <w:t>, towards those areas of greater safety concern or need?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D8EBE" w14:textId="77777777" w:rsidR="00725220" w:rsidRPr="00FE5F60" w:rsidRDefault="00725220" w:rsidP="00725220">
            <w:pPr>
              <w:pStyle w:val="ColumnCenter"/>
            </w:pPr>
            <w:r>
              <w:t>SMM 8.5.3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9DDC7" w14:textId="77777777" w:rsidR="00725220" w:rsidRPr="00FE5F60" w:rsidRDefault="00725220" w:rsidP="00725220">
            <w:pPr>
              <w:pStyle w:val="ColumnCenter"/>
            </w:pPr>
            <w:r w:rsidRPr="00FE5F60">
              <w:t>State Safety Assurance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DCB19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55393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411E8" w14:textId="77777777" w:rsidR="00725220" w:rsidRDefault="00725220" w:rsidP="00725220">
            <w:pPr>
              <w:spacing w:before="360"/>
              <w:rPr>
                <w:lang w:val="en-GB"/>
              </w:rPr>
            </w:pPr>
            <w:r w:rsidRPr="00C35219">
              <w:rPr>
                <w:lang w:val="en-GB"/>
              </w:rPr>
              <w:t xml:space="preserve">1. There is a mechanism in place to prioritize planned </w:t>
            </w:r>
            <w:r>
              <w:rPr>
                <w:lang w:val="en-GB"/>
              </w:rPr>
              <w:t xml:space="preserve">surveillance </w:t>
            </w:r>
            <w:r w:rsidRPr="00C35219">
              <w:rPr>
                <w:lang w:val="en-GB"/>
              </w:rPr>
              <w:t xml:space="preserve">activities based on the perceived risk profile of the </w:t>
            </w:r>
            <w:r>
              <w:rPr>
                <w:lang w:val="en-GB"/>
              </w:rPr>
              <w:t>ATS provider</w:t>
            </w:r>
            <w:r w:rsidRPr="00C35219">
              <w:rPr>
                <w:lang w:val="en-GB"/>
              </w:rPr>
              <w:t>.</w:t>
            </w:r>
          </w:p>
          <w:p w14:paraId="486FD383" w14:textId="77777777" w:rsidR="00725220" w:rsidRPr="00C35219" w:rsidRDefault="00725220" w:rsidP="00725220">
            <w:pPr>
              <w:spacing w:before="240"/>
              <w:rPr>
                <w:lang w:val="en-GB"/>
              </w:rPr>
            </w:pPr>
          </w:p>
          <w:p w14:paraId="05122774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There is a mechanism in place to prioritize planned </w:t>
            </w:r>
            <w:r>
              <w:rPr>
                <w:lang w:val="en-GB"/>
              </w:rPr>
              <w:t>surveillance</w:t>
            </w:r>
            <w:r w:rsidRPr="00C35219">
              <w:rPr>
                <w:lang w:val="en-GB"/>
              </w:rPr>
              <w:t xml:space="preserve"> activities on specific areas within the same individual </w:t>
            </w:r>
            <w:r>
              <w:rPr>
                <w:lang w:val="en-GB"/>
              </w:rPr>
              <w:t>ATS provider.</w:t>
            </w:r>
          </w:p>
          <w:p w14:paraId="24803EF8" w14:textId="4085BA32" w:rsidR="00725220" w:rsidRDefault="00725220" w:rsidP="00725220">
            <w:pPr>
              <w:rPr>
                <w:lang w:val="en-GB"/>
              </w:rPr>
            </w:pPr>
          </w:p>
          <w:p w14:paraId="6544E4D5" w14:textId="77777777" w:rsidR="008B716D" w:rsidRPr="00C35219" w:rsidRDefault="008B716D" w:rsidP="00725220">
            <w:pPr>
              <w:rPr>
                <w:lang w:val="en-GB"/>
              </w:rPr>
            </w:pPr>
          </w:p>
          <w:p w14:paraId="6797143E" w14:textId="4CBEA8D4" w:rsidR="008B716D" w:rsidRDefault="008B716D" w:rsidP="00725220">
            <w:pPr>
              <w:rPr>
                <w:lang w:val="en-GB"/>
              </w:rPr>
            </w:pPr>
          </w:p>
          <w:p w14:paraId="495FB5C4" w14:textId="77777777" w:rsidR="008B716D" w:rsidRDefault="008B716D" w:rsidP="00725220">
            <w:pPr>
              <w:rPr>
                <w:lang w:val="en-GB"/>
              </w:rPr>
            </w:pPr>
          </w:p>
          <w:p w14:paraId="66FC81EA" w14:textId="2EC57144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3. The mechanism utilizes appropriate and defined data and information to determine the </w:t>
            </w:r>
            <w:r>
              <w:rPr>
                <w:lang w:val="en-GB"/>
              </w:rPr>
              <w:t xml:space="preserve">surveillance </w:t>
            </w:r>
            <w:r w:rsidRPr="00C35219">
              <w:rPr>
                <w:lang w:val="en-GB"/>
              </w:rPr>
              <w:t>priorities.</w:t>
            </w:r>
          </w:p>
          <w:p w14:paraId="0010D557" w14:textId="5CEDB548" w:rsidR="00725220" w:rsidRDefault="00725220" w:rsidP="00725220">
            <w:pPr>
              <w:rPr>
                <w:lang w:val="en-GB"/>
              </w:rPr>
            </w:pPr>
          </w:p>
          <w:p w14:paraId="26506AB1" w14:textId="77777777" w:rsidR="008B716D" w:rsidRPr="00C35219" w:rsidRDefault="008B716D" w:rsidP="00725220">
            <w:pPr>
              <w:rPr>
                <w:lang w:val="en-GB"/>
              </w:rPr>
            </w:pPr>
          </w:p>
          <w:p w14:paraId="20D50A3A" w14:textId="77777777" w:rsidR="00725220" w:rsidRDefault="00725220" w:rsidP="00725220">
            <w:pPr>
              <w:spacing w:after="0"/>
              <w:rPr>
                <w:lang w:val="en-GB"/>
              </w:rPr>
            </w:pPr>
            <w:r w:rsidRPr="00C35219">
              <w:rPr>
                <w:lang w:val="en-GB"/>
              </w:rPr>
              <w:t>4. There is a mechanism in place to re-evaluate the risk profile</w:t>
            </w:r>
            <w:r>
              <w:rPr>
                <w:lang w:val="en-GB"/>
              </w:rPr>
              <w:t>s</w:t>
            </w:r>
            <w:r w:rsidRPr="00C35219">
              <w:rPr>
                <w:lang w:val="en-GB"/>
              </w:rPr>
              <w:t xml:space="preserve"> of </w:t>
            </w:r>
            <w:r>
              <w:rPr>
                <w:lang w:val="en-GB"/>
              </w:rPr>
              <w:t>ATS providers and</w:t>
            </w:r>
            <w:r w:rsidRPr="00C35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of </w:t>
            </w:r>
            <w:r w:rsidRPr="00C35219">
              <w:rPr>
                <w:lang w:val="en-GB"/>
              </w:rPr>
              <w:t xml:space="preserve">specific areas within an individual </w:t>
            </w:r>
            <w:r>
              <w:rPr>
                <w:lang w:val="en-GB"/>
              </w:rPr>
              <w:t>ATS provider</w:t>
            </w:r>
            <w:r w:rsidRPr="00C35219">
              <w:rPr>
                <w:lang w:val="en-GB"/>
              </w:rPr>
              <w:t>, to address changes in</w:t>
            </w:r>
            <w:r>
              <w:rPr>
                <w:lang w:val="en-GB"/>
              </w:rPr>
              <w:t xml:space="preserve"> the</w:t>
            </w:r>
            <w:r w:rsidRPr="00C35219">
              <w:rPr>
                <w:lang w:val="en-GB"/>
              </w:rPr>
              <w:t xml:space="preserve"> profile</w:t>
            </w:r>
            <w:r>
              <w:rPr>
                <w:lang w:val="en-GB"/>
              </w:rPr>
              <w:t>s</w:t>
            </w:r>
            <w:r w:rsidRPr="00C35219">
              <w:rPr>
                <w:lang w:val="en-GB"/>
              </w:rPr>
              <w:t xml:space="preserve"> that may affect safety, between planned </w:t>
            </w:r>
            <w:r>
              <w:rPr>
                <w:lang w:val="en-GB"/>
              </w:rPr>
              <w:t>surveillance</w:t>
            </w:r>
            <w:r w:rsidRPr="00C35219">
              <w:rPr>
                <w:lang w:val="en-GB"/>
              </w:rPr>
              <w:t xml:space="preserve"> activit</w:t>
            </w:r>
            <w:r>
              <w:rPr>
                <w:lang w:val="en-GB"/>
              </w:rPr>
              <w:t>ies</w:t>
            </w:r>
            <w:r w:rsidRPr="00C35219">
              <w:rPr>
                <w:lang w:val="en-GB"/>
              </w:rPr>
              <w:t>.</w:t>
            </w:r>
          </w:p>
          <w:p w14:paraId="3BF7A377" w14:textId="77777777" w:rsidR="00725220" w:rsidRDefault="00725220" w:rsidP="00725220">
            <w:pPr>
              <w:spacing w:after="0"/>
              <w:rPr>
                <w:lang w:val="en-GB"/>
              </w:rPr>
            </w:pPr>
          </w:p>
          <w:p w14:paraId="4FD32DBA" w14:textId="77777777" w:rsidR="008B716D" w:rsidRDefault="008B716D" w:rsidP="00725220">
            <w:pPr>
              <w:spacing w:after="0"/>
              <w:rPr>
                <w:lang w:val="en-GB"/>
              </w:rPr>
            </w:pPr>
          </w:p>
          <w:p w14:paraId="27F61F93" w14:textId="76AC6CB4" w:rsidR="008B716D" w:rsidRPr="00C35219" w:rsidRDefault="008B716D" w:rsidP="00725220">
            <w:pPr>
              <w:spacing w:after="0"/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61CFA" w14:textId="77777777" w:rsidR="00725220" w:rsidRDefault="00725220" w:rsidP="003541DE">
            <w:pPr>
              <w:rPr>
                <w:lang w:val="en-GB"/>
              </w:rPr>
            </w:pPr>
            <w:r w:rsidRPr="00C35219">
              <w:rPr>
                <w:lang w:val="en-GB"/>
              </w:rPr>
              <w:lastRenderedPageBreak/>
              <w:t xml:space="preserve">1. </w:t>
            </w:r>
            <w:r>
              <w:rPr>
                <w:lang w:val="en-GB"/>
              </w:rPr>
              <w:t>A surveillance</w:t>
            </w:r>
            <w:r w:rsidRPr="00C35219">
              <w:rPr>
                <w:lang w:val="en-GB"/>
              </w:rPr>
              <w:t xml:space="preserve"> activity plan, which defines the frequency and scope of each </w:t>
            </w:r>
            <w:r>
              <w:rPr>
                <w:lang w:val="en-GB"/>
              </w:rPr>
              <w:t>surveillance</w:t>
            </w:r>
            <w:r w:rsidRPr="00C35219">
              <w:rPr>
                <w:lang w:val="en-GB"/>
              </w:rPr>
              <w:t xml:space="preserve"> activity, is in place</w:t>
            </w:r>
            <w:r>
              <w:rPr>
                <w:lang w:val="en-GB"/>
              </w:rPr>
              <w:t xml:space="preserve"> and being followed. </w:t>
            </w:r>
          </w:p>
          <w:p w14:paraId="59325CBD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7C1CA828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Relevant</w:t>
            </w:r>
            <w:r w:rsidRPr="00C35219">
              <w:rPr>
                <w:lang w:val="en-GB"/>
              </w:rPr>
              <w:t xml:space="preserve"> safety data and information are adequately used to plan </w:t>
            </w:r>
            <w:r>
              <w:rPr>
                <w:lang w:val="en-GB"/>
              </w:rPr>
              <w:t>surveillance</w:t>
            </w:r>
            <w:r w:rsidRPr="00C35219">
              <w:rPr>
                <w:lang w:val="en-GB"/>
              </w:rPr>
              <w:t xml:space="preserve"> activities, based on the perceived risk profile, both for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>and for specific areas within an individual</w:t>
            </w:r>
            <w:r>
              <w:rPr>
                <w:lang w:val="en-GB"/>
              </w:rPr>
              <w:t xml:space="preserve"> ATS provider</w:t>
            </w:r>
            <w:r w:rsidRPr="00C35219">
              <w:rPr>
                <w:lang w:val="en-GB"/>
              </w:rPr>
              <w:t>.</w:t>
            </w:r>
          </w:p>
          <w:p w14:paraId="726BFD24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3587C7F0" w14:textId="77777777" w:rsidR="008B716D" w:rsidRDefault="008B716D" w:rsidP="00725220">
            <w:pPr>
              <w:rPr>
                <w:lang w:val="en-GB"/>
              </w:rPr>
            </w:pPr>
          </w:p>
          <w:p w14:paraId="687991D4" w14:textId="68B10FA1" w:rsidR="008B716D" w:rsidRDefault="008B716D" w:rsidP="00725220">
            <w:pPr>
              <w:rPr>
                <w:lang w:val="en-GB"/>
              </w:rPr>
            </w:pPr>
          </w:p>
          <w:p w14:paraId="6BB193D7" w14:textId="77777777" w:rsidR="008B716D" w:rsidRDefault="008B716D" w:rsidP="00725220">
            <w:pPr>
              <w:rPr>
                <w:lang w:val="en-GB"/>
              </w:rPr>
            </w:pPr>
          </w:p>
          <w:p w14:paraId="33DB3C99" w14:textId="1AE89A71" w:rsidR="00725220" w:rsidRPr="00C35219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3. </w:t>
            </w:r>
            <w:r>
              <w:rPr>
                <w:lang w:val="en-GB"/>
              </w:rPr>
              <w:t>Ri</w:t>
            </w:r>
            <w:r w:rsidRPr="00C35219">
              <w:rPr>
                <w:lang w:val="en-GB"/>
              </w:rPr>
              <w:t>sk profile</w:t>
            </w:r>
            <w:r>
              <w:rPr>
                <w:lang w:val="en-GB"/>
              </w:rPr>
              <w:t>s</w:t>
            </w:r>
            <w:r w:rsidRPr="00C35219">
              <w:rPr>
                <w:lang w:val="en-GB"/>
              </w:rPr>
              <w:t xml:space="preserve"> of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 xml:space="preserve">and </w:t>
            </w:r>
            <w:r>
              <w:rPr>
                <w:lang w:val="en-GB"/>
              </w:rPr>
              <w:t xml:space="preserve">of </w:t>
            </w:r>
            <w:r w:rsidRPr="00C35219">
              <w:rPr>
                <w:lang w:val="en-GB"/>
              </w:rPr>
              <w:t xml:space="preserve">specific areas within an individual </w:t>
            </w:r>
            <w:r>
              <w:rPr>
                <w:lang w:val="en-GB"/>
              </w:rPr>
              <w:t>ATS provider</w:t>
            </w:r>
            <w:r w:rsidRPr="00C35219">
              <w:rPr>
                <w:lang w:val="en-GB"/>
              </w:rPr>
              <w:t xml:space="preserve"> are </w:t>
            </w:r>
            <w:r>
              <w:rPr>
                <w:lang w:val="en-GB"/>
              </w:rPr>
              <w:t xml:space="preserve">updated </w:t>
            </w:r>
            <w:r w:rsidRPr="00C35219">
              <w:rPr>
                <w:lang w:val="en-GB"/>
              </w:rPr>
              <w:t xml:space="preserve">regularly, and the </w:t>
            </w:r>
            <w:r>
              <w:rPr>
                <w:lang w:val="en-GB"/>
              </w:rPr>
              <w:t>surveillance</w:t>
            </w:r>
            <w:r w:rsidRPr="00C35219" w:rsidDel="00306E5F">
              <w:rPr>
                <w:lang w:val="en-GB"/>
              </w:rPr>
              <w:t xml:space="preserve"> </w:t>
            </w:r>
            <w:r w:rsidRPr="00C35219">
              <w:rPr>
                <w:lang w:val="en-GB"/>
              </w:rPr>
              <w:t xml:space="preserve">activity plan is amended whenever new and meaningful safety data and information are made available to the State, including consideration of </w:t>
            </w:r>
            <w:r>
              <w:rPr>
                <w:lang w:val="en-GB"/>
              </w:rPr>
              <w:t xml:space="preserve">the </w:t>
            </w:r>
            <w:r w:rsidRPr="00C35219">
              <w:rPr>
                <w:lang w:val="en-GB"/>
              </w:rPr>
              <w:t xml:space="preserve">re-prioritization of </w:t>
            </w:r>
            <w:r>
              <w:rPr>
                <w:lang w:val="en-GB"/>
              </w:rPr>
              <w:t>surveillance</w:t>
            </w:r>
            <w:r w:rsidRPr="00C35219">
              <w:rPr>
                <w:lang w:val="en-GB"/>
              </w:rPr>
              <w:t xml:space="preserve"> activities.</w:t>
            </w:r>
          </w:p>
          <w:p w14:paraId="7CB0906C" w14:textId="77777777" w:rsidR="00725220" w:rsidRPr="00C35219" w:rsidRDefault="00725220" w:rsidP="00725220">
            <w:pPr>
              <w:rPr>
                <w:lang w:val="en-GB"/>
              </w:rPr>
            </w:pPr>
          </w:p>
        </w:tc>
      </w:tr>
      <w:tr w:rsidR="00725220" w:rsidRPr="009D50D8" w14:paraId="6FB9C3DF" w14:textId="77777777" w:rsidTr="00343182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7D31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SSP.ANS.10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B457" w14:textId="77777777" w:rsidR="00725220" w:rsidRPr="009D50D8" w:rsidRDefault="00725220" w:rsidP="00725220">
            <w:pPr>
              <w:spacing w:after="0"/>
              <w:rPr>
                <w:rFonts w:eastAsia="Times New Roman" w:cstheme="minorHAnsi"/>
                <w:color w:val="000000"/>
                <w:lang w:eastAsia="en-CA"/>
              </w:rPr>
            </w:pPr>
            <w:r w:rsidRPr="00FE5F60">
              <w:t xml:space="preserve">How </w:t>
            </w:r>
            <w:r>
              <w:t xml:space="preserve">does </w:t>
            </w:r>
            <w:r w:rsidRPr="00FE5F60">
              <w:t xml:space="preserve">the State use </w:t>
            </w:r>
            <w:r>
              <w:t xml:space="preserve">the safety performance-related </w:t>
            </w:r>
            <w:r w:rsidRPr="00FE5F60">
              <w:t xml:space="preserve">information </w:t>
            </w:r>
            <w:r>
              <w:t xml:space="preserve">of </w:t>
            </w:r>
            <w:r w:rsidRPr="00FE5F60">
              <w:t xml:space="preserve">its </w:t>
            </w:r>
            <w:r>
              <w:t>ATS providers</w:t>
            </w:r>
            <w:r w:rsidRPr="00FE5F60">
              <w:t xml:space="preserve"> </w:t>
            </w:r>
            <w:r>
              <w:t xml:space="preserve">to support </w:t>
            </w:r>
            <w:r w:rsidRPr="00FE5F60">
              <w:t xml:space="preserve">the </w:t>
            </w:r>
            <w:r>
              <w:t>monitoring of the State’s safety performance</w:t>
            </w:r>
            <w:r w:rsidRPr="00FE5F60">
              <w:t>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84B0B" w14:textId="77777777" w:rsidR="00725220" w:rsidRDefault="00725220" w:rsidP="00725220">
            <w:pPr>
              <w:pStyle w:val="ColumnCenter"/>
            </w:pPr>
            <w:r>
              <w:t>SMM 8.5.5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3ABE1" w14:textId="77777777" w:rsidR="00725220" w:rsidRPr="00FE5F60" w:rsidRDefault="00725220" w:rsidP="00725220">
            <w:pPr>
              <w:pStyle w:val="ColumnCenter"/>
            </w:pPr>
            <w:r w:rsidRPr="00FE5F60">
              <w:t>State Safety Assurance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5AA23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CBA8F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DE27A" w14:textId="77777777" w:rsidR="00725220" w:rsidRDefault="00725220" w:rsidP="00725220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1. There is a mechanism in place </w:t>
            </w:r>
            <w:r>
              <w:rPr>
                <w:lang w:val="en-GB"/>
              </w:rPr>
              <w:t>to determine the type of safety performance-</w:t>
            </w:r>
            <w:r w:rsidRPr="00C35219">
              <w:rPr>
                <w:lang w:val="en-GB"/>
              </w:rPr>
              <w:t xml:space="preserve">related information of the </w:t>
            </w:r>
            <w:r>
              <w:rPr>
                <w:lang w:val="en-GB"/>
              </w:rPr>
              <w:t>ATS providers that is needed to support State’s safety performance monitoring</w:t>
            </w:r>
            <w:r w:rsidRPr="00C35219">
              <w:rPr>
                <w:lang w:val="en-GB"/>
              </w:rPr>
              <w:t xml:space="preserve"> and to make </w:t>
            </w:r>
            <w:r>
              <w:rPr>
                <w:lang w:val="en-GB"/>
              </w:rPr>
              <w:t xml:space="preserve">said information </w:t>
            </w:r>
            <w:r w:rsidRPr="00C35219">
              <w:rPr>
                <w:lang w:val="en-GB"/>
              </w:rPr>
              <w:t xml:space="preserve">available to the State. </w:t>
            </w:r>
          </w:p>
          <w:p w14:paraId="67165D20" w14:textId="77777777" w:rsidR="00725220" w:rsidRPr="00C35219" w:rsidRDefault="00725220" w:rsidP="00725220">
            <w:pPr>
              <w:spacing w:before="240"/>
              <w:rPr>
                <w:lang w:val="en-GB"/>
              </w:rPr>
            </w:pPr>
          </w:p>
          <w:p w14:paraId="5FFF89A9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There is a mechanism in place to analyse and monitor 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safety performance-related information</w:t>
            </w:r>
            <w:r>
              <w:rPr>
                <w:lang w:val="en-GB"/>
              </w:rPr>
              <w:t>,</w:t>
            </w:r>
            <w:r w:rsidRPr="00C35219">
              <w:rPr>
                <w:lang w:val="en-GB"/>
              </w:rPr>
              <w:t xml:space="preserve"> for the </w:t>
            </w:r>
            <w:r>
              <w:rPr>
                <w:lang w:val="en-GB"/>
              </w:rPr>
              <w:t xml:space="preserve">purpose of </w:t>
            </w:r>
            <w:r w:rsidRPr="00C35219">
              <w:rPr>
                <w:lang w:val="en-GB"/>
              </w:rPr>
              <w:t>monitoring the State’s safety performance</w:t>
            </w:r>
            <w:r>
              <w:rPr>
                <w:lang w:val="en-GB"/>
              </w:rPr>
              <w:t>.</w:t>
            </w:r>
          </w:p>
          <w:p w14:paraId="69510DF4" w14:textId="77777777" w:rsidR="00725220" w:rsidRPr="00472F58" w:rsidRDefault="00725220" w:rsidP="00725220">
            <w:pPr>
              <w:rPr>
                <w:lang w:val="en-US"/>
              </w:rPr>
            </w:pPr>
          </w:p>
          <w:p w14:paraId="6591499E" w14:textId="77777777" w:rsidR="00725220" w:rsidRDefault="00725220" w:rsidP="00725220">
            <w:pPr>
              <w:spacing w:after="0"/>
              <w:rPr>
                <w:lang w:val="en-GB"/>
              </w:rPr>
            </w:pPr>
            <w:r w:rsidRPr="00C35219">
              <w:rPr>
                <w:lang w:val="en-GB"/>
              </w:rPr>
              <w:t xml:space="preserve">3. There is a mechanism in place to </w:t>
            </w:r>
            <w:r>
              <w:rPr>
                <w:lang w:val="en-GB"/>
              </w:rPr>
              <w:t xml:space="preserve">feed </w:t>
            </w:r>
            <w:r w:rsidRPr="00C35219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safety performance-related information </w:t>
            </w:r>
            <w:r>
              <w:rPr>
                <w:lang w:val="en-GB"/>
              </w:rPr>
              <w:t xml:space="preserve">into </w:t>
            </w:r>
            <w:r w:rsidRPr="00C35219">
              <w:rPr>
                <w:lang w:val="en-GB"/>
              </w:rPr>
              <w:t xml:space="preserve">the monitoring of the State’s safety performance. </w:t>
            </w:r>
          </w:p>
          <w:p w14:paraId="11C21588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0C1CB" w14:textId="77777777" w:rsidR="00725220" w:rsidRDefault="00725220" w:rsidP="003541DE">
            <w:pPr>
              <w:spacing w:before="480" w:line="257" w:lineRule="auto"/>
              <w:rPr>
                <w:lang w:val="en-GB"/>
              </w:rPr>
            </w:pPr>
            <w:r w:rsidRPr="00C35219">
              <w:rPr>
                <w:lang w:val="en-GB"/>
              </w:rPr>
              <w:t xml:space="preserve">1. </w:t>
            </w:r>
            <w:r>
              <w:rPr>
                <w:lang w:val="en-GB"/>
              </w:rPr>
              <w:t xml:space="preserve">Safety </w:t>
            </w:r>
            <w:r w:rsidRPr="00C35219">
              <w:rPr>
                <w:lang w:val="en-GB"/>
              </w:rPr>
              <w:t>performance</w:t>
            </w:r>
            <w:r>
              <w:rPr>
                <w:lang w:val="en-GB"/>
              </w:rPr>
              <w:t>-</w:t>
            </w:r>
            <w:r w:rsidRPr="00C35219">
              <w:rPr>
                <w:lang w:val="en-GB"/>
              </w:rPr>
              <w:t xml:space="preserve">related information of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 xml:space="preserve">is </w:t>
            </w:r>
            <w:r>
              <w:rPr>
                <w:lang w:val="en-GB"/>
              </w:rPr>
              <w:t xml:space="preserve">received </w:t>
            </w:r>
            <w:r w:rsidRPr="00C35219">
              <w:rPr>
                <w:lang w:val="en-GB"/>
              </w:rPr>
              <w:t>regularly by the State.</w:t>
            </w:r>
          </w:p>
          <w:p w14:paraId="46D77C36" w14:textId="77777777" w:rsidR="00725220" w:rsidRPr="00C35219" w:rsidRDefault="00725220" w:rsidP="00725220">
            <w:pPr>
              <w:spacing w:line="257" w:lineRule="auto"/>
              <w:rPr>
                <w:lang w:val="en-GB"/>
              </w:rPr>
            </w:pPr>
          </w:p>
          <w:p w14:paraId="53C4F9EF" w14:textId="77777777" w:rsidR="00725220" w:rsidRDefault="00725220" w:rsidP="00725220">
            <w:pPr>
              <w:spacing w:line="257" w:lineRule="auto"/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Safety performance-</w:t>
            </w:r>
            <w:r w:rsidRPr="00C35219">
              <w:rPr>
                <w:lang w:val="en-GB"/>
              </w:rPr>
              <w:t xml:space="preserve">related information of the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 xml:space="preserve">is analysed and monitored regularly by the State. </w:t>
            </w:r>
          </w:p>
          <w:p w14:paraId="46B52941" w14:textId="77777777" w:rsidR="00725220" w:rsidRPr="00C35219" w:rsidRDefault="00725220" w:rsidP="00725220">
            <w:pPr>
              <w:spacing w:line="257" w:lineRule="auto"/>
              <w:rPr>
                <w:lang w:val="en-GB"/>
              </w:rPr>
            </w:pPr>
          </w:p>
          <w:p w14:paraId="2EFC7DE1" w14:textId="77777777" w:rsidR="00725220" w:rsidRPr="009D50D8" w:rsidRDefault="00725220" w:rsidP="00725220">
            <w:pPr>
              <w:spacing w:line="257" w:lineRule="auto"/>
              <w:rPr>
                <w:lang w:val="en-GB"/>
              </w:rPr>
            </w:pPr>
            <w:r w:rsidRPr="00C35219">
              <w:rPr>
                <w:lang w:val="en-GB"/>
              </w:rPr>
              <w:t xml:space="preserve">3.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 uses its </w:t>
            </w:r>
            <w:r>
              <w:rPr>
                <w:lang w:val="en-GB"/>
              </w:rPr>
              <w:t>ATS providers’ safety performance-</w:t>
            </w:r>
            <w:r w:rsidRPr="00C35219">
              <w:rPr>
                <w:lang w:val="en-GB"/>
              </w:rPr>
              <w:t xml:space="preserve">related information to support the monitoring of the State’s safety performance, including the identification of key risks and emerging issues. </w:t>
            </w:r>
          </w:p>
          <w:p w14:paraId="2775DD5B" w14:textId="77777777" w:rsidR="00725220" w:rsidRPr="00C35219" w:rsidRDefault="00725220" w:rsidP="00725220">
            <w:pPr>
              <w:spacing w:after="0"/>
              <w:rPr>
                <w:lang w:val="en-GB"/>
              </w:rPr>
            </w:pPr>
          </w:p>
        </w:tc>
      </w:tr>
      <w:tr w:rsidR="00725220" w:rsidRPr="0059362F" w14:paraId="1AB46894" w14:textId="77777777" w:rsidTr="004C569C"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3DB8" w14:textId="77777777" w:rsidR="00725220" w:rsidRPr="009D50D8" w:rsidRDefault="00725220" w:rsidP="00725220">
            <w:pPr>
              <w:rPr>
                <w:rFonts w:eastAsia="Times New Roman" w:cstheme="minorHAnsi"/>
                <w:color w:val="000000"/>
                <w:lang w:eastAsia="en-CA"/>
              </w:rPr>
            </w:pPr>
            <w:r>
              <w:lastRenderedPageBreak/>
              <w:t>SSP.ANS.11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917D" w14:textId="77777777" w:rsidR="00725220" w:rsidRPr="00FE5F60" w:rsidRDefault="00725220" w:rsidP="00725220">
            <w:r w:rsidRPr="00FE5F60">
              <w:t>How does the State enable and promote the exchange of safety information</w:t>
            </w:r>
            <w:r>
              <w:t xml:space="preserve"> among</w:t>
            </w:r>
            <w:r w:rsidRPr="00FE5F60">
              <w:t xml:space="preserve">: </w:t>
            </w:r>
          </w:p>
          <w:p w14:paraId="32F2337D" w14:textId="77777777" w:rsidR="00725220" w:rsidRPr="00FE5F60" w:rsidRDefault="00725220" w:rsidP="00725220">
            <w:pPr>
              <w:pStyle w:val="ListParagraph"/>
              <w:numPr>
                <w:ilvl w:val="0"/>
                <w:numId w:val="1"/>
              </w:numPr>
            </w:pPr>
            <w:r>
              <w:t>ATS providers</w:t>
            </w:r>
            <w:r w:rsidRPr="00FE5F60">
              <w:t>; and</w:t>
            </w:r>
          </w:p>
          <w:p w14:paraId="10AE1C67" w14:textId="77777777" w:rsidR="00725220" w:rsidRPr="009D50D8" w:rsidRDefault="00725220" w:rsidP="00725220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lang w:eastAsia="en-CA"/>
              </w:rPr>
            </w:pPr>
            <w:r>
              <w:t>ATS providers</w:t>
            </w:r>
            <w:r w:rsidRPr="00FE5F60">
              <w:t xml:space="preserve"> and other sectors of civil aviation in the State?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454AB" w14:textId="77777777" w:rsidR="00725220" w:rsidRPr="00FE5F60" w:rsidRDefault="00725220" w:rsidP="00725220">
            <w:pPr>
              <w:pStyle w:val="ColumnCenter"/>
            </w:pPr>
            <w:r>
              <w:t>SMM 8.6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0CEE8" w14:textId="77777777" w:rsidR="00725220" w:rsidRPr="00FE5F60" w:rsidRDefault="00725220" w:rsidP="00725220">
            <w:pPr>
              <w:pStyle w:val="ColumnCenter"/>
            </w:pPr>
            <w:r w:rsidRPr="00FE5F60">
              <w:t>State Safety Promotion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E6941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current situation in State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8E4B1" w14:textId="77777777" w:rsidR="00725220" w:rsidRPr="009D6323" w:rsidRDefault="00725220" w:rsidP="00725220">
            <w:pPr>
              <w:pStyle w:val="ColumnCenter"/>
              <w:rPr>
                <w:color w:val="auto"/>
              </w:rPr>
            </w:pPr>
            <w:r w:rsidRPr="009D6323">
              <w:rPr>
                <w:color w:val="auto"/>
              </w:rPr>
              <w:t>Based on State’s work in progress</w:t>
            </w:r>
          </w:p>
        </w:tc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A1A5E" w14:textId="77777777" w:rsidR="00725220" w:rsidRDefault="00725220" w:rsidP="008B716D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1. There is a mechanism in place to identify the </w:t>
            </w:r>
            <w:r>
              <w:rPr>
                <w:lang w:val="en-GB"/>
              </w:rPr>
              <w:t>ATS providers’</w:t>
            </w:r>
            <w:r w:rsidRPr="00C35219">
              <w:rPr>
                <w:lang w:val="en-GB"/>
              </w:rPr>
              <w:t xml:space="preserve"> safety information needs.</w:t>
            </w:r>
          </w:p>
          <w:p w14:paraId="25A2473E" w14:textId="77777777" w:rsidR="00725220" w:rsidRPr="00C35219" w:rsidRDefault="00725220" w:rsidP="008B716D">
            <w:pPr>
              <w:spacing w:before="0"/>
              <w:rPr>
                <w:lang w:val="en-GB"/>
              </w:rPr>
            </w:pPr>
          </w:p>
          <w:p w14:paraId="5D93D240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>2. There is a mechanism in place to identify other sectors of civil aviation in the State’s safety information needs.</w:t>
            </w:r>
          </w:p>
          <w:p w14:paraId="0AF5D6B4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143A7356" w14:textId="77777777" w:rsidR="00725220" w:rsidRDefault="00725220" w:rsidP="003541DE">
            <w:pPr>
              <w:spacing w:before="240"/>
              <w:rPr>
                <w:lang w:val="en-GB"/>
              </w:rPr>
            </w:pPr>
            <w:r w:rsidRPr="00C35219">
              <w:rPr>
                <w:lang w:val="en-GB"/>
              </w:rPr>
              <w:t xml:space="preserve">3. There is a mechanism in place to enable and promote the exchange of safety information among </w:t>
            </w:r>
            <w:r>
              <w:rPr>
                <w:lang w:val="en-GB"/>
              </w:rPr>
              <w:t>ATS providers</w:t>
            </w:r>
            <w:r w:rsidRPr="00C35219">
              <w:rPr>
                <w:lang w:val="en-GB"/>
              </w:rPr>
              <w:t>.</w:t>
            </w:r>
          </w:p>
          <w:p w14:paraId="216769B5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5F32B0D6" w14:textId="77777777" w:rsidR="00725220" w:rsidRDefault="00725220" w:rsidP="008B716D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4. There is </w:t>
            </w:r>
            <w:r>
              <w:rPr>
                <w:lang w:val="en-GB"/>
              </w:rPr>
              <w:t xml:space="preserve">a </w:t>
            </w:r>
            <w:r w:rsidRPr="00C35219">
              <w:rPr>
                <w:lang w:val="en-GB"/>
              </w:rPr>
              <w:t xml:space="preserve">mechanism in place to enable and promote the exchange of safety information </w:t>
            </w:r>
            <w:r>
              <w:rPr>
                <w:lang w:val="en-GB"/>
              </w:rPr>
              <w:t>between</w:t>
            </w:r>
            <w:r w:rsidRPr="00C35219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>and other sectors of civil aviation in the State.</w:t>
            </w:r>
          </w:p>
          <w:p w14:paraId="507828D9" w14:textId="3E124D77" w:rsidR="008B716D" w:rsidRPr="00C35219" w:rsidRDefault="008B716D" w:rsidP="008B716D">
            <w:pPr>
              <w:rPr>
                <w:lang w:val="en-GB"/>
              </w:rPr>
            </w:pPr>
          </w:p>
        </w:tc>
        <w:tc>
          <w:tcPr>
            <w:tcW w:w="1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3F0A3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1.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 ha</w:t>
            </w:r>
            <w:r>
              <w:rPr>
                <w:lang w:val="en-GB"/>
              </w:rPr>
              <w:t>s</w:t>
            </w:r>
            <w:r w:rsidRPr="00C35219">
              <w:rPr>
                <w:lang w:val="en-GB"/>
              </w:rPr>
              <w:t xml:space="preserve"> identified the safety information needs </w:t>
            </w:r>
            <w:r>
              <w:rPr>
                <w:lang w:val="en-GB"/>
              </w:rPr>
              <w:t xml:space="preserve">of ATS providers </w:t>
            </w:r>
            <w:r w:rsidRPr="00C35219">
              <w:rPr>
                <w:lang w:val="en-GB"/>
              </w:rPr>
              <w:t>and the other sectors of civil aviation in the State.</w:t>
            </w:r>
          </w:p>
          <w:p w14:paraId="73F374F4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5DDAA961" w14:textId="77777777" w:rsidR="00725220" w:rsidRDefault="00725220" w:rsidP="00725220">
            <w:pPr>
              <w:rPr>
                <w:lang w:val="en-GB"/>
              </w:rPr>
            </w:pPr>
            <w:r w:rsidRPr="00C35219">
              <w:rPr>
                <w:lang w:val="en-GB"/>
              </w:rPr>
              <w:t xml:space="preserve">2.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identified safety information is shared among </w:t>
            </w:r>
            <w:r>
              <w:rPr>
                <w:lang w:val="en-GB"/>
              </w:rPr>
              <w:t xml:space="preserve">ATS providers </w:t>
            </w:r>
            <w:r w:rsidRPr="00C35219">
              <w:rPr>
                <w:lang w:val="en-GB"/>
              </w:rPr>
              <w:t>and other civil aviation sectors in the State, in way that enables collaborative decision</w:t>
            </w:r>
            <w:r>
              <w:rPr>
                <w:lang w:val="en-GB"/>
              </w:rPr>
              <w:t>-</w:t>
            </w:r>
            <w:r w:rsidRPr="00C35219">
              <w:rPr>
                <w:lang w:val="en-GB"/>
              </w:rPr>
              <w:t xml:space="preserve">making in </w:t>
            </w:r>
            <w:r>
              <w:rPr>
                <w:lang w:val="en-GB"/>
              </w:rPr>
              <w:t xml:space="preserve">addressing </w:t>
            </w:r>
            <w:r w:rsidRPr="00C35219">
              <w:rPr>
                <w:lang w:val="en-GB"/>
              </w:rPr>
              <w:t>safety issues.</w:t>
            </w:r>
          </w:p>
          <w:p w14:paraId="28A0C814" w14:textId="77777777" w:rsidR="00725220" w:rsidRPr="00C35219" w:rsidRDefault="00725220" w:rsidP="00725220">
            <w:pPr>
              <w:rPr>
                <w:lang w:val="en-GB"/>
              </w:rPr>
            </w:pPr>
          </w:p>
          <w:p w14:paraId="3B2878F0" w14:textId="77777777" w:rsidR="00725220" w:rsidRPr="00C35219" w:rsidRDefault="00725220" w:rsidP="003541DE">
            <w:pPr>
              <w:spacing w:before="240" w:after="0"/>
              <w:rPr>
                <w:lang w:val="en-GB"/>
              </w:rPr>
            </w:pPr>
            <w:r w:rsidRPr="00C35219">
              <w:rPr>
                <w:lang w:val="en-GB"/>
              </w:rPr>
              <w:t xml:space="preserve">3. </w:t>
            </w:r>
            <w:r>
              <w:rPr>
                <w:lang w:val="en-GB"/>
              </w:rPr>
              <w:t>The</w:t>
            </w:r>
            <w:r w:rsidRPr="00C35219">
              <w:rPr>
                <w:lang w:val="en-GB"/>
              </w:rPr>
              <w:t xml:space="preserve"> State</w:t>
            </w:r>
            <w:r>
              <w:rPr>
                <w:lang w:val="en-GB"/>
              </w:rPr>
              <w:t xml:space="preserve"> </w:t>
            </w:r>
            <w:r w:rsidRPr="00C35219">
              <w:rPr>
                <w:lang w:val="en-GB"/>
              </w:rPr>
              <w:t>regularly assess</w:t>
            </w:r>
            <w:r>
              <w:rPr>
                <w:lang w:val="en-GB"/>
              </w:rPr>
              <w:t>es</w:t>
            </w:r>
            <w:r w:rsidRPr="00C35219">
              <w:rPr>
                <w:lang w:val="en-GB"/>
              </w:rPr>
              <w:t xml:space="preserve"> the effectiveness of the exchange and promotion</w:t>
            </w:r>
            <w:r>
              <w:rPr>
                <w:lang w:val="en-GB"/>
              </w:rPr>
              <w:t xml:space="preserve"> of safety information</w:t>
            </w:r>
            <w:r w:rsidRPr="00C35219">
              <w:rPr>
                <w:lang w:val="en-GB"/>
              </w:rPr>
              <w:t xml:space="preserve">. </w:t>
            </w:r>
          </w:p>
        </w:tc>
      </w:tr>
    </w:tbl>
    <w:p w14:paraId="6897B306" w14:textId="77777777" w:rsidR="006757F9" w:rsidRPr="00FE5F60" w:rsidRDefault="006757F9" w:rsidP="007558EE">
      <w:pPr>
        <w:pStyle w:val="semiendline"/>
      </w:pPr>
      <w:r w:rsidRPr="006C589A">
        <w:t xml:space="preserve">— </w:t>
      </w:r>
      <w:r>
        <w:t>END</w:t>
      </w:r>
      <w:r w:rsidRPr="006C589A">
        <w:t xml:space="preserve"> —</w:t>
      </w:r>
    </w:p>
    <w:sectPr w:rsidR="006757F9" w:rsidRPr="00FE5F60" w:rsidSect="00051A26">
      <w:headerReference w:type="default" r:id="rId11"/>
      <w:footerReference w:type="default" r:id="rId12"/>
      <w:headerReference w:type="first" r:id="rId13"/>
      <w:footerReference w:type="first" r:id="rId14"/>
      <w:pgSz w:w="20163" w:h="12242" w:orient="landscape" w:code="5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47BF5" w14:textId="77777777" w:rsidR="00051A26" w:rsidRDefault="00051A26" w:rsidP="00BB0F74">
      <w:pPr>
        <w:spacing w:after="0"/>
      </w:pPr>
      <w:r>
        <w:separator/>
      </w:r>
    </w:p>
  </w:endnote>
  <w:endnote w:type="continuationSeparator" w:id="0">
    <w:p w14:paraId="4E739D28" w14:textId="77777777" w:rsidR="00051A26" w:rsidRDefault="00051A26" w:rsidP="00BB0F74">
      <w:pPr>
        <w:spacing w:after="0"/>
      </w:pPr>
      <w:r>
        <w:continuationSeparator/>
      </w:r>
    </w:p>
  </w:endnote>
  <w:endnote w:type="continuationNotice" w:id="1">
    <w:p w14:paraId="1CE6FAE7" w14:textId="77777777" w:rsidR="00051A26" w:rsidRDefault="00051A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A48ED" w14:textId="5C844C40" w:rsidR="009F5AE3" w:rsidRPr="00380352" w:rsidRDefault="00D06EFA" w:rsidP="004327D5">
    <w:pPr>
      <w:pStyle w:val="Footer"/>
      <w:pBdr>
        <w:top w:val="single" w:sz="4" w:space="1" w:color="auto"/>
      </w:pBdr>
    </w:pPr>
    <w:r>
      <w:t xml:space="preserve">QMSF-007-09-SSP.ANS/EN </w:t>
    </w:r>
    <w:r w:rsidR="004327D5">
      <w:rPr>
        <w:lang w:val="en-US"/>
      </w:rPr>
      <w:t>Rev 2 (February 2022)</w:t>
    </w:r>
    <w:r w:rsidR="008A1FB0">
      <w:tab/>
    </w:r>
    <w:r w:rsidR="00CA56CE" w:rsidRPr="00380352">
      <w:rPr>
        <w:lang w:val="en-US"/>
      </w:rPr>
      <w:t>Developed by OAS/MO/ANB/ICAO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B6C5" w14:textId="3E3C2114" w:rsidR="00051A26" w:rsidRDefault="00D06EFA" w:rsidP="004327D5">
    <w:pPr>
      <w:pStyle w:val="Header"/>
      <w:pBdr>
        <w:top w:val="single" w:sz="4" w:space="1" w:color="auto"/>
      </w:pBdr>
    </w:pPr>
    <w:r>
      <w:t xml:space="preserve">QMSF-007-09-SSP.ANS/EN </w:t>
    </w:r>
    <w:r w:rsidR="004327D5">
      <w:t>Rev 2 (February 2022)</w:t>
    </w:r>
    <w:r w:rsidR="004A41E4">
      <w:tab/>
    </w:r>
    <w:r w:rsidR="004A41E4">
      <w:tab/>
      <w:t>Developed by OAS/MO/ANB/ICAO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AD8D4" w14:textId="77777777" w:rsidR="00051A26" w:rsidRDefault="00051A26" w:rsidP="00BB0F74">
      <w:pPr>
        <w:spacing w:after="0"/>
      </w:pPr>
      <w:r>
        <w:separator/>
      </w:r>
    </w:p>
  </w:footnote>
  <w:footnote w:type="continuationSeparator" w:id="0">
    <w:p w14:paraId="17E4FE93" w14:textId="77777777" w:rsidR="00051A26" w:rsidRDefault="00051A26" w:rsidP="00BB0F74">
      <w:pPr>
        <w:spacing w:after="0"/>
      </w:pPr>
      <w:r>
        <w:continuationSeparator/>
      </w:r>
    </w:p>
  </w:footnote>
  <w:footnote w:type="continuationNotice" w:id="1">
    <w:p w14:paraId="652A4303" w14:textId="77777777" w:rsidR="00051A26" w:rsidRDefault="00051A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EBE0" w14:textId="2B991F10" w:rsidR="00BB0F74" w:rsidRDefault="00D9163C" w:rsidP="00051A26">
    <w:pPr>
      <w:pStyle w:val="Header"/>
      <w:rPr>
        <w:noProof/>
      </w:rPr>
    </w:pPr>
    <w:r>
      <w:tab/>
    </w:r>
    <w:r w:rsidRPr="00D9163C">
      <w:t>SSP.ANS — Air Navigation Services</w:t>
    </w:r>
    <w:r w:rsidR="00BB0F74">
      <w:t xml:space="preserve"> </w:t>
    </w:r>
    <w:r>
      <w:tab/>
    </w:r>
    <w:r w:rsidR="00BB0F74" w:rsidRPr="007E52ED">
      <w:t xml:space="preserve">Page </w:t>
    </w:r>
    <w:r w:rsidR="00BB0F74" w:rsidRPr="007E52ED">
      <w:fldChar w:fldCharType="begin"/>
    </w:r>
    <w:r w:rsidR="00BB0F74" w:rsidRPr="00D9163C">
      <w:rPr>
        <w:szCs w:val="22"/>
      </w:rPr>
      <w:instrText xml:space="preserve"> PAGE   \* MERGEFORMAT </w:instrText>
    </w:r>
    <w:r w:rsidR="00BB0F74" w:rsidRPr="007E52ED">
      <w:fldChar w:fldCharType="separate"/>
    </w:r>
    <w:r w:rsidR="004034BA">
      <w:rPr>
        <w:noProof/>
        <w:szCs w:val="22"/>
      </w:rPr>
      <w:t>2</w:t>
    </w:r>
    <w:r w:rsidR="00BB0F74" w:rsidRPr="007E52ED">
      <w:fldChar w:fldCharType="end"/>
    </w:r>
    <w:r w:rsidR="00BB0F74" w:rsidRPr="007E52ED">
      <w:t xml:space="preserve"> </w:t>
    </w:r>
    <w:r w:rsidR="00BB0F74" w:rsidRPr="00380352">
      <w:rPr>
        <w:szCs w:val="24"/>
      </w:rPr>
      <w:t xml:space="preserve">of </w:t>
    </w:r>
    <w:r w:rsidR="00BB0F74" w:rsidRPr="00380352">
      <w:rPr>
        <w:szCs w:val="24"/>
      </w:rPr>
      <w:fldChar w:fldCharType="begin"/>
    </w:r>
    <w:r w:rsidR="00BB0F74" w:rsidRPr="00380352">
      <w:rPr>
        <w:szCs w:val="24"/>
      </w:rPr>
      <w:instrText xml:space="preserve"> NUMPAGES   \* MERGEFORMAT </w:instrText>
    </w:r>
    <w:r w:rsidR="00BB0F74" w:rsidRPr="00380352">
      <w:rPr>
        <w:szCs w:val="24"/>
      </w:rPr>
      <w:fldChar w:fldCharType="separate"/>
    </w:r>
    <w:r w:rsidR="004034BA">
      <w:rPr>
        <w:noProof/>
        <w:szCs w:val="24"/>
      </w:rPr>
      <w:t>13</w:t>
    </w:r>
    <w:r w:rsidR="00BB0F74" w:rsidRPr="00380352">
      <w:rPr>
        <w:szCs w:val="24"/>
      </w:rPr>
      <w:fldChar w:fldCharType="end"/>
    </w:r>
  </w:p>
  <w:p w14:paraId="33659A3F" w14:textId="1B709ECD" w:rsidR="00BB0F74" w:rsidRPr="00D9163C" w:rsidRDefault="00051A26" w:rsidP="00051A26">
    <w:pPr>
      <w:pStyle w:val="Header"/>
      <w:rPr>
        <w:noProof/>
      </w:rPr>
    </w:pPr>
    <w:r>
      <w:tab/>
      <w:t>2018 Protocol Questions and Maturity Level Matrix</w:t>
    </w:r>
  </w:p>
  <w:p w14:paraId="5BDB2439" w14:textId="77777777" w:rsidR="00D9163C" w:rsidRPr="00D9163C" w:rsidRDefault="00D9163C" w:rsidP="007E52ED"/>
  <w:p w14:paraId="01098789" w14:textId="77777777" w:rsidR="00D9163C" w:rsidRPr="00D9163C" w:rsidRDefault="00D9163C" w:rsidP="005B05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811D" w14:textId="634A7A49" w:rsidR="004A41E4" w:rsidRDefault="00051A26" w:rsidP="007E52ED">
    <w:pPr>
      <w:pStyle w:val="Header"/>
    </w:pPr>
    <w:r>
      <w:tab/>
    </w:r>
    <w:r w:rsidR="004A41E4">
      <w:t>UNIVERSAL SAFETY OVERSIGHT AUDIT PROGRAMME (USOAP) CONTINUOUS MONITORING APPROACH (CMA)</w:t>
    </w:r>
    <w:r w:rsidR="004A41E4">
      <w:tab/>
      <w:t xml:space="preserve">Page </w:t>
    </w:r>
    <w:r w:rsidR="004A41E4">
      <w:fldChar w:fldCharType="begin"/>
    </w:r>
    <w:r w:rsidR="004A41E4">
      <w:instrText xml:space="preserve"> PAGE   \* MERGEFORMAT </w:instrText>
    </w:r>
    <w:r w:rsidR="004A41E4">
      <w:fldChar w:fldCharType="separate"/>
    </w:r>
    <w:r w:rsidR="004034BA">
      <w:rPr>
        <w:noProof/>
      </w:rPr>
      <w:t>1</w:t>
    </w:r>
    <w:r w:rsidR="004A41E4">
      <w:rPr>
        <w:noProof/>
      </w:rPr>
      <w:fldChar w:fldCharType="end"/>
    </w:r>
    <w:r w:rsidR="004A41E4">
      <w:rPr>
        <w:noProof/>
      </w:rPr>
      <w:t xml:space="preserve"> of </w:t>
    </w:r>
    <w:r w:rsidR="004A41E4">
      <w:rPr>
        <w:noProof/>
      </w:rPr>
      <w:fldChar w:fldCharType="begin"/>
    </w:r>
    <w:r w:rsidR="004A41E4">
      <w:rPr>
        <w:noProof/>
      </w:rPr>
      <w:instrText xml:space="preserve"> NUMPAGES   \* MERGEFORMAT </w:instrText>
    </w:r>
    <w:r w:rsidR="004A41E4">
      <w:rPr>
        <w:noProof/>
      </w:rPr>
      <w:fldChar w:fldCharType="separate"/>
    </w:r>
    <w:r w:rsidR="004034BA">
      <w:rPr>
        <w:noProof/>
      </w:rPr>
      <w:t>13</w:t>
    </w:r>
    <w:r w:rsidR="004A41E4">
      <w:rPr>
        <w:noProof/>
      </w:rPr>
      <w:fldChar w:fldCharType="end"/>
    </w:r>
  </w:p>
  <w:p w14:paraId="767229CE" w14:textId="77777777" w:rsidR="008B716D" w:rsidRDefault="00051A26" w:rsidP="007E52ED">
    <w:pPr>
      <w:pStyle w:val="Header"/>
    </w:pPr>
    <w:r>
      <w:tab/>
    </w:r>
  </w:p>
  <w:p w14:paraId="1699D62A" w14:textId="42A3F05B" w:rsidR="004A41E4" w:rsidRDefault="008B716D" w:rsidP="007E52ED">
    <w:pPr>
      <w:pStyle w:val="Header"/>
    </w:pPr>
    <w:r>
      <w:tab/>
    </w:r>
    <w:r w:rsidR="004A41E4">
      <w:t>STATE SAFETY PROGRAMME IMPLEMENTATION ASSESSMENT (SSPIA)</w:t>
    </w:r>
  </w:p>
  <w:p w14:paraId="26B9C19B" w14:textId="01570E05" w:rsidR="004A41E4" w:rsidRPr="008B716D" w:rsidRDefault="00051A26" w:rsidP="007E52ED">
    <w:pPr>
      <w:pStyle w:val="Header"/>
      <w:rPr>
        <w:lang w:val="en-GB"/>
      </w:rPr>
    </w:pPr>
    <w:r w:rsidRPr="00380352">
      <w:rPr>
        <w:lang w:val="en-GB"/>
      </w:rPr>
      <w:tab/>
    </w:r>
    <w:r w:rsidR="004A41E4" w:rsidRPr="008B716D">
      <w:rPr>
        <w:lang w:val="en-GB"/>
      </w:rPr>
      <w:t>SSP.ANS — Air Navigation Services</w:t>
    </w:r>
  </w:p>
  <w:p w14:paraId="3F452190" w14:textId="071CEDA7" w:rsidR="004A41E4" w:rsidRDefault="00051A26" w:rsidP="007E52ED">
    <w:pPr>
      <w:pStyle w:val="Header"/>
    </w:pPr>
    <w:r>
      <w:tab/>
    </w:r>
    <w:r w:rsidR="004A41E4">
      <w:t>2018 Protocol Questions and Maturity Level Matrix</w:t>
    </w:r>
  </w:p>
  <w:p w14:paraId="5C8E632C" w14:textId="74C7EE7D" w:rsidR="00051A26" w:rsidRDefault="00051A26" w:rsidP="00051A26">
    <w:pPr>
      <w:pStyle w:val="Header"/>
    </w:pPr>
  </w:p>
  <w:p w14:paraId="351538A8" w14:textId="77777777" w:rsidR="00051A26" w:rsidRDefault="00051A26" w:rsidP="005B05C9">
    <w:pPr>
      <w:pStyle w:val="Header"/>
      <w:pBdr>
        <w:top w:val="doub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F7E9F"/>
    <w:multiLevelType w:val="hybridMultilevel"/>
    <w:tmpl w:val="E7E83698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8945AA"/>
    <w:multiLevelType w:val="hybridMultilevel"/>
    <w:tmpl w:val="095C65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2F"/>
    <w:rsid w:val="00013650"/>
    <w:rsid w:val="00022928"/>
    <w:rsid w:val="00033EBD"/>
    <w:rsid w:val="00035AAC"/>
    <w:rsid w:val="000372AC"/>
    <w:rsid w:val="000459F8"/>
    <w:rsid w:val="00051A26"/>
    <w:rsid w:val="00064CE3"/>
    <w:rsid w:val="00070FF7"/>
    <w:rsid w:val="0007179F"/>
    <w:rsid w:val="00073259"/>
    <w:rsid w:val="00092131"/>
    <w:rsid w:val="00094606"/>
    <w:rsid w:val="00097FA6"/>
    <w:rsid w:val="000A15C5"/>
    <w:rsid w:val="000B2789"/>
    <w:rsid w:val="000B59FC"/>
    <w:rsid w:val="000C0691"/>
    <w:rsid w:val="000E5F46"/>
    <w:rsid w:val="000F588C"/>
    <w:rsid w:val="001013D9"/>
    <w:rsid w:val="00101B9E"/>
    <w:rsid w:val="001023F0"/>
    <w:rsid w:val="0011268B"/>
    <w:rsid w:val="00121FBC"/>
    <w:rsid w:val="001243EC"/>
    <w:rsid w:val="001267C9"/>
    <w:rsid w:val="0013005E"/>
    <w:rsid w:val="00131B34"/>
    <w:rsid w:val="001452F7"/>
    <w:rsid w:val="001557D3"/>
    <w:rsid w:val="001602E3"/>
    <w:rsid w:val="001644BA"/>
    <w:rsid w:val="00183524"/>
    <w:rsid w:val="00183E07"/>
    <w:rsid w:val="00197F75"/>
    <w:rsid w:val="001B65FC"/>
    <w:rsid w:val="001C715F"/>
    <w:rsid w:val="001E33F4"/>
    <w:rsid w:val="002057CD"/>
    <w:rsid w:val="00222A5A"/>
    <w:rsid w:val="00234950"/>
    <w:rsid w:val="00235293"/>
    <w:rsid w:val="00244D9D"/>
    <w:rsid w:val="00254D82"/>
    <w:rsid w:val="002652A4"/>
    <w:rsid w:val="00273E93"/>
    <w:rsid w:val="00275B4F"/>
    <w:rsid w:val="00276604"/>
    <w:rsid w:val="002803C9"/>
    <w:rsid w:val="002B00B2"/>
    <w:rsid w:val="002B031B"/>
    <w:rsid w:val="002C056C"/>
    <w:rsid w:val="002C5167"/>
    <w:rsid w:val="002D0A51"/>
    <w:rsid w:val="002E310B"/>
    <w:rsid w:val="002E756C"/>
    <w:rsid w:val="002F2C99"/>
    <w:rsid w:val="002F30CF"/>
    <w:rsid w:val="00300DB8"/>
    <w:rsid w:val="00306E5F"/>
    <w:rsid w:val="00312B25"/>
    <w:rsid w:val="003136FD"/>
    <w:rsid w:val="00324D8B"/>
    <w:rsid w:val="0033559E"/>
    <w:rsid w:val="00337BC4"/>
    <w:rsid w:val="00350934"/>
    <w:rsid w:val="003541DE"/>
    <w:rsid w:val="00363799"/>
    <w:rsid w:val="00372E32"/>
    <w:rsid w:val="00377992"/>
    <w:rsid w:val="00380352"/>
    <w:rsid w:val="003B3378"/>
    <w:rsid w:val="003B4551"/>
    <w:rsid w:val="003B6B5B"/>
    <w:rsid w:val="003D080B"/>
    <w:rsid w:val="003F7104"/>
    <w:rsid w:val="004034BA"/>
    <w:rsid w:val="00405733"/>
    <w:rsid w:val="00414F9F"/>
    <w:rsid w:val="004158E2"/>
    <w:rsid w:val="004327D5"/>
    <w:rsid w:val="00440977"/>
    <w:rsid w:val="00442413"/>
    <w:rsid w:val="00444EE8"/>
    <w:rsid w:val="00447FC6"/>
    <w:rsid w:val="00451E67"/>
    <w:rsid w:val="00456A25"/>
    <w:rsid w:val="004576B8"/>
    <w:rsid w:val="00460B77"/>
    <w:rsid w:val="00462FE5"/>
    <w:rsid w:val="00467E35"/>
    <w:rsid w:val="00467F7F"/>
    <w:rsid w:val="00472F58"/>
    <w:rsid w:val="00474859"/>
    <w:rsid w:val="00480036"/>
    <w:rsid w:val="004919B9"/>
    <w:rsid w:val="00496D9F"/>
    <w:rsid w:val="004A41E4"/>
    <w:rsid w:val="004A5E36"/>
    <w:rsid w:val="004B1A60"/>
    <w:rsid w:val="004B5C20"/>
    <w:rsid w:val="004C3207"/>
    <w:rsid w:val="004E3DB1"/>
    <w:rsid w:val="00500409"/>
    <w:rsid w:val="0051474C"/>
    <w:rsid w:val="0053171D"/>
    <w:rsid w:val="00532049"/>
    <w:rsid w:val="00532378"/>
    <w:rsid w:val="0053470F"/>
    <w:rsid w:val="00536D5D"/>
    <w:rsid w:val="005411D0"/>
    <w:rsid w:val="005520B2"/>
    <w:rsid w:val="00553443"/>
    <w:rsid w:val="00572CAB"/>
    <w:rsid w:val="00581003"/>
    <w:rsid w:val="0059362F"/>
    <w:rsid w:val="005B05C9"/>
    <w:rsid w:val="005B119D"/>
    <w:rsid w:val="005B1C24"/>
    <w:rsid w:val="005F60BF"/>
    <w:rsid w:val="00605746"/>
    <w:rsid w:val="006077C4"/>
    <w:rsid w:val="00610091"/>
    <w:rsid w:val="00612E06"/>
    <w:rsid w:val="006132BB"/>
    <w:rsid w:val="006254B6"/>
    <w:rsid w:val="00634CC0"/>
    <w:rsid w:val="00644A23"/>
    <w:rsid w:val="006566FA"/>
    <w:rsid w:val="0065720E"/>
    <w:rsid w:val="00665597"/>
    <w:rsid w:val="006757F9"/>
    <w:rsid w:val="00677A34"/>
    <w:rsid w:val="006A69EF"/>
    <w:rsid w:val="006B4293"/>
    <w:rsid w:val="006C0BCA"/>
    <w:rsid w:val="006D6013"/>
    <w:rsid w:val="006E5F2E"/>
    <w:rsid w:val="006E61FF"/>
    <w:rsid w:val="006F0D19"/>
    <w:rsid w:val="006F2CF9"/>
    <w:rsid w:val="00701FEA"/>
    <w:rsid w:val="007044B5"/>
    <w:rsid w:val="0070734A"/>
    <w:rsid w:val="00710726"/>
    <w:rsid w:val="00713956"/>
    <w:rsid w:val="007142A2"/>
    <w:rsid w:val="00725220"/>
    <w:rsid w:val="00737180"/>
    <w:rsid w:val="007558EE"/>
    <w:rsid w:val="00763496"/>
    <w:rsid w:val="0077133C"/>
    <w:rsid w:val="007812D0"/>
    <w:rsid w:val="00781779"/>
    <w:rsid w:val="00786F43"/>
    <w:rsid w:val="007964E4"/>
    <w:rsid w:val="007A05FD"/>
    <w:rsid w:val="007A3346"/>
    <w:rsid w:val="007B50CE"/>
    <w:rsid w:val="007C0926"/>
    <w:rsid w:val="007E0645"/>
    <w:rsid w:val="007E0DB4"/>
    <w:rsid w:val="007E3A2D"/>
    <w:rsid w:val="007E52ED"/>
    <w:rsid w:val="007E6BD3"/>
    <w:rsid w:val="007F4106"/>
    <w:rsid w:val="00802C1E"/>
    <w:rsid w:val="00807E1D"/>
    <w:rsid w:val="00816AFC"/>
    <w:rsid w:val="00831329"/>
    <w:rsid w:val="00836491"/>
    <w:rsid w:val="00842C8A"/>
    <w:rsid w:val="00856B03"/>
    <w:rsid w:val="0085778F"/>
    <w:rsid w:val="00864D55"/>
    <w:rsid w:val="00874681"/>
    <w:rsid w:val="00874B7C"/>
    <w:rsid w:val="00874C1A"/>
    <w:rsid w:val="0089393E"/>
    <w:rsid w:val="008A1FB0"/>
    <w:rsid w:val="008B4B3A"/>
    <w:rsid w:val="008B4C69"/>
    <w:rsid w:val="008B716D"/>
    <w:rsid w:val="008C4EC5"/>
    <w:rsid w:val="008C5CD9"/>
    <w:rsid w:val="008D4EEB"/>
    <w:rsid w:val="008F682C"/>
    <w:rsid w:val="00914428"/>
    <w:rsid w:val="00921DE6"/>
    <w:rsid w:val="009447EA"/>
    <w:rsid w:val="0095571F"/>
    <w:rsid w:val="00960C89"/>
    <w:rsid w:val="00963E11"/>
    <w:rsid w:val="00977045"/>
    <w:rsid w:val="009865B4"/>
    <w:rsid w:val="00990F9A"/>
    <w:rsid w:val="0099205B"/>
    <w:rsid w:val="009936F3"/>
    <w:rsid w:val="009B189A"/>
    <w:rsid w:val="009C2474"/>
    <w:rsid w:val="009C7DED"/>
    <w:rsid w:val="009D50D8"/>
    <w:rsid w:val="009E4BD2"/>
    <w:rsid w:val="009F5AE3"/>
    <w:rsid w:val="00A01E07"/>
    <w:rsid w:val="00A04B52"/>
    <w:rsid w:val="00A054EF"/>
    <w:rsid w:val="00A2098C"/>
    <w:rsid w:val="00A3351E"/>
    <w:rsid w:val="00A420C8"/>
    <w:rsid w:val="00A6057A"/>
    <w:rsid w:val="00A63883"/>
    <w:rsid w:val="00A71E11"/>
    <w:rsid w:val="00A74C3B"/>
    <w:rsid w:val="00A81035"/>
    <w:rsid w:val="00A93746"/>
    <w:rsid w:val="00A939C8"/>
    <w:rsid w:val="00AB6D77"/>
    <w:rsid w:val="00AC2937"/>
    <w:rsid w:val="00AC3738"/>
    <w:rsid w:val="00AC6841"/>
    <w:rsid w:val="00AD1F19"/>
    <w:rsid w:val="00AE74D5"/>
    <w:rsid w:val="00AF01D2"/>
    <w:rsid w:val="00AF5231"/>
    <w:rsid w:val="00B13C0F"/>
    <w:rsid w:val="00B223B6"/>
    <w:rsid w:val="00B350C6"/>
    <w:rsid w:val="00B35BF2"/>
    <w:rsid w:val="00B408C2"/>
    <w:rsid w:val="00B5359D"/>
    <w:rsid w:val="00B545CB"/>
    <w:rsid w:val="00B632D8"/>
    <w:rsid w:val="00B7039F"/>
    <w:rsid w:val="00B856CA"/>
    <w:rsid w:val="00B92128"/>
    <w:rsid w:val="00B93FA7"/>
    <w:rsid w:val="00BA597D"/>
    <w:rsid w:val="00BB0F74"/>
    <w:rsid w:val="00BB3991"/>
    <w:rsid w:val="00BD04E9"/>
    <w:rsid w:val="00BD6EC9"/>
    <w:rsid w:val="00BE45D1"/>
    <w:rsid w:val="00BE6763"/>
    <w:rsid w:val="00C0287D"/>
    <w:rsid w:val="00C0640C"/>
    <w:rsid w:val="00C12BBA"/>
    <w:rsid w:val="00C21411"/>
    <w:rsid w:val="00C229A1"/>
    <w:rsid w:val="00C35219"/>
    <w:rsid w:val="00C35E80"/>
    <w:rsid w:val="00C36477"/>
    <w:rsid w:val="00C40AB7"/>
    <w:rsid w:val="00C61D49"/>
    <w:rsid w:val="00C63F84"/>
    <w:rsid w:val="00C678EF"/>
    <w:rsid w:val="00C8456E"/>
    <w:rsid w:val="00C85BC2"/>
    <w:rsid w:val="00C874D4"/>
    <w:rsid w:val="00C9291B"/>
    <w:rsid w:val="00C9775A"/>
    <w:rsid w:val="00CA1671"/>
    <w:rsid w:val="00CA56CE"/>
    <w:rsid w:val="00CC184B"/>
    <w:rsid w:val="00CC4382"/>
    <w:rsid w:val="00CC6E3A"/>
    <w:rsid w:val="00CF1352"/>
    <w:rsid w:val="00CF2027"/>
    <w:rsid w:val="00CF29FB"/>
    <w:rsid w:val="00D042E2"/>
    <w:rsid w:val="00D06EFA"/>
    <w:rsid w:val="00D113AF"/>
    <w:rsid w:val="00D11C1A"/>
    <w:rsid w:val="00D25BD3"/>
    <w:rsid w:val="00D30F1A"/>
    <w:rsid w:val="00D56C77"/>
    <w:rsid w:val="00D70023"/>
    <w:rsid w:val="00D9163C"/>
    <w:rsid w:val="00D94D45"/>
    <w:rsid w:val="00DA309A"/>
    <w:rsid w:val="00DB359B"/>
    <w:rsid w:val="00DC4937"/>
    <w:rsid w:val="00DD5FD6"/>
    <w:rsid w:val="00DD6826"/>
    <w:rsid w:val="00DE0758"/>
    <w:rsid w:val="00DF3100"/>
    <w:rsid w:val="00DF6CDE"/>
    <w:rsid w:val="00E07140"/>
    <w:rsid w:val="00E113DF"/>
    <w:rsid w:val="00E44FB6"/>
    <w:rsid w:val="00E57944"/>
    <w:rsid w:val="00E61BF1"/>
    <w:rsid w:val="00E96A43"/>
    <w:rsid w:val="00EB44A5"/>
    <w:rsid w:val="00EC05D7"/>
    <w:rsid w:val="00EE0AC4"/>
    <w:rsid w:val="00EE1CC8"/>
    <w:rsid w:val="00EE7838"/>
    <w:rsid w:val="00F02463"/>
    <w:rsid w:val="00F10244"/>
    <w:rsid w:val="00F532EB"/>
    <w:rsid w:val="00F54278"/>
    <w:rsid w:val="00F56B7E"/>
    <w:rsid w:val="00F67700"/>
    <w:rsid w:val="00F67EE3"/>
    <w:rsid w:val="00F73142"/>
    <w:rsid w:val="00F7752F"/>
    <w:rsid w:val="00F85B5C"/>
    <w:rsid w:val="00F869CF"/>
    <w:rsid w:val="00F9109A"/>
    <w:rsid w:val="00F96986"/>
    <w:rsid w:val="00FA1F6C"/>
    <w:rsid w:val="00FB754B"/>
    <w:rsid w:val="00FC5804"/>
    <w:rsid w:val="00FD5894"/>
    <w:rsid w:val="00FD7654"/>
    <w:rsid w:val="00FE65EC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8884"/>
  <w15:docId w15:val="{ED0DE02F-93ED-44B5-9F37-0283F404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63C"/>
    <w:pPr>
      <w:spacing w:before="120" w:after="12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6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6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8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7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7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8EF"/>
    <w:rPr>
      <w:b/>
      <w:bCs/>
      <w:sz w:val="20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rsid w:val="00051A26"/>
    <w:pPr>
      <w:tabs>
        <w:tab w:val="center" w:pos="8640"/>
        <w:tab w:val="right" w:pos="17280"/>
      </w:tabs>
      <w:spacing w:before="0" w:after="0" w:line="240" w:lineRule="atLeast"/>
    </w:pPr>
    <w:rPr>
      <w:sz w:val="24"/>
      <w:szCs w:val="3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1A26"/>
    <w:rPr>
      <w:rFonts w:ascii="Times New Roman" w:hAnsi="Times New Roman"/>
      <w:sz w:val="24"/>
      <w:szCs w:val="36"/>
      <w:lang w:val="en-US"/>
    </w:rPr>
  </w:style>
  <w:style w:type="paragraph" w:styleId="Footer">
    <w:name w:val="footer"/>
    <w:basedOn w:val="Normal"/>
    <w:link w:val="FooterChar"/>
    <w:autoRedefine/>
    <w:uiPriority w:val="99"/>
    <w:unhideWhenUsed/>
    <w:rsid w:val="00051A26"/>
    <w:pPr>
      <w:tabs>
        <w:tab w:val="right" w:pos="1728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1A26"/>
    <w:rPr>
      <w:rFonts w:ascii="Times New Roman" w:hAnsi="Times New Roman"/>
    </w:rPr>
  </w:style>
  <w:style w:type="paragraph" w:customStyle="1" w:styleId="Tableheading">
    <w:name w:val="Table heading"/>
    <w:basedOn w:val="Normal"/>
    <w:qFormat/>
    <w:rsid w:val="002F2C99"/>
    <w:pPr>
      <w:jc w:val="center"/>
    </w:pPr>
    <w:rPr>
      <w:rFonts w:asciiTheme="majorBidi" w:eastAsiaTheme="minorEastAsia" w:hAnsiTheme="majorBidi"/>
      <w:b/>
      <w:lang w:val="en-US" w:eastAsia="zh-CN"/>
    </w:rPr>
  </w:style>
  <w:style w:type="paragraph" w:customStyle="1" w:styleId="semiendline">
    <w:name w:val="semi endline"/>
    <w:basedOn w:val="Normal"/>
    <w:qFormat/>
    <w:rsid w:val="007558EE"/>
    <w:pPr>
      <w:jc w:val="center"/>
    </w:pPr>
    <w:rPr>
      <w:rFonts w:eastAsiaTheme="minorEastAsia"/>
      <w:lang w:val="en-US" w:eastAsia="zh-CN"/>
    </w:rPr>
  </w:style>
  <w:style w:type="paragraph" w:customStyle="1" w:styleId="TableHeading0">
    <w:name w:val="Table Heading"/>
    <w:basedOn w:val="Normal"/>
    <w:autoRedefine/>
    <w:qFormat/>
    <w:rsid w:val="00725220"/>
    <w:pPr>
      <w:spacing w:before="0" w:after="0"/>
      <w:jc w:val="center"/>
    </w:pPr>
    <w:rPr>
      <w:rFonts w:eastAsia="Times New Roman" w:cstheme="minorHAnsi"/>
      <w:b/>
      <w:bCs/>
      <w:color w:val="000000"/>
      <w:lang w:eastAsia="en-CA"/>
    </w:rPr>
  </w:style>
  <w:style w:type="paragraph" w:customStyle="1" w:styleId="ColumnCenter">
    <w:name w:val="Column Center"/>
    <w:basedOn w:val="Normal"/>
    <w:autoRedefine/>
    <w:qFormat/>
    <w:rsid w:val="00725220"/>
    <w:pPr>
      <w:spacing w:before="240"/>
      <w:jc w:val="center"/>
    </w:pPr>
    <w:rPr>
      <w:rFonts w:eastAsia="Times New Roman" w:cstheme="minorHAnsi"/>
      <w:color w:val="000000"/>
      <w:lang w:eastAsia="en-CA"/>
    </w:rPr>
  </w:style>
  <w:style w:type="paragraph" w:customStyle="1" w:styleId="Note">
    <w:name w:val="Note"/>
    <w:basedOn w:val="Normal"/>
    <w:autoRedefine/>
    <w:qFormat/>
    <w:rsid w:val="00051A26"/>
    <w:pPr>
      <w:spacing w:before="40" w:after="0" w:line="240" w:lineRule="atLeast"/>
    </w:pPr>
    <w:rPr>
      <w:rFonts w:eastAsia="Times New Roman" w:cstheme="minorHAnsi"/>
      <w:i/>
      <w:color w:val="000000"/>
      <w:lang w:val="en-GB" w:eastAsia="en-CA"/>
    </w:rPr>
  </w:style>
  <w:style w:type="paragraph" w:styleId="NoSpacing">
    <w:name w:val="No Spacing"/>
    <w:uiPriority w:val="1"/>
    <w:qFormat/>
    <w:rsid w:val="00051A26"/>
    <w:pPr>
      <w:spacing w:after="0" w:line="240" w:lineRule="auto"/>
    </w:pPr>
    <w:rPr>
      <w:rFonts w:ascii="Times New Roman" w:hAnsi="Times New Roman"/>
    </w:rPr>
  </w:style>
  <w:style w:type="paragraph" w:customStyle="1" w:styleId="Tabletext">
    <w:name w:val="Table text"/>
    <w:basedOn w:val="Normal"/>
    <w:autoRedefine/>
    <w:qFormat/>
    <w:rsid w:val="005B05C9"/>
    <w:pPr>
      <w:widowControl w:val="0"/>
      <w:autoSpaceDE w:val="0"/>
      <w:autoSpaceDN w:val="0"/>
      <w:adjustRightInd w:val="0"/>
      <w:spacing w:before="60" w:after="60"/>
    </w:pPr>
    <w:rPr>
      <w:rFonts w:eastAsia="Times New Roman" w:cs="Times New Roman"/>
      <w:szCs w:val="24"/>
      <w:lang w:val="es-ES_tradnl"/>
    </w:rPr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B05C9"/>
    <w:rPr>
      <w:b/>
      <w:i/>
      <w:iCs/>
    </w:rPr>
  </w:style>
  <w:style w:type="paragraph" w:customStyle="1" w:styleId="tabletextctr">
    <w:name w:val="table text ctr"/>
    <w:basedOn w:val="Normal"/>
    <w:autoRedefine/>
    <w:qFormat/>
    <w:rsid w:val="005B05C9"/>
    <w:pPr>
      <w:spacing w:before="60" w:after="60"/>
      <w:jc w:val="center"/>
    </w:pPr>
    <w:rPr>
      <w:rFonts w:eastAsiaTheme="minorEastAsia"/>
      <w:lang w:val="en-US" w:eastAsia="zh-CN"/>
    </w:rPr>
  </w:style>
  <w:style w:type="paragraph" w:customStyle="1" w:styleId="endline">
    <w:name w:val="endline"/>
    <w:basedOn w:val="Normal"/>
    <w:autoRedefine/>
    <w:qFormat/>
    <w:rsid w:val="005B05C9"/>
    <w:pPr>
      <w:widowControl w:val="0"/>
      <w:autoSpaceDE w:val="0"/>
      <w:autoSpaceDN w:val="0"/>
      <w:adjustRightInd w:val="0"/>
      <w:spacing w:before="0" w:after="0"/>
      <w:jc w:val="center"/>
    </w:pPr>
    <w:rPr>
      <w:rFonts w:eastAsia="Times New Roman" w:cs="Times New Roman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State Safety Programme implementation assessment (SSPIA) SSP.ANS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1505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BAC9-D80B-4397-911F-B6AA9DB91F6B}"/>
</file>

<file path=customXml/itemProps2.xml><?xml version="1.0" encoding="utf-8"?>
<ds:datastoreItem xmlns:ds="http://schemas.openxmlformats.org/officeDocument/2006/customXml" ds:itemID="{F67F2ABF-5D09-4DE6-9C8F-578CF8954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77EE8-78D1-43FD-9B17-9F9333E7FDC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d743d32-1f6b-4eae-aae0-9ce3982f9000"/>
    <ds:schemaRef ds:uri="http://schemas.microsoft.com/office/2006/documentManagement/types"/>
    <ds:schemaRef ds:uri="9ede57a1-c949-496d-9af0-2be70d76ea7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57F64A-0D78-4B96-BF42-E7460D7E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7_SSP_ANS_PQ+maturity level matrix (EN)_STROKE 2</vt:lpstr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>SSPIA ANS/2</dc:subject>
  <dc:creator>Prillieux, Frederic;aweiss@icao.int</dc:creator>
  <cp:keywords>STROKE 2</cp:keywords>
  <dc:description>FULL, for OLF, updated 2 Dec 2020</dc:description>
  <cp:lastModifiedBy>Sosa, Roberto</cp:lastModifiedBy>
  <cp:revision>2</cp:revision>
  <cp:lastPrinted>2022-03-02T21:09:00Z</cp:lastPrinted>
  <dcterms:created xsi:type="dcterms:W3CDTF">2022-06-10T14:22:00Z</dcterms:created>
  <dcterms:modified xsi:type="dcterms:W3CDTF">2022-06-10T14:22:00Z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