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4740"/>
        <w:gridCol w:w="4617"/>
        <w:gridCol w:w="850"/>
      </w:tblGrid>
      <w:tr w:rsidR="005315BF" w:rsidRPr="00A912FF" w:rsidTr="00306FC3">
        <w:tc>
          <w:tcPr>
            <w:tcW w:w="10207" w:type="dxa"/>
            <w:gridSpan w:val="3"/>
          </w:tcPr>
          <w:p w:rsidR="005315BF" w:rsidRPr="005315BF" w:rsidRDefault="00D97000" w:rsidP="00531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GRUPO 4</w:t>
            </w:r>
          </w:p>
        </w:tc>
      </w:tr>
      <w:tr w:rsidR="00D94505" w:rsidRPr="008E2957" w:rsidTr="00306FC3">
        <w:tc>
          <w:tcPr>
            <w:tcW w:w="10207" w:type="dxa"/>
            <w:gridSpan w:val="3"/>
          </w:tcPr>
          <w:p w:rsidR="00D94505" w:rsidRPr="006B2BC4" w:rsidRDefault="004318B3" w:rsidP="006B2B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6B2B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4.6.1 </w:t>
            </w:r>
            <w:r w:rsidR="006B2BC4" w:rsidRPr="006B2B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Cada Estado contratante se asegurará de que la carga y el correo se sometan a controles de seguridad apropiados,</w:t>
            </w:r>
            <w:r w:rsidR="006B2B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="006B2BC4" w:rsidRPr="006B2B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comprendida la inspección, cuando sea factible, antes de cargarlos en una aeronave que realice operaciones de transporte aéreo</w:t>
            </w:r>
            <w:r w:rsidR="006B2B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="006B2BC4" w:rsidRPr="006B2B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comercial.</w:t>
            </w:r>
          </w:p>
        </w:tc>
      </w:tr>
      <w:tr w:rsidR="006B2BC4" w:rsidRPr="00DD05AE" w:rsidTr="00306FC3">
        <w:tc>
          <w:tcPr>
            <w:tcW w:w="4740" w:type="dxa"/>
            <w:vAlign w:val="center"/>
          </w:tcPr>
          <w:p w:rsidR="006B2BC4" w:rsidRPr="00DD05AE" w:rsidRDefault="006B2BC4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D0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PQ</w:t>
            </w:r>
          </w:p>
        </w:tc>
        <w:tc>
          <w:tcPr>
            <w:tcW w:w="4617" w:type="dxa"/>
            <w:vAlign w:val="center"/>
          </w:tcPr>
          <w:p w:rsidR="006B2BC4" w:rsidRPr="00DD28A7" w:rsidRDefault="006B2BC4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DD28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ORIENTACIÓN PARA REVISIÓN/COMENTARIOS SOBRE EVIDENCIAS</w:t>
            </w:r>
          </w:p>
        </w:tc>
        <w:tc>
          <w:tcPr>
            <w:tcW w:w="850" w:type="dxa"/>
            <w:vAlign w:val="center"/>
          </w:tcPr>
          <w:p w:rsidR="006B2BC4" w:rsidRPr="00DD05AE" w:rsidRDefault="006B2BC4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D0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CE</w:t>
            </w:r>
          </w:p>
        </w:tc>
      </w:tr>
      <w:tr w:rsidR="006B2BC4" w:rsidRPr="00A912FF" w:rsidTr="00306FC3">
        <w:tc>
          <w:tcPr>
            <w:tcW w:w="4740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B2BC4" w:rsidRPr="00A912FF" w:rsidTr="00306FC3">
        <w:tc>
          <w:tcPr>
            <w:tcW w:w="4740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B2BC4" w:rsidRPr="00A912FF" w:rsidTr="00306FC3">
        <w:tc>
          <w:tcPr>
            <w:tcW w:w="4740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B2BC4" w:rsidRPr="00A912FF" w:rsidTr="00306FC3">
        <w:tc>
          <w:tcPr>
            <w:tcW w:w="4740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B2BC4" w:rsidRPr="008E2957" w:rsidTr="00306FC3">
        <w:tc>
          <w:tcPr>
            <w:tcW w:w="10207" w:type="dxa"/>
            <w:gridSpan w:val="3"/>
          </w:tcPr>
          <w:p w:rsidR="006B2BC4" w:rsidRPr="006B2BC4" w:rsidRDefault="006B2BC4" w:rsidP="006B2B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6B2B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4.6.3 Cada Estado contratante se asegurará de que la carga y el correo que se transporten en una aeronave comercial estén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Pr="006B2B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protegidos de interferencias no autorizadas desde el punto en que se aplican la inspección u otros controles de seguridad hasta la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Pr="006B2B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salida de la aeronave.</w:t>
            </w:r>
          </w:p>
        </w:tc>
      </w:tr>
      <w:tr w:rsidR="006B2BC4" w:rsidRPr="00DD05AE" w:rsidTr="00306FC3">
        <w:tc>
          <w:tcPr>
            <w:tcW w:w="4740" w:type="dxa"/>
            <w:vAlign w:val="center"/>
          </w:tcPr>
          <w:p w:rsidR="006B2BC4" w:rsidRPr="00DD05AE" w:rsidRDefault="006B2BC4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D0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PQ</w:t>
            </w:r>
          </w:p>
        </w:tc>
        <w:tc>
          <w:tcPr>
            <w:tcW w:w="4617" w:type="dxa"/>
            <w:vAlign w:val="center"/>
          </w:tcPr>
          <w:p w:rsidR="006B2BC4" w:rsidRPr="00DD28A7" w:rsidRDefault="006B2BC4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DD28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ORIENTACIÓN PARA REVISIÓN/COMENTARIOS SOBRE EVIDENCIAS</w:t>
            </w:r>
          </w:p>
        </w:tc>
        <w:tc>
          <w:tcPr>
            <w:tcW w:w="850" w:type="dxa"/>
            <w:vAlign w:val="center"/>
          </w:tcPr>
          <w:p w:rsidR="006B2BC4" w:rsidRPr="00DD05AE" w:rsidRDefault="006B2BC4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D0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CE</w:t>
            </w:r>
          </w:p>
        </w:tc>
      </w:tr>
      <w:tr w:rsidR="006B2BC4" w:rsidRPr="00A912FF" w:rsidTr="00306FC3">
        <w:tc>
          <w:tcPr>
            <w:tcW w:w="4740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B2BC4" w:rsidRPr="00A912FF" w:rsidTr="00306FC3">
        <w:tc>
          <w:tcPr>
            <w:tcW w:w="4740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B2BC4" w:rsidRPr="00A912FF" w:rsidTr="00306FC3">
        <w:tc>
          <w:tcPr>
            <w:tcW w:w="4740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B2BC4" w:rsidRPr="00A912FF" w:rsidTr="00306FC3">
        <w:tc>
          <w:tcPr>
            <w:tcW w:w="4740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B2BC4" w:rsidRPr="008E2957" w:rsidTr="00306FC3">
        <w:tc>
          <w:tcPr>
            <w:tcW w:w="10207" w:type="dxa"/>
            <w:gridSpan w:val="3"/>
          </w:tcPr>
          <w:p w:rsidR="006B2BC4" w:rsidRPr="006B2BC4" w:rsidRDefault="006B2BC4" w:rsidP="006B2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6B2B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4.6.4 Cada Estado contratante se asegurará de que se apliquen medidas de seguridad reforzadas a la carga y el correo de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Pr="006B2B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alto riesgo para atenuar adecuadamente las amenazas conexas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.</w:t>
            </w:r>
          </w:p>
        </w:tc>
      </w:tr>
      <w:tr w:rsidR="006B2BC4" w:rsidRPr="00DD05AE" w:rsidTr="00306FC3">
        <w:tc>
          <w:tcPr>
            <w:tcW w:w="4740" w:type="dxa"/>
            <w:vAlign w:val="center"/>
          </w:tcPr>
          <w:p w:rsidR="006B2BC4" w:rsidRPr="00DD05AE" w:rsidRDefault="006B2BC4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D0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PQ</w:t>
            </w:r>
          </w:p>
        </w:tc>
        <w:tc>
          <w:tcPr>
            <w:tcW w:w="4617" w:type="dxa"/>
            <w:vAlign w:val="center"/>
          </w:tcPr>
          <w:p w:rsidR="006B2BC4" w:rsidRPr="00DD28A7" w:rsidRDefault="006B2BC4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DD28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ORIENTACIÓN PARA REVISIÓN/COMENTARIOS SOBRE EVIDENCIAS</w:t>
            </w:r>
          </w:p>
        </w:tc>
        <w:tc>
          <w:tcPr>
            <w:tcW w:w="850" w:type="dxa"/>
            <w:vAlign w:val="center"/>
          </w:tcPr>
          <w:p w:rsidR="006B2BC4" w:rsidRPr="00DD05AE" w:rsidRDefault="006B2BC4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D0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CE</w:t>
            </w:r>
          </w:p>
        </w:tc>
      </w:tr>
      <w:tr w:rsidR="006B2BC4" w:rsidRPr="00A912FF" w:rsidTr="00306FC3">
        <w:tc>
          <w:tcPr>
            <w:tcW w:w="4740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B2BC4" w:rsidRPr="00A912FF" w:rsidTr="00306FC3">
        <w:tc>
          <w:tcPr>
            <w:tcW w:w="4740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B2BC4" w:rsidRPr="00A912FF" w:rsidTr="00306FC3">
        <w:tc>
          <w:tcPr>
            <w:tcW w:w="4740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B2BC4" w:rsidRPr="00A912FF" w:rsidTr="00306FC3">
        <w:tc>
          <w:tcPr>
            <w:tcW w:w="4740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B2BC4" w:rsidRPr="008E2957" w:rsidTr="00306FC3">
        <w:tc>
          <w:tcPr>
            <w:tcW w:w="10207" w:type="dxa"/>
            <w:gridSpan w:val="3"/>
          </w:tcPr>
          <w:p w:rsidR="006B2BC4" w:rsidRPr="006B2BC4" w:rsidRDefault="006B2BC4" w:rsidP="006B2B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6B2B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4.6.8 Cada Estado contratante se asegurará de que la carga y el correo que hayan sido objeto de confirmación y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Pr="006B2B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demostración dispongan de un estatus de seguridad que los acompañará, ya sea en formato electrónico o por escrito, a lo largo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Pr="006B2B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de la cadena de suministro segura.</w:t>
            </w:r>
          </w:p>
        </w:tc>
      </w:tr>
      <w:tr w:rsidR="006B2BC4" w:rsidRPr="00DD05AE" w:rsidTr="00306FC3">
        <w:tc>
          <w:tcPr>
            <w:tcW w:w="4740" w:type="dxa"/>
            <w:vAlign w:val="center"/>
          </w:tcPr>
          <w:p w:rsidR="006B2BC4" w:rsidRPr="00DD05AE" w:rsidRDefault="006B2BC4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D0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PQ</w:t>
            </w:r>
          </w:p>
        </w:tc>
        <w:tc>
          <w:tcPr>
            <w:tcW w:w="4617" w:type="dxa"/>
            <w:vAlign w:val="center"/>
          </w:tcPr>
          <w:p w:rsidR="006B2BC4" w:rsidRPr="00DD28A7" w:rsidRDefault="006B2BC4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DD28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ORIENTACIÓN PARA REVISIÓN/COMENTARIOS SOBRE EVIDENCIAS</w:t>
            </w:r>
          </w:p>
        </w:tc>
        <w:tc>
          <w:tcPr>
            <w:tcW w:w="850" w:type="dxa"/>
            <w:vAlign w:val="center"/>
          </w:tcPr>
          <w:p w:rsidR="006B2BC4" w:rsidRPr="00DD05AE" w:rsidRDefault="006B2BC4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D0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CE</w:t>
            </w:r>
          </w:p>
        </w:tc>
      </w:tr>
      <w:tr w:rsidR="006B2BC4" w:rsidRPr="00A912FF" w:rsidTr="00306FC3">
        <w:tc>
          <w:tcPr>
            <w:tcW w:w="4740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B2BC4" w:rsidRPr="00A912FF" w:rsidTr="00306FC3">
        <w:tc>
          <w:tcPr>
            <w:tcW w:w="4740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B2BC4" w:rsidRPr="00A912FF" w:rsidTr="00306FC3">
        <w:tc>
          <w:tcPr>
            <w:tcW w:w="4740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B2BC4" w:rsidRPr="00A912FF" w:rsidTr="00306FC3">
        <w:tc>
          <w:tcPr>
            <w:tcW w:w="4740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8E2957" w:rsidRDefault="008E2957">
      <w:r>
        <w:br w:type="page"/>
      </w: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4740"/>
        <w:gridCol w:w="4617"/>
        <w:gridCol w:w="850"/>
      </w:tblGrid>
      <w:tr w:rsidR="006B2BC4" w:rsidRPr="008E2957" w:rsidTr="00306FC3">
        <w:tc>
          <w:tcPr>
            <w:tcW w:w="10207" w:type="dxa"/>
            <w:gridSpan w:val="3"/>
          </w:tcPr>
          <w:p w:rsidR="006B2BC4" w:rsidRPr="006B2BC4" w:rsidRDefault="006B2BC4" w:rsidP="006B2B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6B2B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lastRenderedPageBreak/>
              <w:t>4.6.10 Cada Estado contratante se asegurará de que, cuando se realice inspección de carga y correo, la inspección se lleve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Pr="006B2B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a cabo utilizando un método o métodos apropiados, teniendo en cuenta el carácter del envío.</w:t>
            </w:r>
          </w:p>
        </w:tc>
      </w:tr>
      <w:tr w:rsidR="006B2BC4" w:rsidRPr="00DD05AE" w:rsidTr="00306FC3">
        <w:tc>
          <w:tcPr>
            <w:tcW w:w="4740" w:type="dxa"/>
            <w:vAlign w:val="center"/>
          </w:tcPr>
          <w:p w:rsidR="006B2BC4" w:rsidRPr="00DD05AE" w:rsidRDefault="006B2BC4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D0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PQ</w:t>
            </w:r>
          </w:p>
        </w:tc>
        <w:tc>
          <w:tcPr>
            <w:tcW w:w="4617" w:type="dxa"/>
            <w:vAlign w:val="center"/>
          </w:tcPr>
          <w:p w:rsidR="006B2BC4" w:rsidRPr="00DD28A7" w:rsidRDefault="006B2BC4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DD28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ORIENTACIÓN PARA REVISIÓN/COMENTARIOS SOBRE EVIDENCIAS</w:t>
            </w:r>
          </w:p>
        </w:tc>
        <w:tc>
          <w:tcPr>
            <w:tcW w:w="850" w:type="dxa"/>
            <w:vAlign w:val="center"/>
          </w:tcPr>
          <w:p w:rsidR="006B2BC4" w:rsidRPr="00DD05AE" w:rsidRDefault="006B2BC4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D0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CE</w:t>
            </w:r>
          </w:p>
        </w:tc>
      </w:tr>
      <w:tr w:rsidR="006B2BC4" w:rsidRPr="00A912FF" w:rsidTr="00306FC3">
        <w:tc>
          <w:tcPr>
            <w:tcW w:w="4740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B2BC4" w:rsidRPr="00A912FF" w:rsidTr="00306FC3">
        <w:tc>
          <w:tcPr>
            <w:tcW w:w="4740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B2BC4" w:rsidRPr="00A912FF" w:rsidTr="00306FC3">
        <w:tc>
          <w:tcPr>
            <w:tcW w:w="4740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B2BC4" w:rsidRPr="00A912FF" w:rsidTr="00306FC3">
        <w:tc>
          <w:tcPr>
            <w:tcW w:w="4740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6B2BC4" w:rsidRPr="00A912FF" w:rsidRDefault="006B2BC4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3249FB" w:rsidRDefault="003249FB">
      <w:pPr>
        <w:rPr>
          <w:color w:val="000000" w:themeColor="text1"/>
          <w:lang w:val="en-US"/>
        </w:rPr>
      </w:pPr>
    </w:p>
    <w:sectPr w:rsidR="003249FB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6FF" w:rsidRDefault="002746FF" w:rsidP="00BF3130">
      <w:pPr>
        <w:spacing w:after="0" w:line="240" w:lineRule="auto"/>
      </w:pPr>
      <w:r>
        <w:separator/>
      </w:r>
    </w:p>
  </w:endnote>
  <w:endnote w:type="continuationSeparator" w:id="0">
    <w:p w:rsidR="002746FF" w:rsidRDefault="002746FF" w:rsidP="00BF3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207" w:type="dxa"/>
      <w:tblInd w:w="-31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7"/>
    </w:tblGrid>
    <w:tr w:rsidR="00BD382C" w:rsidRPr="008E2957" w:rsidTr="00BF2324">
      <w:tc>
        <w:tcPr>
          <w:tcW w:w="10207" w:type="dxa"/>
        </w:tcPr>
        <w:p w:rsidR="00BD382C" w:rsidRPr="007C0F5E" w:rsidRDefault="00BD382C" w:rsidP="00BF2324">
          <w:pPr>
            <w:pStyle w:val="Footer"/>
            <w:jc w:val="center"/>
            <w:rPr>
              <w:b/>
              <w:bCs/>
              <w:i/>
              <w:iCs/>
              <w:sz w:val="24"/>
              <w:szCs w:val="24"/>
              <w:lang w:val="es-ES_tradnl"/>
            </w:rPr>
          </w:pPr>
          <w:r w:rsidRPr="007C0F5E">
            <w:rPr>
              <w:rFonts w:ascii="Times New Roman" w:hAnsi="Times New Roman" w:cs="Times New Roman"/>
              <w:b/>
              <w:bCs/>
              <w:i/>
              <w:iCs/>
              <w:color w:val="000000"/>
              <w:sz w:val="24"/>
              <w:szCs w:val="24"/>
              <w:lang w:val="es-ES_tradnl"/>
            </w:rPr>
            <w:t>Taller sobre interrelación STD-CE-PQ</w:t>
          </w:r>
        </w:p>
      </w:tc>
    </w:tr>
  </w:tbl>
  <w:p w:rsidR="00306FC3" w:rsidRPr="00BD382C" w:rsidRDefault="00306FC3">
    <w:pPr>
      <w:pStyle w:val="Footer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6FF" w:rsidRDefault="002746FF" w:rsidP="00BF3130">
      <w:pPr>
        <w:spacing w:after="0" w:line="240" w:lineRule="auto"/>
      </w:pPr>
      <w:r>
        <w:separator/>
      </w:r>
    </w:p>
  </w:footnote>
  <w:footnote w:type="continuationSeparator" w:id="0">
    <w:p w:rsidR="002746FF" w:rsidRDefault="002746FF" w:rsidP="00BF3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1"/>
      <w:gridCol w:w="4775"/>
    </w:tblGrid>
    <w:tr w:rsidR="00D97000" w:rsidRPr="00B5258A" w:rsidTr="00BF2324">
      <w:tc>
        <w:tcPr>
          <w:tcW w:w="4801" w:type="dxa"/>
        </w:tcPr>
        <w:p w:rsidR="00D97000" w:rsidRPr="00BF3130" w:rsidRDefault="00D97000" w:rsidP="00BF2324">
          <w:pPr>
            <w:rPr>
              <w:rFonts w:ascii="Times New Roman" w:eastAsia="Times New Roman" w:hAnsi="Times New Roman" w:cs="Times New Roman"/>
              <w:sz w:val="24"/>
              <w:szCs w:val="24"/>
              <w:lang w:val="en-US" w:eastAsia="en-US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en-US" w:eastAsia="en-US"/>
            </w:rPr>
            <w:t>OACI</w:t>
          </w:r>
          <w:r w:rsidRPr="00BF3130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en-US" w:eastAsia="en-US"/>
            </w:rPr>
            <w:t xml:space="preserve"> </w:t>
          </w:r>
        </w:p>
      </w:tc>
      <w:tc>
        <w:tcPr>
          <w:tcW w:w="4775" w:type="dxa"/>
        </w:tcPr>
        <w:p w:rsidR="00D97000" w:rsidRPr="00BF1BEE" w:rsidRDefault="008E2957" w:rsidP="00BF2324">
          <w:pPr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es-ES_tradnl" w:eastAsia="en-US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es-ES_tradnl" w:eastAsia="en-US"/>
            </w:rPr>
            <w:t>Seminario r</w:t>
          </w:r>
          <w:r w:rsidR="00B5258A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es-ES_tradnl" w:eastAsia="en-US"/>
            </w:rPr>
            <w:t>egional del USAP-</w:t>
          </w:r>
          <w:r w:rsidR="00D97000" w:rsidRPr="00BF1BEE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es-ES_tradnl" w:eastAsia="en-US"/>
            </w:rPr>
            <w:t>CMA</w:t>
          </w:r>
        </w:p>
      </w:tc>
    </w:tr>
    <w:tr w:rsidR="00D97000" w:rsidRPr="00BF1BEE" w:rsidTr="00BF2324">
      <w:tc>
        <w:tcPr>
          <w:tcW w:w="4801" w:type="dxa"/>
        </w:tcPr>
        <w:p w:rsidR="00D97000" w:rsidRPr="00BF1BEE" w:rsidRDefault="00D97000" w:rsidP="00BF2324">
          <w:pPr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ES_tradnl" w:eastAsia="en-US"/>
            </w:rPr>
          </w:pPr>
        </w:p>
      </w:tc>
      <w:tc>
        <w:tcPr>
          <w:tcW w:w="4775" w:type="dxa"/>
        </w:tcPr>
        <w:p w:rsidR="00D97000" w:rsidRPr="00BF1BEE" w:rsidRDefault="00D97000" w:rsidP="00D97000">
          <w:pPr>
            <w:jc w:val="right"/>
            <w:rPr>
              <w:rFonts w:ascii="Times New Roman" w:eastAsia="Times New Roman" w:hAnsi="Times New Roman" w:cs="Times New Roman"/>
              <w:b/>
              <w:bCs/>
              <w:noProof/>
              <w:snapToGrid w:val="0"/>
              <w:sz w:val="24"/>
              <w:szCs w:val="24"/>
              <w:lang w:val="es-ES_tradnl" w:eastAsia="en-US"/>
            </w:rPr>
          </w:pPr>
          <w:r w:rsidRPr="00BF1BEE">
            <w:rPr>
              <w:rFonts w:ascii="Times New Roman" w:eastAsia="Times New Roman" w:hAnsi="Times New Roman" w:cs="Times New Roman"/>
              <w:b/>
              <w:bCs/>
              <w:noProof/>
              <w:snapToGrid w:val="0"/>
              <w:sz w:val="24"/>
              <w:szCs w:val="24"/>
              <w:lang w:val="es-ES_tradnl" w:eastAsia="en-US"/>
            </w:rPr>
            <w:t xml:space="preserve">Ejercicio 1 </w:t>
          </w:r>
          <w:r>
            <w:rPr>
              <w:rFonts w:ascii="Times New Roman" w:eastAsia="Times New Roman" w:hAnsi="Times New Roman" w:cs="Times New Roman"/>
              <w:b/>
              <w:bCs/>
              <w:noProof/>
              <w:snapToGrid w:val="0"/>
              <w:sz w:val="24"/>
              <w:szCs w:val="24"/>
              <w:lang w:val="es-ES_tradnl" w:eastAsia="en-US"/>
            </w:rPr>
            <w:t>–</w:t>
          </w:r>
          <w:r w:rsidRPr="00BF1BEE">
            <w:rPr>
              <w:rFonts w:ascii="Times New Roman" w:eastAsia="Times New Roman" w:hAnsi="Times New Roman" w:cs="Times New Roman"/>
              <w:b/>
              <w:bCs/>
              <w:noProof/>
              <w:snapToGrid w:val="0"/>
              <w:sz w:val="24"/>
              <w:szCs w:val="24"/>
              <w:lang w:val="es-ES_tradnl" w:eastAsia="en-US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bCs/>
              <w:noProof/>
              <w:snapToGrid w:val="0"/>
              <w:sz w:val="24"/>
              <w:szCs w:val="24"/>
              <w:lang w:val="es-ES_tradnl" w:eastAsia="en-US"/>
            </w:rPr>
            <w:t>Grupo 4</w:t>
          </w:r>
        </w:p>
        <w:p w:rsidR="00D97000" w:rsidRPr="00BF1BEE" w:rsidRDefault="00D97000" w:rsidP="00BF2324">
          <w:pPr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es-ES_tradnl" w:eastAsia="en-US"/>
            </w:rPr>
          </w:pPr>
          <w:r w:rsidRPr="00BF1BEE">
            <w:rPr>
              <w:rFonts w:ascii="Times New Roman" w:eastAsia="Times New Roman" w:hAnsi="Times New Roman" w:cs="Times New Roman"/>
              <w:b/>
              <w:bCs/>
              <w:snapToGrid w:val="0"/>
              <w:sz w:val="24"/>
              <w:szCs w:val="24"/>
              <w:lang w:val="es-ES_tradnl" w:eastAsia="en-US"/>
            </w:rPr>
            <w:t xml:space="preserve">Página </w:t>
          </w:r>
          <w:r w:rsidRPr="00BF3130">
            <w:rPr>
              <w:rFonts w:ascii="Times New Roman" w:eastAsia="Times New Roman" w:hAnsi="Times New Roman" w:cs="Times New Roman"/>
              <w:b/>
              <w:bCs/>
              <w:snapToGrid w:val="0"/>
              <w:sz w:val="24"/>
              <w:szCs w:val="24"/>
              <w:lang w:val="en-US" w:eastAsia="en-US"/>
            </w:rPr>
            <w:fldChar w:fldCharType="begin"/>
          </w:r>
          <w:r w:rsidRPr="00BF1BEE">
            <w:rPr>
              <w:rFonts w:ascii="Times New Roman" w:eastAsia="Times New Roman" w:hAnsi="Times New Roman" w:cs="Times New Roman"/>
              <w:b/>
              <w:bCs/>
              <w:snapToGrid w:val="0"/>
              <w:sz w:val="24"/>
              <w:szCs w:val="24"/>
              <w:lang w:val="es-ES_tradnl" w:eastAsia="en-US"/>
            </w:rPr>
            <w:instrText xml:space="preserve"> PAGE </w:instrText>
          </w:r>
          <w:r w:rsidRPr="00BF3130">
            <w:rPr>
              <w:rFonts w:ascii="Times New Roman" w:eastAsia="Times New Roman" w:hAnsi="Times New Roman" w:cs="Times New Roman"/>
              <w:b/>
              <w:bCs/>
              <w:snapToGrid w:val="0"/>
              <w:sz w:val="24"/>
              <w:szCs w:val="24"/>
              <w:lang w:val="en-US" w:eastAsia="en-US"/>
            </w:rPr>
            <w:fldChar w:fldCharType="separate"/>
          </w:r>
          <w:r w:rsidR="00B5258A">
            <w:rPr>
              <w:rFonts w:ascii="Times New Roman" w:eastAsia="Times New Roman" w:hAnsi="Times New Roman" w:cs="Times New Roman"/>
              <w:b/>
              <w:bCs/>
              <w:noProof/>
              <w:snapToGrid w:val="0"/>
              <w:sz w:val="24"/>
              <w:szCs w:val="24"/>
              <w:lang w:val="es-ES_tradnl" w:eastAsia="en-US"/>
            </w:rPr>
            <w:t>2</w:t>
          </w:r>
          <w:r w:rsidRPr="00BF3130">
            <w:rPr>
              <w:rFonts w:ascii="Times New Roman" w:eastAsia="Times New Roman" w:hAnsi="Times New Roman" w:cs="Times New Roman"/>
              <w:b/>
              <w:bCs/>
              <w:snapToGrid w:val="0"/>
              <w:sz w:val="24"/>
              <w:szCs w:val="24"/>
              <w:lang w:val="en-US" w:eastAsia="en-US"/>
            </w:rPr>
            <w:fldChar w:fldCharType="end"/>
          </w:r>
          <w:r w:rsidRPr="00BF1BEE">
            <w:rPr>
              <w:rFonts w:ascii="Times New Roman" w:eastAsia="Times New Roman" w:hAnsi="Times New Roman" w:cs="Times New Roman"/>
              <w:b/>
              <w:bCs/>
              <w:snapToGrid w:val="0"/>
              <w:sz w:val="24"/>
              <w:szCs w:val="24"/>
              <w:lang w:val="es-ES_tradnl" w:eastAsia="en-US"/>
            </w:rPr>
            <w:t>/</w:t>
          </w:r>
          <w:r w:rsidRPr="00BF3130">
            <w:rPr>
              <w:rFonts w:ascii="Times New Roman" w:eastAsia="Times New Roman" w:hAnsi="Times New Roman" w:cs="Times New Roman"/>
              <w:b/>
              <w:bCs/>
              <w:snapToGrid w:val="0"/>
              <w:sz w:val="24"/>
              <w:szCs w:val="24"/>
              <w:lang w:val="en-US" w:eastAsia="en-US"/>
            </w:rPr>
            <w:fldChar w:fldCharType="begin"/>
          </w:r>
          <w:r w:rsidRPr="00BF1BEE">
            <w:rPr>
              <w:rFonts w:ascii="Times New Roman" w:eastAsia="Times New Roman" w:hAnsi="Times New Roman" w:cs="Times New Roman"/>
              <w:b/>
              <w:bCs/>
              <w:snapToGrid w:val="0"/>
              <w:sz w:val="24"/>
              <w:szCs w:val="24"/>
              <w:lang w:val="es-ES_tradnl" w:eastAsia="en-US"/>
            </w:rPr>
            <w:instrText xml:space="preserve"> NUMPAGES </w:instrText>
          </w:r>
          <w:r w:rsidRPr="00BF3130">
            <w:rPr>
              <w:rFonts w:ascii="Times New Roman" w:eastAsia="Times New Roman" w:hAnsi="Times New Roman" w:cs="Times New Roman"/>
              <w:b/>
              <w:bCs/>
              <w:snapToGrid w:val="0"/>
              <w:sz w:val="24"/>
              <w:szCs w:val="24"/>
              <w:lang w:val="en-US" w:eastAsia="en-US"/>
            </w:rPr>
            <w:fldChar w:fldCharType="separate"/>
          </w:r>
          <w:r w:rsidR="00B5258A">
            <w:rPr>
              <w:rFonts w:ascii="Times New Roman" w:eastAsia="Times New Roman" w:hAnsi="Times New Roman" w:cs="Times New Roman"/>
              <w:b/>
              <w:bCs/>
              <w:noProof/>
              <w:snapToGrid w:val="0"/>
              <w:sz w:val="24"/>
              <w:szCs w:val="24"/>
              <w:lang w:val="es-ES_tradnl" w:eastAsia="en-US"/>
            </w:rPr>
            <w:t>2</w:t>
          </w:r>
          <w:r w:rsidRPr="00BF3130">
            <w:rPr>
              <w:rFonts w:ascii="Times New Roman" w:eastAsia="Times New Roman" w:hAnsi="Times New Roman" w:cs="Times New Roman"/>
              <w:b/>
              <w:bCs/>
              <w:snapToGrid w:val="0"/>
              <w:sz w:val="24"/>
              <w:szCs w:val="24"/>
              <w:lang w:val="en-US" w:eastAsia="en-US"/>
            </w:rPr>
            <w:fldChar w:fldCharType="end"/>
          </w:r>
        </w:p>
      </w:tc>
    </w:tr>
  </w:tbl>
  <w:p w:rsidR="00306FC3" w:rsidRPr="00D97000" w:rsidRDefault="00306FC3" w:rsidP="00D970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34537"/>
    <w:multiLevelType w:val="hybridMultilevel"/>
    <w:tmpl w:val="5122E36C"/>
    <w:lvl w:ilvl="0" w:tplc="858CCE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2A0230"/>
    <w:multiLevelType w:val="hybridMultilevel"/>
    <w:tmpl w:val="2E3AEA9A"/>
    <w:lvl w:ilvl="0" w:tplc="DE90C2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5C5E14">
      <w:start w:val="50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347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908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9429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EE4B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123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EEB0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FC2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6BE5063"/>
    <w:multiLevelType w:val="hybridMultilevel"/>
    <w:tmpl w:val="42F2C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F1676A"/>
    <w:multiLevelType w:val="hybridMultilevel"/>
    <w:tmpl w:val="F8BABF10"/>
    <w:lvl w:ilvl="0" w:tplc="2696A9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6F"/>
    <w:rsid w:val="000630B5"/>
    <w:rsid w:val="00154762"/>
    <w:rsid w:val="001568DD"/>
    <w:rsid w:val="002746FF"/>
    <w:rsid w:val="00306FC3"/>
    <w:rsid w:val="003249FB"/>
    <w:rsid w:val="003A6DDE"/>
    <w:rsid w:val="003C6CAF"/>
    <w:rsid w:val="004318B3"/>
    <w:rsid w:val="005315BF"/>
    <w:rsid w:val="0057400B"/>
    <w:rsid w:val="005A30EF"/>
    <w:rsid w:val="005E5385"/>
    <w:rsid w:val="006B2BC4"/>
    <w:rsid w:val="006E74FC"/>
    <w:rsid w:val="00711483"/>
    <w:rsid w:val="007705C3"/>
    <w:rsid w:val="0087556C"/>
    <w:rsid w:val="00892AA5"/>
    <w:rsid w:val="008E2957"/>
    <w:rsid w:val="008E653B"/>
    <w:rsid w:val="008E7204"/>
    <w:rsid w:val="008F5F1E"/>
    <w:rsid w:val="00902A6B"/>
    <w:rsid w:val="00917A76"/>
    <w:rsid w:val="00993C3E"/>
    <w:rsid w:val="009A63D7"/>
    <w:rsid w:val="00A03E15"/>
    <w:rsid w:val="00A160AE"/>
    <w:rsid w:val="00A34244"/>
    <w:rsid w:val="00A912FF"/>
    <w:rsid w:val="00AD229A"/>
    <w:rsid w:val="00B056BF"/>
    <w:rsid w:val="00B5258A"/>
    <w:rsid w:val="00BD382C"/>
    <w:rsid w:val="00BE3FDC"/>
    <w:rsid w:val="00BF3130"/>
    <w:rsid w:val="00C401CA"/>
    <w:rsid w:val="00C80BEE"/>
    <w:rsid w:val="00CA14F7"/>
    <w:rsid w:val="00CB1A6F"/>
    <w:rsid w:val="00D94505"/>
    <w:rsid w:val="00D97000"/>
    <w:rsid w:val="00DD05AE"/>
    <w:rsid w:val="00DD34CE"/>
    <w:rsid w:val="00F4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A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CB1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CB1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3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130"/>
  </w:style>
  <w:style w:type="paragraph" w:styleId="Footer">
    <w:name w:val="footer"/>
    <w:basedOn w:val="Normal"/>
    <w:link w:val="FooterChar"/>
    <w:uiPriority w:val="99"/>
    <w:unhideWhenUsed/>
    <w:rsid w:val="00BF3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130"/>
  </w:style>
  <w:style w:type="table" w:customStyle="1" w:styleId="TableGrid1">
    <w:name w:val="Table Grid1"/>
    <w:basedOn w:val="TableNormal"/>
    <w:next w:val="TableGrid"/>
    <w:uiPriority w:val="59"/>
    <w:rsid w:val="00BF3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A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CB1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CB1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3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130"/>
  </w:style>
  <w:style w:type="paragraph" w:styleId="Footer">
    <w:name w:val="footer"/>
    <w:basedOn w:val="Normal"/>
    <w:link w:val="FooterChar"/>
    <w:uiPriority w:val="99"/>
    <w:unhideWhenUsed/>
    <w:rsid w:val="00BF3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130"/>
  </w:style>
  <w:style w:type="table" w:customStyle="1" w:styleId="TableGrid1">
    <w:name w:val="Table Grid1"/>
    <w:basedOn w:val="TableNormal"/>
    <w:next w:val="TableGrid"/>
    <w:uiPriority w:val="59"/>
    <w:rsid w:val="00BF3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4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608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277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386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0387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0303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39633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6834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65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Ejercicio 1 - Grupo 4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1304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8E5EAE74-6BF0-4D8A-9CE1-5DE89BFFBBCF}"/>
</file>

<file path=customXml/itemProps2.xml><?xml version="1.0" encoding="utf-8"?>
<ds:datastoreItem xmlns:ds="http://schemas.openxmlformats.org/officeDocument/2006/customXml" ds:itemID="{223681FC-8224-4BCA-9F5F-BABBFD6784FC}"/>
</file>

<file path=customXml/itemProps3.xml><?xml version="1.0" encoding="utf-8"?>
<ds:datastoreItem xmlns:ds="http://schemas.openxmlformats.org/officeDocument/2006/customXml" ds:itemID="{375BE8D2-C55A-42AB-957E-DF34C7876C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I.A.C.O.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</dc:title>
  <dc:creator>Meneses, Nelson Perez</dc:creator>
  <cp:lastModifiedBy>Suarez, Sofia</cp:lastModifiedBy>
  <cp:revision>7</cp:revision>
  <dcterms:created xsi:type="dcterms:W3CDTF">2019-05-22T18:05:00Z</dcterms:created>
  <dcterms:modified xsi:type="dcterms:W3CDTF">2019-05-30T14:26:00Z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