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EB" w:rsidRPr="0023078A" w:rsidRDefault="002E47EB" w:rsidP="002E47EB">
      <w:pPr>
        <w:tabs>
          <w:tab w:val="left" w:pos="1800"/>
        </w:tabs>
        <w:autoSpaceDE w:val="0"/>
        <w:autoSpaceDN w:val="0"/>
        <w:adjustRightInd w:val="0"/>
        <w:spacing w:after="0" w:line="240" w:lineRule="auto"/>
        <w:jc w:val="both"/>
        <w:rPr>
          <w:rStyle w:val="Hyperlink"/>
          <w:rFonts w:ascii="Times New Roman" w:hAnsi="Times New Roman"/>
          <w:b/>
          <w:bCs/>
          <w:color w:val="auto"/>
          <w:lang w:val="es-PE"/>
        </w:rPr>
      </w:pPr>
      <w:r w:rsidRPr="0023078A">
        <w:rPr>
          <w:rFonts w:ascii="Times New Roman" w:hAnsi="Times New Roman"/>
          <w:b/>
          <w:bCs/>
          <w:lang w:val="es-PE"/>
        </w:rPr>
        <w:t xml:space="preserve">Capítulo </w:t>
      </w:r>
      <w:r w:rsidR="00627FB6">
        <w:rPr>
          <w:rFonts w:ascii="Times New Roman" w:hAnsi="Times New Roman"/>
          <w:b/>
          <w:bCs/>
          <w:lang w:val="es-PE"/>
        </w:rPr>
        <w:t>12</w:t>
      </w:r>
      <w:r w:rsidRPr="0023078A">
        <w:rPr>
          <w:rFonts w:ascii="Times New Roman" w:hAnsi="Times New Roman"/>
          <w:b/>
          <w:bCs/>
          <w:lang w:val="es-PE"/>
        </w:rPr>
        <w:t>:</w:t>
      </w:r>
      <w:r w:rsidRPr="0023078A">
        <w:rPr>
          <w:rFonts w:ascii="Times New Roman" w:hAnsi="Times New Roman"/>
          <w:b/>
          <w:lang w:val="es-PE"/>
        </w:rPr>
        <w:tab/>
      </w:r>
      <w:hyperlink r:id="rId6" w:history="1">
        <w:r w:rsidRPr="0023078A">
          <w:rPr>
            <w:rStyle w:val="Hyperlink"/>
            <w:rFonts w:ascii="Times New Roman" w:hAnsi="Times New Roman"/>
            <w:b/>
            <w:bCs/>
            <w:color w:val="auto"/>
            <w:lang w:val="es-PE"/>
          </w:rPr>
          <w:t>Protección</w:t>
        </w:r>
      </w:hyperlink>
      <w:r w:rsidRPr="0023078A">
        <w:rPr>
          <w:rStyle w:val="Hyperlink"/>
          <w:rFonts w:ascii="Times New Roman" w:hAnsi="Times New Roman"/>
          <w:b/>
          <w:bCs/>
          <w:color w:val="auto"/>
          <w:lang w:val="es-PE"/>
        </w:rPr>
        <w:t xml:space="preserve"> al Medio Ambiente</w:t>
      </w:r>
    </w:p>
    <w:p w:rsidR="002E47EB" w:rsidRPr="0023078A" w:rsidRDefault="002E47EB" w:rsidP="002E47EB">
      <w:pPr>
        <w:tabs>
          <w:tab w:val="left" w:pos="1800"/>
        </w:tabs>
        <w:autoSpaceDE w:val="0"/>
        <w:autoSpaceDN w:val="0"/>
        <w:adjustRightInd w:val="0"/>
        <w:spacing w:after="0" w:line="240" w:lineRule="auto"/>
        <w:jc w:val="both"/>
        <w:rPr>
          <w:rStyle w:val="Hyperlink"/>
          <w:rFonts w:ascii="Times New Roman" w:hAnsi="Times New Roman"/>
          <w:b/>
          <w:bCs/>
          <w:color w:val="auto"/>
          <w:lang w:val="es-PE"/>
        </w:rPr>
      </w:pPr>
    </w:p>
    <w:p w:rsidR="002E47EB" w:rsidRPr="0023078A" w:rsidRDefault="0023078A" w:rsidP="002E47EB">
      <w:pPr>
        <w:tabs>
          <w:tab w:val="left" w:pos="1800"/>
        </w:tabs>
        <w:autoSpaceDE w:val="0"/>
        <w:autoSpaceDN w:val="0"/>
        <w:adjustRightInd w:val="0"/>
        <w:spacing w:after="0" w:line="240" w:lineRule="auto"/>
        <w:jc w:val="both"/>
        <w:rPr>
          <w:rFonts w:ascii="Times New Roman" w:hAnsi="Times New Roman"/>
          <w:b/>
          <w:lang w:val="es-PE"/>
        </w:rPr>
      </w:pPr>
      <w:r w:rsidRPr="0023078A">
        <w:rPr>
          <w:rStyle w:val="Hyperlink"/>
          <w:rFonts w:ascii="Times New Roman" w:hAnsi="Times New Roman"/>
          <w:b/>
          <w:bCs/>
          <w:color w:val="auto"/>
          <w:lang w:val="es-PE"/>
        </w:rPr>
        <w:t>12</w:t>
      </w:r>
      <w:r w:rsidR="002E47EB" w:rsidRPr="0023078A">
        <w:rPr>
          <w:rStyle w:val="Hyperlink"/>
          <w:rFonts w:ascii="Times New Roman" w:hAnsi="Times New Roman"/>
          <w:b/>
          <w:bCs/>
          <w:color w:val="auto"/>
          <w:lang w:val="es-PE"/>
        </w:rPr>
        <w:t>.1 Introducción</w:t>
      </w:r>
    </w:p>
    <w:p w:rsidR="002E47EB" w:rsidRPr="002E47EB" w:rsidRDefault="002E47EB" w:rsidP="000132BB">
      <w:pPr>
        <w:jc w:val="both"/>
        <w:rPr>
          <w:rFonts w:ascii="Times New Roman" w:hAnsi="Times New Roman" w:cs="Times New Roman"/>
          <w:color w:val="222222"/>
          <w:lang w:val="es-PE"/>
        </w:rPr>
      </w:pPr>
    </w:p>
    <w:p w:rsidR="00272C0A" w:rsidRP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El objetivo final de la Convención Marco de las Naciones Unidas sobre el Cambio Climático (CMNUCC) es lograr la estabilización de las concentraciones de gases de efecto invernadero en la atmósfera a un nivel que evite la interferencia antropogénica peligrosa con el sistema climático.</w:t>
      </w:r>
    </w:p>
    <w:p w:rsidR="00272C0A" w:rsidRP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 xml:space="preserve">En este contexto, el Protocolo de </w:t>
      </w:r>
      <w:proofErr w:type="spellStart"/>
      <w:r w:rsidRPr="000132BB">
        <w:rPr>
          <w:rFonts w:ascii="Times New Roman" w:hAnsi="Times New Roman" w:cs="Times New Roman"/>
          <w:color w:val="222222"/>
          <w:lang w:val="es-ES"/>
        </w:rPr>
        <w:t>Kyoto</w:t>
      </w:r>
      <w:proofErr w:type="spellEnd"/>
      <w:r w:rsidRPr="000132BB">
        <w:rPr>
          <w:rFonts w:ascii="Times New Roman" w:hAnsi="Times New Roman" w:cs="Times New Roman"/>
          <w:color w:val="222222"/>
          <w:lang w:val="es-ES"/>
        </w:rPr>
        <w:t xml:space="preserve">, aprobado por la Conferencia de las Partes en la CMNUCC en diciembre de 1997 y entró en vigor el 16 de febrero de 2005, pide a los países desarrollados (Partes del </w:t>
      </w:r>
      <w:r w:rsidR="000132BB">
        <w:rPr>
          <w:rFonts w:ascii="Times New Roman" w:hAnsi="Times New Roman" w:cs="Times New Roman"/>
          <w:color w:val="222222"/>
          <w:lang w:val="es-ES"/>
        </w:rPr>
        <w:t>A</w:t>
      </w:r>
      <w:r w:rsidRPr="000132BB">
        <w:rPr>
          <w:rFonts w:ascii="Times New Roman" w:hAnsi="Times New Roman" w:cs="Times New Roman"/>
          <w:color w:val="222222"/>
          <w:lang w:val="es-ES"/>
        </w:rPr>
        <w:t>nexo I) que limiten o reduzcan los gases de efecto invernadero</w:t>
      </w:r>
      <w:r w:rsidR="000132BB">
        <w:rPr>
          <w:rFonts w:ascii="Times New Roman" w:hAnsi="Times New Roman" w:cs="Times New Roman"/>
          <w:color w:val="222222"/>
          <w:lang w:val="es-ES"/>
        </w:rPr>
        <w:t xml:space="preserve"> provenientes del combustible utilizado por la </w:t>
      </w:r>
      <w:r w:rsidRPr="000132BB">
        <w:rPr>
          <w:rFonts w:ascii="Times New Roman" w:hAnsi="Times New Roman" w:cs="Times New Roman"/>
          <w:color w:val="222222"/>
          <w:lang w:val="es-ES"/>
        </w:rPr>
        <w:t xml:space="preserve">aviación internacional </w:t>
      </w:r>
      <w:r w:rsidR="000132BB">
        <w:rPr>
          <w:rFonts w:ascii="Times New Roman" w:hAnsi="Times New Roman" w:cs="Times New Roman"/>
          <w:color w:val="222222"/>
          <w:lang w:val="es-ES"/>
        </w:rPr>
        <w:t xml:space="preserve">y que los esfuerzos sean dirigidas a través </w:t>
      </w:r>
      <w:r w:rsidRPr="000132BB">
        <w:rPr>
          <w:rFonts w:ascii="Times New Roman" w:hAnsi="Times New Roman" w:cs="Times New Roman"/>
          <w:color w:val="222222"/>
          <w:lang w:val="es-ES"/>
        </w:rPr>
        <w:t>de la OACI (artículo 2.2).</w:t>
      </w:r>
    </w:p>
    <w:p w:rsidR="00272C0A" w:rsidRP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Sin embargo, es necesario reconocer el papel fundamental que desempeña la aviación internacional en el desarrollo económico y social mundial, y la necesidad de garantizar que la aviación internacional siga desarrollándose de manera sostenible; reconociendo los avances realizados por la OACI en la aplicación de la iniciativa de las Naciones Unidas sobre el Clima Neutral y el importante apoyo prestado por la OACI a la iniciativa, en particular mediante el desarrollo de una metodología común para calcular las emisiones de GEI procedentes de los viajes aéreos.</w:t>
      </w:r>
    </w:p>
    <w:p w:rsidR="00272C0A" w:rsidRP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La Asamblea 37</w:t>
      </w:r>
      <w:r w:rsidR="000132BB" w:rsidRPr="000132BB">
        <w:rPr>
          <w:rFonts w:ascii="Times New Roman" w:hAnsi="Times New Roman" w:cs="Times New Roman"/>
          <w:color w:val="222222"/>
          <w:lang w:val="es-ES"/>
        </w:rPr>
        <w:t xml:space="preserve"> de la OACI</w:t>
      </w:r>
      <w:r w:rsidRPr="000132BB">
        <w:rPr>
          <w:rFonts w:ascii="Times New Roman" w:hAnsi="Times New Roman" w:cs="Times New Roman"/>
          <w:color w:val="222222"/>
          <w:lang w:val="es-ES"/>
        </w:rPr>
        <w:t xml:space="preserve"> ha reconocido que </w:t>
      </w:r>
      <w:r w:rsidR="000132BB" w:rsidRPr="000132BB">
        <w:rPr>
          <w:rFonts w:ascii="Times New Roman" w:hAnsi="Times New Roman" w:cs="Times New Roman"/>
          <w:color w:val="222222"/>
          <w:lang w:val="es-ES"/>
        </w:rPr>
        <w:t xml:space="preserve">una </w:t>
      </w:r>
      <w:r w:rsidR="000132BB" w:rsidRPr="000132BB">
        <w:rPr>
          <w:rFonts w:ascii="Times New Roman" w:hAnsi="Times New Roman" w:cs="Times New Roman"/>
          <w:lang w:val="es-PE"/>
        </w:rPr>
        <w:t xml:space="preserve">mejora media anual mundial de 2% en el rendimiento de combustible hasta 2020 </w:t>
      </w:r>
      <w:r w:rsidRPr="000132BB">
        <w:rPr>
          <w:rFonts w:ascii="Times New Roman" w:hAnsi="Times New Roman" w:cs="Times New Roman"/>
          <w:color w:val="222222"/>
          <w:lang w:val="es-ES"/>
        </w:rPr>
        <w:t>no sería suficiente para estabilizar y luego reducir la contribución de las emisiones absolutas de la aviación al cambio climático y que los objetivos de mayor ambición deberían ser considerados para el desarrollo sostenible.</w:t>
      </w:r>
    </w:p>
    <w:p w:rsidR="00D22FCB" w:rsidRP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 xml:space="preserve">A fin de colaborar </w:t>
      </w:r>
      <w:r w:rsidR="000132BB">
        <w:rPr>
          <w:rFonts w:ascii="Times New Roman" w:hAnsi="Times New Roman" w:cs="Times New Roman"/>
          <w:color w:val="222222"/>
          <w:lang w:val="es-ES"/>
        </w:rPr>
        <w:t>en el logro de los objetivos marcados</w:t>
      </w:r>
      <w:r w:rsidRPr="000132BB">
        <w:rPr>
          <w:rFonts w:ascii="Times New Roman" w:hAnsi="Times New Roman" w:cs="Times New Roman"/>
          <w:color w:val="222222"/>
          <w:lang w:val="es-ES"/>
        </w:rPr>
        <w:t xml:space="preserve"> en materia de cambio climático, la 37ª Asamblea alienta a los Estados a presentar sus planes de acción de reducción de CO2, que son una herramienta voluntaria de planificación y presentación de informes </w:t>
      </w:r>
      <w:r w:rsidR="000132BB">
        <w:rPr>
          <w:rFonts w:ascii="Times New Roman" w:hAnsi="Times New Roman" w:cs="Times New Roman"/>
          <w:color w:val="222222"/>
          <w:lang w:val="es-ES"/>
        </w:rPr>
        <w:t>a</w:t>
      </w:r>
      <w:r w:rsidRPr="000132BB">
        <w:rPr>
          <w:rFonts w:ascii="Times New Roman" w:hAnsi="Times New Roman" w:cs="Times New Roman"/>
          <w:color w:val="222222"/>
          <w:lang w:val="es-ES"/>
        </w:rPr>
        <w:t xml:space="preserve"> la OACI. El nivel de detalle de la información contenida en un plan de acción permitirá en última instancia a la OACI recopilar los avances mundiales hacia el cumplimiento de las metas establecidas en la Resolución A37-19 de la Asamblea y reafirmadas por A38-18 y A39-2, describiendo sus políticas y acciones respectivas. Además, invitar a los Estados que decidan preparar sus planes de acción a presentarlos a la OACI lo antes posible, a fin de que la OACI pueda compilar la información en relación con el logro de los objetivos globales de aspiración y los planes de acción deberían incluir información sobre la serie de medidas consideradas por los Estados, que reflejen sus respectivas capacidades y circunstancias nacionales, e información sobre cualquier necesidad de asistencia específica.</w:t>
      </w:r>
    </w:p>
    <w:p w:rsidR="00272C0A" w:rsidRDefault="00272C0A" w:rsidP="000132BB">
      <w:pPr>
        <w:autoSpaceDE w:val="0"/>
        <w:autoSpaceDN w:val="0"/>
        <w:adjustRightInd w:val="0"/>
        <w:spacing w:after="0" w:line="240" w:lineRule="auto"/>
        <w:jc w:val="both"/>
        <w:rPr>
          <w:rFonts w:ascii="Times New Roman" w:hAnsi="Times New Roman" w:cs="Times New Roman"/>
          <w:color w:val="222222"/>
          <w:lang w:val="es-ES"/>
        </w:rPr>
      </w:pPr>
      <w:r w:rsidRPr="000132BB">
        <w:rPr>
          <w:rFonts w:ascii="Times New Roman" w:hAnsi="Times New Roman" w:cs="Times New Roman"/>
          <w:color w:val="222222"/>
          <w:lang w:val="es-ES"/>
        </w:rPr>
        <w:t xml:space="preserve">Según el </w:t>
      </w:r>
      <w:proofErr w:type="spellStart"/>
      <w:r w:rsidRPr="000132BB">
        <w:rPr>
          <w:rFonts w:ascii="Times New Roman" w:hAnsi="Times New Roman" w:cs="Times New Roman"/>
          <w:color w:val="222222"/>
          <w:lang w:val="es-ES"/>
        </w:rPr>
        <w:t>Doc</w:t>
      </w:r>
      <w:proofErr w:type="spellEnd"/>
      <w:r w:rsidR="000132BB" w:rsidRPr="000132BB">
        <w:rPr>
          <w:rFonts w:ascii="Times New Roman" w:hAnsi="Times New Roman" w:cs="Times New Roman"/>
          <w:color w:val="222222"/>
          <w:lang w:val="es-ES"/>
        </w:rPr>
        <w:t xml:space="preserve"> 9988 – </w:t>
      </w:r>
      <w:r w:rsidR="000132BB" w:rsidRPr="000132BB">
        <w:rPr>
          <w:rFonts w:ascii="Times New Roman" w:hAnsi="Times New Roman" w:cs="Times New Roman"/>
          <w:lang w:val="es-PE"/>
        </w:rPr>
        <w:t>Orientación sobre la elaboración de planes de acción de los Estados para actividades de reducción de las emisiones de CO2, l</w:t>
      </w:r>
      <w:r w:rsidRPr="000132BB">
        <w:rPr>
          <w:rFonts w:ascii="Times New Roman" w:hAnsi="Times New Roman" w:cs="Times New Roman"/>
          <w:color w:val="222222"/>
          <w:lang w:val="es-ES"/>
        </w:rPr>
        <w:t xml:space="preserve">a elaboración de un plan de acción se asemeja a la ejecución de cualquier proyecto, que puede implicar actividades tales como la obtención de recursos, el montaje de un equipo y la planificación y ejecución de diversas tareas. De </w:t>
      </w:r>
      <w:r w:rsidR="000132BB" w:rsidRPr="000132BB">
        <w:rPr>
          <w:rFonts w:ascii="Times New Roman" w:hAnsi="Times New Roman" w:cs="Times New Roman"/>
          <w:color w:val="222222"/>
          <w:lang w:val="es-ES"/>
        </w:rPr>
        <w:t>c</w:t>
      </w:r>
      <w:r w:rsidRPr="000132BB">
        <w:rPr>
          <w:rFonts w:ascii="Times New Roman" w:hAnsi="Times New Roman" w:cs="Times New Roman"/>
          <w:color w:val="222222"/>
          <w:lang w:val="es-ES"/>
        </w:rPr>
        <w:t>onformidad con las cláusulas 11 y 12 de la Resolución A38-18, un plan de acción puede ayudar al Estado y</w:t>
      </w:r>
      <w:r w:rsidR="002E47EB">
        <w:rPr>
          <w:rFonts w:ascii="Times New Roman" w:hAnsi="Times New Roman" w:cs="Times New Roman"/>
          <w:color w:val="222222"/>
          <w:lang w:val="es-ES"/>
        </w:rPr>
        <w:t xml:space="preserve"> </w:t>
      </w:r>
      <w:r w:rsidRPr="000132BB">
        <w:rPr>
          <w:rFonts w:ascii="Times New Roman" w:hAnsi="Times New Roman" w:cs="Times New Roman"/>
          <w:color w:val="222222"/>
          <w:lang w:val="es-ES"/>
        </w:rPr>
        <w:t>a la OACI en la forma indicada</w:t>
      </w:r>
      <w:r w:rsidR="002E47EB">
        <w:rPr>
          <w:rFonts w:ascii="Times New Roman" w:hAnsi="Times New Roman" w:cs="Times New Roman"/>
          <w:color w:val="222222"/>
          <w:lang w:val="es-ES"/>
        </w:rPr>
        <w:t>:</w:t>
      </w:r>
    </w:p>
    <w:p w:rsidR="002E47EB" w:rsidRDefault="002E47EB" w:rsidP="002E47EB">
      <w:pPr>
        <w:autoSpaceDE w:val="0"/>
        <w:autoSpaceDN w:val="0"/>
        <w:adjustRightInd w:val="0"/>
        <w:spacing w:after="0" w:line="240" w:lineRule="auto"/>
        <w:jc w:val="both"/>
        <w:rPr>
          <w:rFonts w:ascii="Times New Roman" w:hAnsi="Times New Roman" w:cs="Times New Roman"/>
          <w:lang w:val="es-PE"/>
        </w:rPr>
      </w:pPr>
      <w:r w:rsidRPr="00BD1591">
        <w:rPr>
          <w:rFonts w:ascii="Times New Roman" w:hAnsi="Times New Roman" w:cs="Times New Roman"/>
          <w:lang w:val="es-PE"/>
        </w:rPr>
        <w:t>De conformidad con los párrafos 11 y 12 de la Resolución A38-18, un plan de acción contribuye a que:</w:t>
      </w:r>
    </w:p>
    <w:p w:rsidR="002E47EB" w:rsidRPr="00BD1591" w:rsidRDefault="002E47EB" w:rsidP="002E47EB">
      <w:pPr>
        <w:autoSpaceDE w:val="0"/>
        <w:autoSpaceDN w:val="0"/>
        <w:adjustRightInd w:val="0"/>
        <w:spacing w:after="0" w:line="240" w:lineRule="auto"/>
        <w:jc w:val="both"/>
        <w:rPr>
          <w:rFonts w:ascii="Times New Roman" w:hAnsi="Times New Roman" w:cs="Times New Roman"/>
          <w:lang w:val="es-PE"/>
        </w:rPr>
      </w:pPr>
    </w:p>
    <w:p w:rsidR="002E47EB" w:rsidRDefault="002E47EB" w:rsidP="002E47EB">
      <w:pPr>
        <w:pStyle w:val="ListParagraph"/>
        <w:numPr>
          <w:ilvl w:val="0"/>
          <w:numId w:val="1"/>
        </w:numPr>
        <w:autoSpaceDE w:val="0"/>
        <w:autoSpaceDN w:val="0"/>
        <w:adjustRightInd w:val="0"/>
        <w:spacing w:after="0" w:line="240" w:lineRule="auto"/>
        <w:ind w:left="1418" w:hanging="709"/>
        <w:jc w:val="both"/>
        <w:rPr>
          <w:rFonts w:ascii="Times New Roman" w:hAnsi="Times New Roman" w:cs="Times New Roman"/>
          <w:lang w:val="es-PE"/>
        </w:rPr>
      </w:pPr>
      <w:r w:rsidRPr="00BD1591">
        <w:rPr>
          <w:rFonts w:ascii="Times New Roman" w:hAnsi="Times New Roman" w:cs="Times New Roman"/>
          <w:lang w:val="es-PE"/>
        </w:rPr>
        <w:t>los Estados:</w:t>
      </w:r>
    </w:p>
    <w:p w:rsidR="002E47EB" w:rsidRPr="00BD1591" w:rsidRDefault="002E47EB" w:rsidP="002E47EB">
      <w:pPr>
        <w:pStyle w:val="ListParagraph"/>
        <w:autoSpaceDE w:val="0"/>
        <w:autoSpaceDN w:val="0"/>
        <w:adjustRightInd w:val="0"/>
        <w:spacing w:after="0" w:line="240" w:lineRule="auto"/>
        <w:ind w:left="1418"/>
        <w:jc w:val="both"/>
        <w:rPr>
          <w:rFonts w:ascii="Times New Roman" w:hAnsi="Times New Roman" w:cs="Times New Roman"/>
          <w:lang w:val="es-PE"/>
        </w:rPr>
      </w:pP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lastRenderedPageBreak/>
        <w:t>presenten informes a la OACI sobre emisiones de CO2 procedentes de la aviación internacional;</w:t>
      </w: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describan sus respectivas políticas y acciones;</w:t>
      </w:r>
    </w:p>
    <w:p w:rsidR="002E47EB"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suministren información sobre el conjunto de medidas que han considerado, dando a conocer sus respectivas capacidades y circunstancias nacionales, así como sobre sus necesidades concretas en materia de asistencia; y</w:t>
      </w:r>
    </w:p>
    <w:p w:rsidR="002E47EB" w:rsidRPr="00BD1591" w:rsidRDefault="002E47EB" w:rsidP="002E47EB">
      <w:pPr>
        <w:pStyle w:val="ListParagraph"/>
        <w:autoSpaceDE w:val="0"/>
        <w:autoSpaceDN w:val="0"/>
        <w:adjustRightInd w:val="0"/>
        <w:spacing w:after="0" w:line="240" w:lineRule="auto"/>
        <w:ind w:left="1418"/>
        <w:jc w:val="both"/>
        <w:rPr>
          <w:rFonts w:ascii="Times New Roman" w:hAnsi="Times New Roman" w:cs="Times New Roman"/>
          <w:lang w:val="es-PE"/>
        </w:rPr>
      </w:pPr>
    </w:p>
    <w:p w:rsidR="002E47EB" w:rsidRDefault="002E47EB" w:rsidP="002E47EB">
      <w:pPr>
        <w:pStyle w:val="ListParagraph"/>
        <w:numPr>
          <w:ilvl w:val="0"/>
          <w:numId w:val="1"/>
        </w:numPr>
        <w:autoSpaceDE w:val="0"/>
        <w:autoSpaceDN w:val="0"/>
        <w:adjustRightInd w:val="0"/>
        <w:spacing w:after="0" w:line="240" w:lineRule="auto"/>
        <w:ind w:left="1418" w:hanging="709"/>
        <w:jc w:val="both"/>
        <w:rPr>
          <w:rFonts w:ascii="Times New Roman" w:hAnsi="Times New Roman" w:cs="Times New Roman"/>
          <w:lang w:val="es-PE"/>
        </w:rPr>
      </w:pPr>
      <w:r w:rsidRPr="00BD1591">
        <w:rPr>
          <w:rFonts w:ascii="Times New Roman" w:hAnsi="Times New Roman" w:cs="Times New Roman"/>
          <w:lang w:val="es-PE"/>
        </w:rPr>
        <w:t>la OACI:</w:t>
      </w:r>
    </w:p>
    <w:p w:rsidR="002E47EB" w:rsidRPr="00BD1591" w:rsidRDefault="002E47EB" w:rsidP="002E47EB">
      <w:pPr>
        <w:pStyle w:val="ListParagraph"/>
        <w:autoSpaceDE w:val="0"/>
        <w:autoSpaceDN w:val="0"/>
        <w:adjustRightInd w:val="0"/>
        <w:spacing w:after="0" w:line="240" w:lineRule="auto"/>
        <w:ind w:left="1418"/>
        <w:jc w:val="both"/>
        <w:rPr>
          <w:rFonts w:ascii="Times New Roman" w:hAnsi="Times New Roman" w:cs="Times New Roman"/>
          <w:lang w:val="es-PE"/>
        </w:rPr>
      </w:pP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compile la información relativa al logro de las metas mundiales a las que se aspira;</w:t>
      </w: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facilite la difusión de estudios económicos y técnicos y mejores prácticas en relación con las metas a las que se aspira;</w:t>
      </w: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proporcione orientación y otra asistencia técnica para que los Estados preparen sus planes de acción; y</w:t>
      </w:r>
    </w:p>
    <w:p w:rsidR="002E47EB" w:rsidRPr="00BD1591" w:rsidRDefault="002E47EB" w:rsidP="002E47EB">
      <w:pPr>
        <w:pStyle w:val="ListParagraph"/>
        <w:numPr>
          <w:ilvl w:val="1"/>
          <w:numId w:val="1"/>
        </w:numPr>
        <w:autoSpaceDE w:val="0"/>
        <w:autoSpaceDN w:val="0"/>
        <w:adjustRightInd w:val="0"/>
        <w:spacing w:after="0" w:line="240" w:lineRule="auto"/>
        <w:ind w:left="1418" w:hanging="425"/>
        <w:jc w:val="both"/>
        <w:rPr>
          <w:rFonts w:ascii="Times New Roman" w:hAnsi="Times New Roman" w:cs="Times New Roman"/>
          <w:lang w:val="es-PE"/>
        </w:rPr>
      </w:pPr>
      <w:r w:rsidRPr="00BD1591">
        <w:rPr>
          <w:rFonts w:ascii="Times New Roman" w:hAnsi="Times New Roman" w:cs="Times New Roman"/>
          <w:lang w:val="es-PE"/>
        </w:rPr>
        <w:t>identifique y atienda las necesidades de asistencia técnica y financiera de los Estados con miras a brindar una respuesta adecuada mediante la elaboración de un proceso y un mecanismo para la prestación de asistencia a los Estados.</w:t>
      </w:r>
    </w:p>
    <w:p w:rsidR="002E47EB" w:rsidRPr="002E47EB" w:rsidRDefault="002E47EB" w:rsidP="000132BB">
      <w:pPr>
        <w:autoSpaceDE w:val="0"/>
        <w:autoSpaceDN w:val="0"/>
        <w:adjustRightInd w:val="0"/>
        <w:spacing w:after="0" w:line="240" w:lineRule="auto"/>
        <w:jc w:val="both"/>
        <w:rPr>
          <w:rFonts w:ascii="Times New Roman" w:hAnsi="Times New Roman" w:cs="Times New Roman"/>
          <w:color w:val="222222"/>
          <w:lang w:val="es-PE"/>
        </w:rPr>
      </w:pPr>
    </w:p>
    <w:p w:rsidR="000132BB" w:rsidRDefault="00272C0A" w:rsidP="000132BB">
      <w:pPr>
        <w:jc w:val="both"/>
        <w:rPr>
          <w:rFonts w:ascii="Times New Roman" w:hAnsi="Times New Roman" w:cs="Times New Roman"/>
          <w:color w:val="222222"/>
          <w:lang w:val="es-ES"/>
        </w:rPr>
      </w:pPr>
      <w:r w:rsidRPr="000132BB">
        <w:rPr>
          <w:rFonts w:ascii="Times New Roman" w:hAnsi="Times New Roman" w:cs="Times New Roman"/>
          <w:color w:val="222222"/>
          <w:lang w:val="es-ES"/>
        </w:rPr>
        <w:t>Además, un plan de acción de un Estado puede facilitar la comunicación con las instituciones financieras y las organizaciones internacionales o multilaterales que podrían ayudar al Estado a superar las barreras identificadas mediante el suministro de recursos financieros, la transferencia de tecnología y la asistencia para la creación de capacidad.</w:t>
      </w:r>
    </w:p>
    <w:p w:rsidR="00272C0A" w:rsidRPr="000132BB" w:rsidRDefault="000132BB" w:rsidP="000132BB">
      <w:pPr>
        <w:jc w:val="both"/>
        <w:rPr>
          <w:rFonts w:ascii="Times New Roman" w:hAnsi="Times New Roman" w:cs="Times New Roman"/>
          <w:color w:val="222222"/>
          <w:lang w:val="es-ES"/>
        </w:rPr>
      </w:pPr>
      <w:r>
        <w:rPr>
          <w:rFonts w:ascii="Times New Roman" w:hAnsi="Times New Roman" w:cs="Times New Roman"/>
          <w:color w:val="222222"/>
          <w:lang w:val="es-ES"/>
        </w:rPr>
        <w:t>L</w:t>
      </w:r>
      <w:r w:rsidR="00272C0A" w:rsidRPr="000132BB">
        <w:rPr>
          <w:rFonts w:ascii="Times New Roman" w:hAnsi="Times New Roman" w:cs="Times New Roman"/>
          <w:color w:val="222222"/>
          <w:lang w:val="es-ES"/>
        </w:rPr>
        <w:t>a 38ª y la 39ª Asamblea de la OACI han instado a los Estados a presentar sus planes de acción de reducción de emisiones de CO2 y actualizarlos cada tres años.</w:t>
      </w:r>
    </w:p>
    <w:p w:rsidR="0023078A" w:rsidRDefault="0023078A" w:rsidP="00272C0A">
      <w:pPr>
        <w:jc w:val="both"/>
        <w:rPr>
          <w:rFonts w:ascii="Times New Roman" w:hAnsi="Times New Roman" w:cs="Times New Roman"/>
          <w:color w:val="222222"/>
          <w:lang w:val="es-ES"/>
        </w:rPr>
      </w:pPr>
    </w:p>
    <w:p w:rsidR="002E47EB" w:rsidRPr="0023078A" w:rsidRDefault="0023078A" w:rsidP="00272C0A">
      <w:pPr>
        <w:jc w:val="both"/>
        <w:rPr>
          <w:rFonts w:ascii="Times New Roman" w:hAnsi="Times New Roman" w:cs="Times New Roman"/>
          <w:b/>
          <w:i/>
          <w:lang w:val="es-ES"/>
        </w:rPr>
      </w:pPr>
      <w:r w:rsidRPr="0023078A">
        <w:rPr>
          <w:rFonts w:ascii="Times New Roman" w:hAnsi="Times New Roman" w:cs="Times New Roman"/>
          <w:b/>
          <w:color w:val="222222"/>
          <w:lang w:val="es-ES"/>
        </w:rPr>
        <w:t>12</w:t>
      </w:r>
      <w:r w:rsidR="002E47EB" w:rsidRPr="0023078A">
        <w:rPr>
          <w:rFonts w:ascii="Times New Roman" w:hAnsi="Times New Roman" w:cs="Times New Roman"/>
          <w:b/>
          <w:color w:val="222222"/>
          <w:lang w:val="es-ES"/>
        </w:rPr>
        <w:t>.2</w:t>
      </w:r>
      <w:r w:rsidR="002E47EB" w:rsidRPr="0023078A">
        <w:rPr>
          <w:rFonts w:ascii="Times New Roman" w:hAnsi="Times New Roman" w:cs="Times New Roman"/>
          <w:b/>
          <w:color w:val="222222"/>
          <w:lang w:val="es-ES"/>
        </w:rPr>
        <w:tab/>
      </w:r>
      <w:r w:rsidR="002E47EB" w:rsidRPr="0023078A">
        <w:rPr>
          <w:rStyle w:val="SubtleEmphasis"/>
          <w:rFonts w:ascii="Times New Roman" w:hAnsi="Times New Roman"/>
          <w:b/>
          <w:i w:val="0"/>
          <w:color w:val="auto"/>
          <w:lang w:val="es-PE"/>
        </w:rPr>
        <w:t>Análisis de la situación actual</w:t>
      </w:r>
    </w:p>
    <w:p w:rsidR="002E47EB" w:rsidRDefault="002E47EB" w:rsidP="00272C0A">
      <w:pPr>
        <w:jc w:val="both"/>
        <w:rPr>
          <w:rFonts w:ascii="Times New Roman" w:hAnsi="Times New Roman" w:cs="Times New Roman"/>
          <w:color w:val="222222"/>
          <w:lang w:val="es-ES"/>
        </w:rPr>
      </w:pPr>
      <w:r>
        <w:rPr>
          <w:rFonts w:ascii="Times New Roman" w:hAnsi="Times New Roman" w:cs="Times New Roman"/>
          <w:color w:val="222222"/>
          <w:lang w:val="es-ES"/>
        </w:rPr>
        <w:t>La protección al medio ambiente se puede analizar atendiendo a cuatro factores, las cuáles son:</w:t>
      </w:r>
    </w:p>
    <w:p w:rsidR="002E47EB" w:rsidRDefault="002E47EB" w:rsidP="002E47EB">
      <w:pPr>
        <w:pStyle w:val="ListParagraph"/>
        <w:numPr>
          <w:ilvl w:val="0"/>
          <w:numId w:val="3"/>
        </w:numPr>
        <w:jc w:val="both"/>
        <w:rPr>
          <w:rFonts w:ascii="Times New Roman" w:hAnsi="Times New Roman" w:cs="Times New Roman"/>
          <w:color w:val="222222"/>
          <w:lang w:val="es-ES"/>
        </w:rPr>
      </w:pPr>
      <w:r>
        <w:rPr>
          <w:rFonts w:ascii="Times New Roman" w:hAnsi="Times New Roman" w:cs="Times New Roman"/>
          <w:color w:val="222222"/>
          <w:lang w:val="es-ES"/>
        </w:rPr>
        <w:t>Atenuación de ruidos.</w:t>
      </w:r>
    </w:p>
    <w:p w:rsidR="002E47EB" w:rsidRDefault="002E47EB" w:rsidP="002E47EB">
      <w:pPr>
        <w:pStyle w:val="ListParagraph"/>
        <w:numPr>
          <w:ilvl w:val="0"/>
          <w:numId w:val="3"/>
        </w:numPr>
        <w:jc w:val="both"/>
        <w:rPr>
          <w:rFonts w:ascii="Times New Roman" w:hAnsi="Times New Roman" w:cs="Times New Roman"/>
          <w:color w:val="222222"/>
          <w:lang w:val="es-ES"/>
        </w:rPr>
      </w:pPr>
      <w:r>
        <w:rPr>
          <w:rFonts w:ascii="Times New Roman" w:hAnsi="Times New Roman" w:cs="Times New Roman"/>
          <w:color w:val="222222"/>
          <w:lang w:val="es-ES"/>
        </w:rPr>
        <w:t>Gestión de uso de los terrenos lindantes a los aeropuertos.</w:t>
      </w:r>
    </w:p>
    <w:p w:rsidR="002E47EB" w:rsidRDefault="002E47EB" w:rsidP="002E47EB">
      <w:pPr>
        <w:pStyle w:val="ListParagraph"/>
        <w:numPr>
          <w:ilvl w:val="0"/>
          <w:numId w:val="3"/>
        </w:numPr>
        <w:jc w:val="both"/>
        <w:rPr>
          <w:rFonts w:ascii="Times New Roman" w:hAnsi="Times New Roman" w:cs="Times New Roman"/>
          <w:color w:val="222222"/>
          <w:lang w:val="es-ES"/>
        </w:rPr>
      </w:pPr>
      <w:r>
        <w:rPr>
          <w:rFonts w:ascii="Times New Roman" w:hAnsi="Times New Roman" w:cs="Times New Roman"/>
          <w:color w:val="222222"/>
          <w:lang w:val="es-ES"/>
        </w:rPr>
        <w:t>Efectos de la aviación sobre la calidad del aire</w:t>
      </w:r>
      <w:r w:rsidR="00717C4A">
        <w:rPr>
          <w:rFonts w:ascii="Times New Roman" w:hAnsi="Times New Roman" w:cs="Times New Roman"/>
          <w:color w:val="222222"/>
          <w:lang w:val="es-ES"/>
        </w:rPr>
        <w:t xml:space="preserve"> local.</w:t>
      </w:r>
    </w:p>
    <w:p w:rsidR="00717C4A" w:rsidRPr="002E47EB" w:rsidRDefault="00717C4A" w:rsidP="002E47EB">
      <w:pPr>
        <w:pStyle w:val="ListParagraph"/>
        <w:numPr>
          <w:ilvl w:val="0"/>
          <w:numId w:val="3"/>
        </w:numPr>
        <w:jc w:val="both"/>
        <w:rPr>
          <w:rFonts w:ascii="Times New Roman" w:hAnsi="Times New Roman" w:cs="Times New Roman"/>
          <w:color w:val="222222"/>
          <w:lang w:val="es-ES"/>
        </w:rPr>
      </w:pPr>
      <w:r>
        <w:rPr>
          <w:rFonts w:ascii="Times New Roman" w:hAnsi="Times New Roman" w:cs="Times New Roman"/>
          <w:color w:val="222222"/>
          <w:lang w:val="es-ES"/>
        </w:rPr>
        <w:t>Compensación o reducción de emisiones de gases de efectos invernaderos proveniente de la aviación internacional.</w:t>
      </w:r>
    </w:p>
    <w:p w:rsidR="00272C0A" w:rsidRDefault="00717C4A" w:rsidP="00272C0A">
      <w:pPr>
        <w:jc w:val="both"/>
        <w:rPr>
          <w:rFonts w:ascii="Times New Roman" w:hAnsi="Times New Roman" w:cs="Times New Roman"/>
          <w:color w:val="222222"/>
          <w:lang w:val="es-ES"/>
        </w:rPr>
      </w:pPr>
      <w:r>
        <w:rPr>
          <w:rFonts w:ascii="Times New Roman" w:hAnsi="Times New Roman" w:cs="Times New Roman"/>
          <w:color w:val="222222"/>
          <w:lang w:val="es-ES"/>
        </w:rPr>
        <w:t xml:space="preserve">En este capítulo se trabajará con el último punto. Al respecto al mismo, la preparación del Plan de Acción de Reducción de emisión de CO2 es un paso previo fundamental para lograr el objetivo diseñado por la OACI para colaborar con la iniciativa de las Naciones Unidas de alcanzar un Clima Neutral. </w:t>
      </w:r>
      <w:r w:rsidR="00272C0A" w:rsidRPr="000132BB">
        <w:rPr>
          <w:rFonts w:ascii="Times New Roman" w:hAnsi="Times New Roman" w:cs="Times New Roman"/>
          <w:color w:val="222222"/>
          <w:lang w:val="es-ES"/>
        </w:rPr>
        <w:t xml:space="preserve">Con respecto </w:t>
      </w:r>
      <w:r>
        <w:rPr>
          <w:rFonts w:ascii="Times New Roman" w:hAnsi="Times New Roman" w:cs="Times New Roman"/>
          <w:color w:val="222222"/>
          <w:lang w:val="es-ES"/>
        </w:rPr>
        <w:t xml:space="preserve">a </w:t>
      </w:r>
      <w:r w:rsidR="00067255">
        <w:rPr>
          <w:rFonts w:ascii="Times New Roman" w:hAnsi="Times New Roman" w:cs="Times New Roman"/>
          <w:color w:val="222222"/>
          <w:lang w:val="es-ES"/>
        </w:rPr>
        <w:t>las presentaciones</w:t>
      </w:r>
      <w:r>
        <w:rPr>
          <w:rFonts w:ascii="Times New Roman" w:hAnsi="Times New Roman" w:cs="Times New Roman"/>
          <w:color w:val="222222"/>
          <w:lang w:val="es-ES"/>
        </w:rPr>
        <w:t xml:space="preserve"> de acción, en la Región SAM, </w:t>
      </w:r>
      <w:r w:rsidR="00272C0A" w:rsidRPr="000132BB">
        <w:rPr>
          <w:rFonts w:ascii="Times New Roman" w:hAnsi="Times New Roman" w:cs="Times New Roman"/>
          <w:color w:val="222222"/>
          <w:lang w:val="es-ES"/>
        </w:rPr>
        <w:t>según el sitio web de la OACI sobre medio ambiente, SAM la situación actual de la aplicación de esta recomendación es la siguiente</w:t>
      </w:r>
      <w:r>
        <w:rPr>
          <w:rFonts w:ascii="Times New Roman" w:hAnsi="Times New Roman" w:cs="Times New Roman"/>
          <w:color w:val="222222"/>
          <w:lang w:val="es-ES"/>
        </w:rPr>
        <w:t>:</w:t>
      </w:r>
    </w:p>
    <w:p w:rsidR="00717C4A" w:rsidRPr="00067255" w:rsidRDefault="00717C4A" w:rsidP="00717C4A">
      <w:pPr>
        <w:pStyle w:val="ListParagraph"/>
        <w:spacing w:line="240" w:lineRule="auto"/>
        <w:ind w:left="0" w:right="184"/>
        <w:jc w:val="both"/>
        <w:rPr>
          <w:rFonts w:ascii="Times New Roman" w:hAnsi="Times New Roman" w:cs="Times New Roman"/>
          <w:lang w:val="es-PE"/>
        </w:rPr>
      </w:pPr>
    </w:p>
    <w:tbl>
      <w:tblPr>
        <w:tblStyle w:val="TableGrid"/>
        <w:tblW w:w="0" w:type="auto"/>
        <w:jc w:val="center"/>
        <w:tblLook w:val="04A0" w:firstRow="1" w:lastRow="0" w:firstColumn="1" w:lastColumn="0" w:noHBand="0" w:noVBand="1"/>
      </w:tblPr>
      <w:tblGrid>
        <w:gridCol w:w="1809"/>
        <w:gridCol w:w="1418"/>
        <w:gridCol w:w="1843"/>
      </w:tblGrid>
      <w:tr w:rsidR="00717C4A" w:rsidRPr="00BD46B7" w:rsidTr="00717C4A">
        <w:trPr>
          <w:tblHeader/>
          <w:jc w:val="center"/>
        </w:trPr>
        <w:tc>
          <w:tcPr>
            <w:tcW w:w="1809" w:type="dxa"/>
          </w:tcPr>
          <w:p w:rsidR="00717C4A" w:rsidRPr="005F70B6" w:rsidRDefault="00717C4A" w:rsidP="00717C4A">
            <w:pPr>
              <w:autoSpaceDE w:val="0"/>
              <w:autoSpaceDN w:val="0"/>
              <w:adjustRightInd w:val="0"/>
              <w:jc w:val="center"/>
              <w:rPr>
                <w:rFonts w:ascii="Times New Roman" w:hAnsi="Times New Roman" w:cs="Times New Roman"/>
                <w:b/>
              </w:rPr>
            </w:pPr>
            <w:r>
              <w:rPr>
                <w:rFonts w:ascii="Times New Roman" w:hAnsi="Times New Roman" w:cs="Times New Roman"/>
                <w:b/>
              </w:rPr>
              <w:t>Estado</w:t>
            </w:r>
          </w:p>
        </w:tc>
        <w:tc>
          <w:tcPr>
            <w:tcW w:w="1418" w:type="dxa"/>
          </w:tcPr>
          <w:p w:rsidR="00717C4A" w:rsidRPr="005F70B6" w:rsidRDefault="00717C4A" w:rsidP="00717C4A">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Enviado</w:t>
            </w:r>
            <w:proofErr w:type="spellEnd"/>
          </w:p>
        </w:tc>
        <w:tc>
          <w:tcPr>
            <w:tcW w:w="1843" w:type="dxa"/>
          </w:tcPr>
          <w:p w:rsidR="00717C4A" w:rsidRPr="005F70B6" w:rsidRDefault="00717C4A" w:rsidP="00717C4A">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Fecha</w:t>
            </w:r>
            <w:proofErr w:type="spellEnd"/>
            <w:r>
              <w:rPr>
                <w:rFonts w:ascii="Times New Roman" w:hAnsi="Times New Roman" w:cs="Times New Roman"/>
                <w:b/>
              </w:rPr>
              <w:t xml:space="preserve"> de </w:t>
            </w:r>
            <w:proofErr w:type="spellStart"/>
            <w:r>
              <w:rPr>
                <w:rFonts w:ascii="Times New Roman" w:hAnsi="Times New Roman" w:cs="Times New Roman"/>
                <w:b/>
              </w:rPr>
              <w:t>actualización</w:t>
            </w:r>
            <w:proofErr w:type="spellEnd"/>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Argentina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Feb/2013</w:t>
            </w: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lastRenderedPageBreak/>
              <w:t>Brazil</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Set/2016</w:t>
            </w: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Bolivia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Chile</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Colombia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Aug/2012</w:t>
            </w: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Ecuador</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Oct/2016</w:t>
            </w: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French Guyana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Jun/2015</w:t>
            </w: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Guyana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Paraguay</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Panama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Peru</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Suriname</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Uruguay</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No</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p>
        </w:tc>
      </w:tr>
      <w:tr w:rsidR="00717C4A" w:rsidRPr="00BD46B7" w:rsidTr="00717C4A">
        <w:trPr>
          <w:tblHeader/>
          <w:jc w:val="center"/>
        </w:trPr>
        <w:tc>
          <w:tcPr>
            <w:tcW w:w="1809"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Venezuela</w:t>
            </w:r>
          </w:p>
        </w:tc>
        <w:tc>
          <w:tcPr>
            <w:tcW w:w="1418"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Yes</w:t>
            </w:r>
          </w:p>
        </w:tc>
        <w:tc>
          <w:tcPr>
            <w:tcW w:w="1843" w:type="dxa"/>
          </w:tcPr>
          <w:p w:rsidR="00717C4A" w:rsidRPr="00BD46B7" w:rsidRDefault="00717C4A" w:rsidP="00717C4A">
            <w:pPr>
              <w:autoSpaceDE w:val="0"/>
              <w:autoSpaceDN w:val="0"/>
              <w:adjustRightInd w:val="0"/>
              <w:jc w:val="both"/>
              <w:rPr>
                <w:rFonts w:ascii="Times New Roman" w:hAnsi="Times New Roman" w:cs="Times New Roman"/>
              </w:rPr>
            </w:pPr>
            <w:r w:rsidRPr="00BD46B7">
              <w:rPr>
                <w:rFonts w:ascii="Times New Roman" w:hAnsi="Times New Roman" w:cs="Times New Roman"/>
              </w:rPr>
              <w:t>Jun/2012</w:t>
            </w:r>
          </w:p>
        </w:tc>
      </w:tr>
    </w:tbl>
    <w:p w:rsidR="00717C4A" w:rsidRDefault="00717C4A" w:rsidP="00717C4A">
      <w:pPr>
        <w:spacing w:after="0" w:line="240" w:lineRule="auto"/>
        <w:ind w:right="187"/>
        <w:jc w:val="both"/>
        <w:rPr>
          <w:rFonts w:ascii="Times New Roman" w:hAnsi="Times New Roman" w:cs="Times New Roman"/>
        </w:rPr>
      </w:pPr>
    </w:p>
    <w:p w:rsidR="00717C4A" w:rsidRPr="00717C4A" w:rsidRDefault="00717C4A" w:rsidP="00717C4A">
      <w:pPr>
        <w:jc w:val="both"/>
        <w:rPr>
          <w:rStyle w:val="Hyperlink"/>
          <w:rFonts w:ascii="Times New Roman" w:hAnsi="Times New Roman"/>
          <w:lang w:val="es-PE"/>
        </w:rPr>
      </w:pPr>
      <w:r w:rsidRPr="00717C4A">
        <w:rPr>
          <w:rFonts w:ascii="Times New Roman" w:hAnsi="Times New Roman" w:cs="Times New Roman"/>
          <w:lang w:val="es-PE"/>
        </w:rPr>
        <w:t xml:space="preserve">Fuente: </w:t>
      </w:r>
      <w:hyperlink r:id="rId7" w:history="1">
        <w:r w:rsidRPr="00717C4A">
          <w:rPr>
            <w:rStyle w:val="Hyperlink"/>
            <w:rFonts w:ascii="Times New Roman" w:hAnsi="Times New Roman"/>
            <w:lang w:val="es-PE"/>
          </w:rPr>
          <w:t>http://www.icao.int/environmental-protection/Pages/ClimateChange_ActionPlan.aspx</w:t>
        </w:r>
      </w:hyperlink>
    </w:p>
    <w:p w:rsidR="00717C4A" w:rsidRDefault="00BF477C" w:rsidP="00717C4A">
      <w:pPr>
        <w:jc w:val="both"/>
        <w:rPr>
          <w:rFonts w:ascii="Times New Roman" w:hAnsi="Times New Roman" w:cs="Times New Roman"/>
          <w:color w:val="222222"/>
          <w:lang w:val="es-ES"/>
        </w:rPr>
      </w:pPr>
      <w:r w:rsidRPr="00BF477C">
        <w:rPr>
          <w:rFonts w:ascii="Times New Roman" w:hAnsi="Times New Roman" w:cs="Times New Roman"/>
          <w:color w:val="222222"/>
          <w:lang w:val="es-ES"/>
        </w:rPr>
        <w:t>La 39ª Asamblea de la OACI aprobó la Resolución 39-3, mediante la cual se implementará un esquema de compensación y reducción de carbono para la aviación internacional (CORSIA). La actividad clave incluyó en esta Resolución un Plan Global para implementar Medidas Basadas en el Mercado (MBM) con el fin de compensar las emisiones de CO2 de la aviación internacional. Este Plan incluye tres fases</w:t>
      </w:r>
      <w:r>
        <w:rPr>
          <w:rFonts w:ascii="Times New Roman" w:hAnsi="Times New Roman" w:cs="Times New Roman"/>
          <w:color w:val="222222"/>
          <w:lang w:val="es-ES"/>
        </w:rPr>
        <w:t>, las cuales son:</w:t>
      </w:r>
    </w:p>
    <w:p w:rsidR="00BF477C" w:rsidRDefault="00BF477C" w:rsidP="00BF477C">
      <w:pPr>
        <w:pStyle w:val="ListParagraph"/>
        <w:numPr>
          <w:ilvl w:val="0"/>
          <w:numId w:val="4"/>
        </w:numPr>
        <w:autoSpaceDE w:val="0"/>
        <w:autoSpaceDN w:val="0"/>
        <w:adjustRightInd w:val="0"/>
        <w:spacing w:after="0" w:line="240" w:lineRule="auto"/>
        <w:jc w:val="both"/>
        <w:rPr>
          <w:rFonts w:ascii="Times New Roman" w:hAnsi="Times New Roman" w:cs="Times New Roman"/>
          <w:lang w:val="es-PE"/>
        </w:rPr>
      </w:pPr>
      <w:r w:rsidRPr="0002175B">
        <w:rPr>
          <w:rFonts w:ascii="Times New Roman" w:hAnsi="Times New Roman" w:cs="Times New Roman"/>
          <w:b/>
          <w:lang w:val="es-PE"/>
        </w:rPr>
        <w:t>la fase piloto</w:t>
      </w:r>
      <w:r w:rsidRPr="0002175B">
        <w:rPr>
          <w:rFonts w:ascii="Times New Roman" w:hAnsi="Times New Roman" w:cs="Times New Roman"/>
          <w:lang w:val="es-PE"/>
        </w:rPr>
        <w:t xml:space="preserve"> se aplicará de 2021 a 2023 a los Estados que hayan optado por participar en el plan voluntariamente. Los Estados que participen en esta fase podrán elegir la base de cálculo para determinar los requisitos de compensación de sus explotadores de aeronaves entre las opciones indicadas en el párrafo 11 e), i) de la Resolución 39-3 de la OACI;</w:t>
      </w:r>
    </w:p>
    <w:p w:rsidR="00BF477C" w:rsidRDefault="00BF477C" w:rsidP="00BF477C">
      <w:pPr>
        <w:pStyle w:val="ListParagraph"/>
        <w:numPr>
          <w:ilvl w:val="0"/>
          <w:numId w:val="4"/>
        </w:numPr>
        <w:autoSpaceDE w:val="0"/>
        <w:autoSpaceDN w:val="0"/>
        <w:adjustRightInd w:val="0"/>
        <w:spacing w:after="0" w:line="240" w:lineRule="auto"/>
        <w:jc w:val="both"/>
        <w:rPr>
          <w:rFonts w:ascii="Times New Roman" w:hAnsi="Times New Roman" w:cs="Times New Roman"/>
          <w:lang w:val="es-PE"/>
        </w:rPr>
      </w:pPr>
      <w:r w:rsidRPr="0002175B">
        <w:rPr>
          <w:rFonts w:ascii="Times New Roman" w:hAnsi="Times New Roman" w:cs="Times New Roman"/>
          <w:b/>
          <w:lang w:val="es-PE"/>
        </w:rPr>
        <w:t>la primera fase</w:t>
      </w:r>
      <w:r w:rsidRPr="0002175B">
        <w:rPr>
          <w:rFonts w:ascii="Times New Roman" w:hAnsi="Times New Roman" w:cs="Times New Roman"/>
          <w:lang w:val="es-PE"/>
        </w:rPr>
        <w:t xml:space="preserve"> se aplicará de 2024 a 2026 a los Estados que hayan participado voluntariamente</w:t>
      </w:r>
      <w:r>
        <w:rPr>
          <w:rFonts w:ascii="Times New Roman" w:hAnsi="Times New Roman" w:cs="Times New Roman"/>
          <w:lang w:val="es-PE"/>
        </w:rPr>
        <w:t xml:space="preserve"> </w:t>
      </w:r>
      <w:r w:rsidRPr="0002175B">
        <w:rPr>
          <w:rFonts w:ascii="Times New Roman" w:hAnsi="Times New Roman" w:cs="Times New Roman"/>
          <w:lang w:val="es-PE"/>
        </w:rPr>
        <w:t xml:space="preserve">en la fase piloto, así como a cualquier otro Estado que desee participar voluntariamente en esta fase, y los requisitos de compensación se calcularán según se indica en el párrafo </w:t>
      </w:r>
      <w:r>
        <w:rPr>
          <w:rFonts w:ascii="Times New Roman" w:hAnsi="Times New Roman" w:cs="Times New Roman"/>
          <w:lang w:val="es-PE"/>
        </w:rPr>
        <w:t>anterior</w:t>
      </w:r>
      <w:r w:rsidRPr="0002175B">
        <w:rPr>
          <w:rFonts w:ascii="Times New Roman" w:hAnsi="Times New Roman" w:cs="Times New Roman"/>
          <w:lang w:val="es-PE"/>
        </w:rPr>
        <w:t>;</w:t>
      </w:r>
    </w:p>
    <w:p w:rsidR="00BF477C" w:rsidRDefault="00BF477C" w:rsidP="00BF477C">
      <w:pPr>
        <w:pStyle w:val="ListParagraph"/>
        <w:numPr>
          <w:ilvl w:val="0"/>
          <w:numId w:val="4"/>
        </w:numPr>
        <w:jc w:val="both"/>
        <w:rPr>
          <w:rFonts w:ascii="Times New Roman" w:hAnsi="Times New Roman" w:cs="Times New Roman"/>
          <w:lang w:val="es-PE"/>
        </w:rPr>
      </w:pPr>
      <w:r w:rsidRPr="00BF477C">
        <w:rPr>
          <w:rFonts w:ascii="Times New Roman" w:hAnsi="Times New Roman" w:cs="Times New Roman"/>
          <w:b/>
          <w:lang w:val="es-PE"/>
        </w:rPr>
        <w:t>la segunda fase</w:t>
      </w:r>
      <w:r w:rsidRPr="00BF477C">
        <w:rPr>
          <w:rFonts w:ascii="Times New Roman" w:hAnsi="Times New Roman" w:cs="Times New Roman"/>
          <w:lang w:val="es-PE"/>
        </w:rPr>
        <w:t xml:space="preserve"> se aplicará de 2027 a 2035 a todos los Estados que tengan individualmente una participación relativa en las actividad de la aviación civil internacional, medida en RTK, superior al 0,5% de las RTK totales, o cuya participación acumulada en la lista de Estados ordenados de mayor a menor cantidad de RTK alcance el 90% del total de RTK, excepto los países menos adelantados (PMA), los pequeños Estados insulares en desarrollo (PEID) y los países en desarrollo sin litoral (PDSL), a menos que deseen participar voluntariamente en esta</w:t>
      </w:r>
      <w:r>
        <w:rPr>
          <w:rFonts w:ascii="Times New Roman" w:hAnsi="Times New Roman" w:cs="Times New Roman"/>
          <w:lang w:val="es-PE"/>
        </w:rPr>
        <w:t>.</w:t>
      </w:r>
    </w:p>
    <w:p w:rsidR="00BF477C" w:rsidRDefault="00BF477C" w:rsidP="00BF477C">
      <w:pPr>
        <w:jc w:val="both"/>
        <w:rPr>
          <w:rStyle w:val="Emphasis"/>
          <w:rFonts w:ascii="Times New Roman" w:hAnsi="Times New Roman" w:cs="Times New Roman"/>
          <w:i w:val="0"/>
          <w:color w:val="000000" w:themeColor="text1"/>
          <w:lang w:val="es-PE"/>
        </w:rPr>
      </w:pPr>
      <w:r>
        <w:rPr>
          <w:rFonts w:ascii="Times New Roman" w:hAnsi="Times New Roman" w:cs="Times New Roman"/>
          <w:lang w:val="es-PE"/>
        </w:rPr>
        <w:t xml:space="preserve">Atendiendo a la solicitud de la OACI, mediante la carta </w:t>
      </w:r>
      <w:r w:rsidRPr="00BF477C">
        <w:rPr>
          <w:rStyle w:val="Emphasis"/>
          <w:rFonts w:ascii="Times New Roman" w:hAnsi="Times New Roman" w:cs="Times New Roman"/>
          <w:color w:val="000000" w:themeColor="text1"/>
          <w:lang w:val="es-PE"/>
        </w:rPr>
        <w:t>(SL) ENV 6/1-16/87</w:t>
      </w:r>
      <w:r>
        <w:rPr>
          <w:rStyle w:val="Emphasis"/>
          <w:rFonts w:ascii="Times New Roman" w:hAnsi="Times New Roman" w:cs="Times New Roman"/>
          <w:color w:val="000000" w:themeColor="text1"/>
          <w:lang w:val="es-PE"/>
        </w:rPr>
        <w:t xml:space="preserve"> </w:t>
      </w:r>
      <w:r w:rsidRPr="009B23A0">
        <w:rPr>
          <w:rStyle w:val="Emphasis"/>
          <w:rFonts w:ascii="Times New Roman" w:hAnsi="Times New Roman" w:cs="Times New Roman"/>
          <w:i w:val="0"/>
          <w:color w:val="000000" w:themeColor="text1"/>
          <w:lang w:val="es-PE"/>
        </w:rPr>
        <w:t>enviada por la OACI mediante la cual solicita la adhesión al CORSIA, a la fecha, ningún Estado de la Región SAM ha manifestado adherirse a la misma en ninguna de las fases.</w:t>
      </w:r>
    </w:p>
    <w:p w:rsidR="00562A88" w:rsidRDefault="0023078A" w:rsidP="00BF477C">
      <w:pPr>
        <w:jc w:val="both"/>
        <w:rPr>
          <w:rStyle w:val="Emphasis"/>
          <w:rFonts w:ascii="Times New Roman" w:hAnsi="Times New Roman" w:cs="Times New Roman"/>
          <w:i w:val="0"/>
          <w:color w:val="000000" w:themeColor="text1"/>
          <w:lang w:val="es-PE"/>
        </w:rPr>
      </w:pPr>
      <w:r w:rsidRPr="0023078A">
        <w:rPr>
          <w:rStyle w:val="Emphasis"/>
          <w:rFonts w:ascii="Times New Roman" w:hAnsi="Times New Roman" w:cs="Times New Roman"/>
          <w:b/>
          <w:i w:val="0"/>
          <w:color w:val="000000" w:themeColor="text1"/>
          <w:lang w:val="es-PE"/>
        </w:rPr>
        <w:t>12</w:t>
      </w:r>
      <w:r w:rsidR="00562A88" w:rsidRPr="0023078A">
        <w:rPr>
          <w:rStyle w:val="Emphasis"/>
          <w:rFonts w:ascii="Times New Roman" w:hAnsi="Times New Roman" w:cs="Times New Roman"/>
          <w:b/>
          <w:i w:val="0"/>
          <w:color w:val="000000" w:themeColor="text1"/>
          <w:lang w:val="es-PE"/>
        </w:rPr>
        <w:t>.3</w:t>
      </w:r>
      <w:r w:rsidR="00562A88" w:rsidRPr="00562A88">
        <w:rPr>
          <w:rStyle w:val="Emphasis"/>
          <w:rFonts w:ascii="Times New Roman" w:hAnsi="Times New Roman" w:cs="Times New Roman"/>
          <w:b/>
          <w:i w:val="0"/>
          <w:color w:val="000000" w:themeColor="text1"/>
          <w:lang w:val="es-PE"/>
        </w:rPr>
        <w:t xml:space="preserve"> Estrategia de implantación de los objetivos de rendimientos.</w:t>
      </w:r>
    </w:p>
    <w:p w:rsidR="00562A88" w:rsidRDefault="00562A88" w:rsidP="00BF477C">
      <w:pPr>
        <w:jc w:val="both"/>
        <w:rPr>
          <w:rStyle w:val="Emphasis"/>
          <w:rFonts w:ascii="Times New Roman" w:hAnsi="Times New Roman" w:cs="Times New Roman"/>
          <w:i w:val="0"/>
          <w:color w:val="000000" w:themeColor="text1"/>
          <w:lang w:val="es-PE"/>
        </w:rPr>
      </w:pPr>
      <w:r>
        <w:rPr>
          <w:rStyle w:val="Emphasis"/>
          <w:rFonts w:ascii="Times New Roman" w:hAnsi="Times New Roman" w:cs="Times New Roman"/>
          <w:i w:val="0"/>
          <w:color w:val="000000" w:themeColor="text1"/>
          <w:lang w:val="es-PE"/>
        </w:rPr>
        <w:t xml:space="preserve">La Secretaría trabajara con los Estados para elaborar un plan que logre la preparación, actualización y el envío de los Planes de Acción de reducción de CO2. Los Estados deberán realizar esfuerzo internamente para lograr un trabajo multilateral entre la comunidad aeronáutica (autoridad, proveedores de servicios, operadores) y con otras instituciones gubernamentales envuelta en las áreas de Medio Ambiente, Cambio Climático, Transporte, Gestión de Energía y Combustibles fósiles, así como áreas de Planificación </w:t>
      </w:r>
      <w:r>
        <w:rPr>
          <w:rStyle w:val="Emphasis"/>
          <w:rFonts w:ascii="Times New Roman" w:hAnsi="Times New Roman" w:cs="Times New Roman"/>
          <w:i w:val="0"/>
          <w:color w:val="000000" w:themeColor="text1"/>
          <w:lang w:val="es-PE"/>
        </w:rPr>
        <w:lastRenderedPageBreak/>
        <w:t>Estratégica con la finalidad de que los Planes de Acción de la aviación se encuentren alineadas a la política del Estado en relación a la mitigación de los efectos de los GEI.</w:t>
      </w:r>
    </w:p>
    <w:p w:rsidR="00562A88" w:rsidRDefault="00562A88" w:rsidP="00BF477C">
      <w:pPr>
        <w:jc w:val="both"/>
        <w:rPr>
          <w:rStyle w:val="Emphasis"/>
          <w:rFonts w:ascii="Times New Roman" w:hAnsi="Times New Roman" w:cs="Times New Roman"/>
          <w:i w:val="0"/>
          <w:color w:val="000000" w:themeColor="text1"/>
          <w:lang w:val="es-PE"/>
        </w:rPr>
      </w:pPr>
      <w:r>
        <w:rPr>
          <w:rStyle w:val="Emphasis"/>
          <w:rFonts w:ascii="Times New Roman" w:hAnsi="Times New Roman" w:cs="Times New Roman"/>
          <w:i w:val="0"/>
          <w:color w:val="000000" w:themeColor="text1"/>
          <w:lang w:val="es-PE"/>
        </w:rPr>
        <w:t>Trabajar en forma conjunta con el Estado para la implantación de los MRV será un paso muy importante para la implantación del CORSIA. La Secretaría deberá coordinar con los Estados la socialización de las Medidas Basadas en el Mercado para su mejor comprensión.</w:t>
      </w:r>
    </w:p>
    <w:p w:rsidR="00562A88" w:rsidRDefault="0023078A" w:rsidP="00BF477C">
      <w:pPr>
        <w:jc w:val="both"/>
        <w:rPr>
          <w:rStyle w:val="Emphasis"/>
          <w:rFonts w:ascii="Times New Roman" w:hAnsi="Times New Roman" w:cs="Times New Roman"/>
          <w:b/>
          <w:i w:val="0"/>
          <w:color w:val="000000" w:themeColor="text1"/>
          <w:lang w:val="es-PE"/>
        </w:rPr>
      </w:pPr>
      <w:r>
        <w:rPr>
          <w:rStyle w:val="Emphasis"/>
          <w:rFonts w:ascii="Times New Roman" w:hAnsi="Times New Roman" w:cs="Times New Roman"/>
          <w:b/>
          <w:i w:val="0"/>
          <w:color w:val="000000" w:themeColor="text1"/>
          <w:lang w:val="es-PE"/>
        </w:rPr>
        <w:t>12</w:t>
      </w:r>
      <w:r w:rsidR="00562A88" w:rsidRPr="00562A88">
        <w:rPr>
          <w:rStyle w:val="Emphasis"/>
          <w:rFonts w:ascii="Times New Roman" w:hAnsi="Times New Roman" w:cs="Times New Roman"/>
          <w:b/>
          <w:i w:val="0"/>
          <w:color w:val="000000" w:themeColor="text1"/>
          <w:lang w:val="es-PE"/>
        </w:rPr>
        <w:t>.4 Alineación con los ASBU</w:t>
      </w:r>
    </w:p>
    <w:p w:rsidR="00562A88" w:rsidRDefault="0039595A" w:rsidP="00BF477C">
      <w:pPr>
        <w:jc w:val="both"/>
        <w:rPr>
          <w:rFonts w:ascii="Times New Roman" w:hAnsi="Times New Roman" w:cs="Times New Roman"/>
          <w:i/>
          <w:lang w:val="es-PE"/>
        </w:rPr>
      </w:pPr>
      <w:r w:rsidRPr="00CF1651">
        <w:rPr>
          <w:rFonts w:ascii="Times New Roman" w:hAnsi="Times New Roman"/>
          <w:bCs/>
          <w:lang w:val="es-PE"/>
        </w:rPr>
        <w:t xml:space="preserve">El desarrollo de </w:t>
      </w:r>
      <w:r>
        <w:rPr>
          <w:rFonts w:ascii="Times New Roman" w:hAnsi="Times New Roman"/>
          <w:bCs/>
          <w:lang w:val="es-PE"/>
        </w:rPr>
        <w:t>Protección al Medio Ambiente está estrechamente relacionado con los módulos de aeródromo y gestión de tránsito aéreo, debido a que las mejoras operacionales y mejoras en capacidad de aeródromo y gestión de plataforma incide directamente en el consumo de los combustibles.</w:t>
      </w:r>
      <w:r w:rsidRPr="00CF1651">
        <w:rPr>
          <w:rFonts w:ascii="Times New Roman" w:hAnsi="Times New Roman"/>
          <w:lang w:val="es-PE"/>
        </w:rPr>
        <w:t xml:space="preserve"> Por lo tanto, </w:t>
      </w:r>
      <w:r w:rsidR="00F476EB" w:rsidRPr="00CF1651">
        <w:rPr>
          <w:rFonts w:ascii="Times New Roman" w:hAnsi="Times New Roman"/>
          <w:lang w:val="es-PE"/>
        </w:rPr>
        <w:t xml:space="preserve">los </w:t>
      </w:r>
      <w:r w:rsidR="00F476EB">
        <w:rPr>
          <w:rFonts w:ascii="Times New Roman" w:hAnsi="Times New Roman"/>
          <w:lang w:val="es-PE"/>
        </w:rPr>
        <w:t>módulos B0-</w:t>
      </w:r>
      <w:r w:rsidR="004F753A">
        <w:rPr>
          <w:rFonts w:ascii="Times New Roman" w:hAnsi="Times New Roman"/>
          <w:lang w:val="es-PE"/>
        </w:rPr>
        <w:t>RSEQ</w:t>
      </w:r>
      <w:r w:rsidR="00F476EB">
        <w:rPr>
          <w:rFonts w:ascii="Times New Roman" w:hAnsi="Times New Roman"/>
          <w:lang w:val="es-PE"/>
        </w:rPr>
        <w:t xml:space="preserve">, B0-APTA, </w:t>
      </w:r>
      <w:r w:rsidR="004F753A">
        <w:rPr>
          <w:rFonts w:ascii="Times New Roman" w:hAnsi="Times New Roman"/>
          <w:lang w:val="es-PE"/>
        </w:rPr>
        <w:t xml:space="preserve">B0-ACDM, B0-FICE, B0-FRTO, B0.NOPS, </w:t>
      </w:r>
      <w:r w:rsidR="00F476EB">
        <w:rPr>
          <w:rFonts w:ascii="Times New Roman" w:hAnsi="Times New Roman"/>
          <w:lang w:val="es-PE"/>
        </w:rPr>
        <w:t>B0-CCO</w:t>
      </w:r>
      <w:r w:rsidR="002C42A5">
        <w:rPr>
          <w:rFonts w:ascii="Times New Roman" w:hAnsi="Times New Roman"/>
          <w:lang w:val="es-PE"/>
        </w:rPr>
        <w:t xml:space="preserve"> y</w:t>
      </w:r>
      <w:r w:rsidR="00F476EB">
        <w:rPr>
          <w:rFonts w:ascii="Times New Roman" w:hAnsi="Times New Roman"/>
          <w:lang w:val="es-PE"/>
        </w:rPr>
        <w:t xml:space="preserve"> B0-CDO,  </w:t>
      </w:r>
      <w:r w:rsidR="004F753A">
        <w:rPr>
          <w:rFonts w:ascii="Times New Roman" w:hAnsi="Times New Roman"/>
          <w:lang w:val="es-PE"/>
        </w:rPr>
        <w:t>del Bloque 0, y los módulos B1-RSEQ,</w:t>
      </w:r>
      <w:r w:rsidR="004858D9">
        <w:rPr>
          <w:rFonts w:ascii="Times New Roman" w:hAnsi="Times New Roman"/>
          <w:lang w:val="es-PE"/>
        </w:rPr>
        <w:t xml:space="preserve"> </w:t>
      </w:r>
      <w:r w:rsidR="00F476EB">
        <w:rPr>
          <w:rFonts w:ascii="Times New Roman" w:hAnsi="Times New Roman"/>
          <w:lang w:val="es-PE"/>
        </w:rPr>
        <w:t xml:space="preserve">B1-AMET, </w:t>
      </w:r>
      <w:r w:rsidR="004858D9">
        <w:rPr>
          <w:rFonts w:ascii="Times New Roman" w:hAnsi="Times New Roman"/>
          <w:lang w:val="es-PE"/>
        </w:rPr>
        <w:t>B1- NOPS</w:t>
      </w:r>
      <w:r w:rsidR="002C42A5">
        <w:rPr>
          <w:rFonts w:ascii="Times New Roman" w:hAnsi="Times New Roman"/>
          <w:lang w:val="es-PE"/>
        </w:rPr>
        <w:t xml:space="preserve"> y</w:t>
      </w:r>
      <w:r w:rsidR="004858D9" w:rsidRPr="00CF1651">
        <w:rPr>
          <w:rFonts w:ascii="Times New Roman" w:hAnsi="Times New Roman"/>
          <w:lang w:val="es-PE"/>
        </w:rPr>
        <w:t xml:space="preserve"> </w:t>
      </w:r>
      <w:r w:rsidR="00F476EB">
        <w:rPr>
          <w:rFonts w:ascii="Times New Roman" w:hAnsi="Times New Roman"/>
          <w:lang w:val="es-PE"/>
        </w:rPr>
        <w:t>B1-CDO</w:t>
      </w:r>
      <w:bookmarkStart w:id="0" w:name="_GoBack"/>
      <w:bookmarkEnd w:id="0"/>
      <w:r w:rsidR="003C7C35">
        <w:rPr>
          <w:rFonts w:ascii="Times New Roman" w:hAnsi="Times New Roman"/>
          <w:lang w:val="es-PE"/>
        </w:rPr>
        <w:t xml:space="preserve"> </w:t>
      </w:r>
      <w:r w:rsidR="00F476EB">
        <w:rPr>
          <w:rFonts w:ascii="Times New Roman" w:hAnsi="Times New Roman"/>
          <w:lang w:val="es-PE"/>
        </w:rPr>
        <w:t xml:space="preserve">colaboran al </w:t>
      </w:r>
      <w:r w:rsidRPr="00CF1651">
        <w:rPr>
          <w:rFonts w:ascii="Times New Roman" w:hAnsi="Times New Roman"/>
          <w:lang w:val="es-PE"/>
        </w:rPr>
        <w:t xml:space="preserve"> </w:t>
      </w:r>
      <w:r>
        <w:rPr>
          <w:rFonts w:ascii="Times New Roman" w:hAnsi="Times New Roman"/>
          <w:lang w:val="es-PE"/>
        </w:rPr>
        <w:t>PFF</w:t>
      </w:r>
      <w:r w:rsidRPr="00CF1651">
        <w:rPr>
          <w:rFonts w:ascii="Times New Roman" w:hAnsi="Times New Roman"/>
          <w:lang w:val="es-PE"/>
        </w:rPr>
        <w:t xml:space="preserve"> SAM </w:t>
      </w:r>
      <w:r>
        <w:rPr>
          <w:rFonts w:ascii="Times New Roman" w:hAnsi="Times New Roman"/>
          <w:lang w:val="es-PE"/>
        </w:rPr>
        <w:t>ENV</w:t>
      </w:r>
      <w:r w:rsidRPr="00CF1651">
        <w:rPr>
          <w:rFonts w:ascii="Times New Roman" w:hAnsi="Times New Roman"/>
          <w:lang w:val="es-PE"/>
        </w:rPr>
        <w:t>/01</w:t>
      </w:r>
      <w:r w:rsidR="00FA6413">
        <w:rPr>
          <w:rFonts w:ascii="Times New Roman" w:hAnsi="Times New Roman"/>
          <w:lang w:val="es-PE"/>
        </w:rPr>
        <w:t>.</w:t>
      </w:r>
      <w:r w:rsidR="00FA6413" w:rsidRPr="009B23A0">
        <w:rPr>
          <w:rFonts w:ascii="Times New Roman" w:hAnsi="Times New Roman" w:cs="Times New Roman"/>
          <w:i/>
          <w:lang w:val="es-PE"/>
        </w:rPr>
        <w:t xml:space="preserve"> </w:t>
      </w:r>
    </w:p>
    <w:p w:rsidR="004F753A" w:rsidRDefault="004F753A" w:rsidP="00BF477C">
      <w:pPr>
        <w:jc w:val="both"/>
        <w:rPr>
          <w:rFonts w:ascii="Times New Roman" w:hAnsi="Times New Roman" w:cs="Times New Roman"/>
          <w:i/>
          <w:lang w:val="es-PE"/>
        </w:rPr>
      </w:pPr>
    </w:p>
    <w:p w:rsidR="004F753A" w:rsidRPr="009B23A0" w:rsidRDefault="004F753A" w:rsidP="00BF477C">
      <w:pPr>
        <w:jc w:val="both"/>
        <w:rPr>
          <w:rFonts w:ascii="Times New Roman" w:hAnsi="Times New Roman" w:cs="Times New Roman"/>
          <w:i/>
          <w:lang w:val="es-PE"/>
        </w:rPr>
      </w:pPr>
    </w:p>
    <w:sectPr w:rsidR="004F753A" w:rsidRPr="009B23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B6C13"/>
    <w:multiLevelType w:val="hybridMultilevel"/>
    <w:tmpl w:val="66D0A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1719B2"/>
    <w:multiLevelType w:val="multilevel"/>
    <w:tmpl w:val="39A86C22"/>
    <w:lvl w:ilvl="0">
      <w:start w:val="10"/>
      <w:numFmt w:val="decimal"/>
      <w:lvlText w:val="%1."/>
      <w:lvlJc w:val="left"/>
      <w:pPr>
        <w:tabs>
          <w:tab w:val="num" w:pos="1440"/>
        </w:tabs>
        <w:ind w:left="1440" w:hanging="1440"/>
      </w:pPr>
      <w:rPr>
        <w:rFonts w:ascii="Times New Roman" w:hAnsi="Times New Roman" w:cs="Times New Roman" w:hint="default"/>
        <w:b w:val="0"/>
        <w:i w:val="0"/>
        <w:sz w:val="22"/>
      </w:rPr>
    </w:lvl>
    <w:lvl w:ilvl="1">
      <w:start w:val="1"/>
      <w:numFmt w:val="decimal"/>
      <w:lvlText w:val="%1.%2"/>
      <w:lvlJc w:val="left"/>
      <w:pPr>
        <w:tabs>
          <w:tab w:val="num" w:pos="2160"/>
        </w:tabs>
      </w:pPr>
      <w:rPr>
        <w:rFonts w:ascii="Times New Roman" w:hAnsi="Times New Roman" w:cs="Times New Roman" w:hint="default"/>
        <w:b w:val="0"/>
        <w:i w:val="0"/>
        <w:sz w:val="22"/>
      </w:rPr>
    </w:lvl>
    <w:lvl w:ilvl="2">
      <w:start w:val="1"/>
      <w:numFmt w:val="decimal"/>
      <w:lvlText w:val="%1.%2.%3"/>
      <w:lvlJc w:val="left"/>
      <w:pPr>
        <w:tabs>
          <w:tab w:val="num" w:pos="2160"/>
        </w:tabs>
      </w:pPr>
      <w:rPr>
        <w:rFonts w:ascii="Times New Roman" w:hAnsi="Times New Roman" w:cs="Times New Roman" w:hint="default"/>
        <w:b w:val="0"/>
        <w:i w:val="0"/>
        <w:sz w:val="22"/>
      </w:rPr>
    </w:lvl>
    <w:lvl w:ilvl="3">
      <w:start w:val="1"/>
      <w:numFmt w:val="decimal"/>
      <w:lvlText w:val="%1.%2.%3.%4"/>
      <w:lvlJc w:val="left"/>
      <w:pPr>
        <w:tabs>
          <w:tab w:val="num" w:pos="2160"/>
        </w:tabs>
      </w:pPr>
      <w:rPr>
        <w:rFonts w:cs="Times New Roman" w:hint="default"/>
        <w:b w:val="0"/>
        <w:i w:val="0"/>
        <w:sz w:val="22"/>
      </w:rPr>
    </w:lvl>
    <w:lvl w:ilvl="4">
      <w:start w:val="1"/>
      <w:numFmt w:val="lowerLetter"/>
      <w:lvlText w:val="%5)"/>
      <w:lvlJc w:val="left"/>
      <w:pPr>
        <w:tabs>
          <w:tab w:val="num" w:pos="1800"/>
        </w:tabs>
        <w:ind w:left="1800" w:hanging="360"/>
      </w:pPr>
      <w:rPr>
        <w:rFonts w:cs="Times New Roman" w:hint="default"/>
        <w:b w:val="0"/>
        <w:i w:val="0"/>
        <w:color w:val="auto"/>
        <w:sz w:val="22"/>
      </w:rPr>
    </w:lvl>
    <w:lvl w:ilvl="5">
      <w:start w:val="1"/>
      <w:numFmt w:val="none"/>
      <w:lvlText w:val="-"/>
      <w:lvlJc w:val="left"/>
      <w:pPr>
        <w:tabs>
          <w:tab w:val="num" w:pos="2160"/>
        </w:tabs>
        <w:ind w:left="2160" w:hanging="360"/>
      </w:pPr>
      <w:rPr>
        <w:rFonts w:cs="Times New Roman" w:hint="default"/>
        <w:b w:val="0"/>
        <w:i w:val="0"/>
        <w:color w:val="auto"/>
        <w:sz w:val="22"/>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722703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642D98"/>
    <w:multiLevelType w:val="hybridMultilevel"/>
    <w:tmpl w:val="5D74C75A"/>
    <w:lvl w:ilvl="0" w:tplc="19D2FB90">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0A"/>
    <w:rsid w:val="000132BB"/>
    <w:rsid w:val="00067255"/>
    <w:rsid w:val="0023078A"/>
    <w:rsid w:val="00272C0A"/>
    <w:rsid w:val="002C42A5"/>
    <w:rsid w:val="002E47EB"/>
    <w:rsid w:val="0039595A"/>
    <w:rsid w:val="003C7C35"/>
    <w:rsid w:val="004858D9"/>
    <w:rsid w:val="004F753A"/>
    <w:rsid w:val="00562A88"/>
    <w:rsid w:val="00627FB6"/>
    <w:rsid w:val="00717C4A"/>
    <w:rsid w:val="009B23A0"/>
    <w:rsid w:val="00AC3848"/>
    <w:rsid w:val="00BF477C"/>
    <w:rsid w:val="00D22FCB"/>
    <w:rsid w:val="00F476EB"/>
    <w:rsid w:val="00FA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EB"/>
    <w:pPr>
      <w:ind w:left="720"/>
      <w:contextualSpacing/>
    </w:pPr>
  </w:style>
  <w:style w:type="character" w:styleId="Hyperlink">
    <w:name w:val="Hyperlink"/>
    <w:basedOn w:val="DefaultParagraphFont"/>
    <w:uiPriority w:val="99"/>
    <w:rsid w:val="002E47EB"/>
    <w:rPr>
      <w:rFonts w:cs="Times New Roman"/>
      <w:color w:val="0000FF"/>
      <w:u w:val="single"/>
    </w:rPr>
  </w:style>
  <w:style w:type="character" w:styleId="SubtleEmphasis">
    <w:name w:val="Subtle Emphasis"/>
    <w:basedOn w:val="DefaultParagraphFont"/>
    <w:uiPriority w:val="99"/>
    <w:qFormat/>
    <w:rsid w:val="002E47EB"/>
    <w:rPr>
      <w:rFonts w:cs="Times New Roman"/>
      <w:i/>
      <w:iCs/>
      <w:color w:val="808080"/>
    </w:rPr>
  </w:style>
  <w:style w:type="table" w:styleId="TableGrid">
    <w:name w:val="Table Grid"/>
    <w:basedOn w:val="TableNormal"/>
    <w:uiPriority w:val="59"/>
    <w:rsid w:val="0071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47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EB"/>
    <w:pPr>
      <w:ind w:left="720"/>
      <w:contextualSpacing/>
    </w:pPr>
  </w:style>
  <w:style w:type="character" w:styleId="Hyperlink">
    <w:name w:val="Hyperlink"/>
    <w:basedOn w:val="DefaultParagraphFont"/>
    <w:uiPriority w:val="99"/>
    <w:rsid w:val="002E47EB"/>
    <w:rPr>
      <w:rFonts w:cs="Times New Roman"/>
      <w:color w:val="0000FF"/>
      <w:u w:val="single"/>
    </w:rPr>
  </w:style>
  <w:style w:type="character" w:styleId="SubtleEmphasis">
    <w:name w:val="Subtle Emphasis"/>
    <w:basedOn w:val="DefaultParagraphFont"/>
    <w:uiPriority w:val="99"/>
    <w:qFormat/>
    <w:rsid w:val="002E47EB"/>
    <w:rPr>
      <w:rFonts w:cs="Times New Roman"/>
      <w:i/>
      <w:iCs/>
      <w:color w:val="808080"/>
    </w:rPr>
  </w:style>
  <w:style w:type="table" w:styleId="TableGrid">
    <w:name w:val="Table Grid"/>
    <w:basedOn w:val="TableNormal"/>
    <w:uiPriority w:val="59"/>
    <w:rsid w:val="0071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4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4809">
      <w:bodyDiv w:val="1"/>
      <w:marLeft w:val="0"/>
      <w:marRight w:val="0"/>
      <w:marTop w:val="0"/>
      <w:marBottom w:val="0"/>
      <w:divBdr>
        <w:top w:val="none" w:sz="0" w:space="0" w:color="auto"/>
        <w:left w:val="none" w:sz="0" w:space="0" w:color="auto"/>
        <w:bottom w:val="none" w:sz="0" w:space="0" w:color="auto"/>
        <w:right w:val="none" w:sz="0" w:space="0" w:color="auto"/>
      </w:divBdr>
      <w:divsChild>
        <w:div w:id="1693650353">
          <w:marLeft w:val="0"/>
          <w:marRight w:val="0"/>
          <w:marTop w:val="0"/>
          <w:marBottom w:val="0"/>
          <w:divBdr>
            <w:top w:val="none" w:sz="0" w:space="0" w:color="auto"/>
            <w:left w:val="none" w:sz="0" w:space="0" w:color="auto"/>
            <w:bottom w:val="none" w:sz="0" w:space="0" w:color="auto"/>
            <w:right w:val="none" w:sz="0" w:space="0" w:color="auto"/>
          </w:divBdr>
          <w:divsChild>
            <w:div w:id="1978335561">
              <w:marLeft w:val="0"/>
              <w:marRight w:val="0"/>
              <w:marTop w:val="0"/>
              <w:marBottom w:val="0"/>
              <w:divBdr>
                <w:top w:val="none" w:sz="0" w:space="0" w:color="auto"/>
                <w:left w:val="none" w:sz="0" w:space="0" w:color="auto"/>
                <w:bottom w:val="none" w:sz="0" w:space="0" w:color="auto"/>
                <w:right w:val="none" w:sz="0" w:space="0" w:color="auto"/>
              </w:divBdr>
              <w:divsChild>
                <w:div w:id="1360157979">
                  <w:marLeft w:val="0"/>
                  <w:marRight w:val="0"/>
                  <w:marTop w:val="0"/>
                  <w:marBottom w:val="0"/>
                  <w:divBdr>
                    <w:top w:val="none" w:sz="0" w:space="0" w:color="auto"/>
                    <w:left w:val="none" w:sz="0" w:space="0" w:color="auto"/>
                    <w:bottom w:val="none" w:sz="0" w:space="0" w:color="auto"/>
                    <w:right w:val="none" w:sz="0" w:space="0" w:color="auto"/>
                  </w:divBdr>
                  <w:divsChild>
                    <w:div w:id="858158387">
                      <w:marLeft w:val="0"/>
                      <w:marRight w:val="0"/>
                      <w:marTop w:val="0"/>
                      <w:marBottom w:val="0"/>
                      <w:divBdr>
                        <w:top w:val="none" w:sz="0" w:space="0" w:color="auto"/>
                        <w:left w:val="none" w:sz="0" w:space="0" w:color="auto"/>
                        <w:bottom w:val="none" w:sz="0" w:space="0" w:color="auto"/>
                        <w:right w:val="none" w:sz="0" w:space="0" w:color="auto"/>
                      </w:divBdr>
                      <w:divsChild>
                        <w:div w:id="1920820112">
                          <w:marLeft w:val="0"/>
                          <w:marRight w:val="0"/>
                          <w:marTop w:val="0"/>
                          <w:marBottom w:val="0"/>
                          <w:divBdr>
                            <w:top w:val="none" w:sz="0" w:space="0" w:color="auto"/>
                            <w:left w:val="none" w:sz="0" w:space="0" w:color="auto"/>
                            <w:bottom w:val="none" w:sz="0" w:space="0" w:color="auto"/>
                            <w:right w:val="none" w:sz="0" w:space="0" w:color="auto"/>
                          </w:divBdr>
                          <w:divsChild>
                            <w:div w:id="1002779257">
                              <w:marLeft w:val="0"/>
                              <w:marRight w:val="0"/>
                              <w:marTop w:val="0"/>
                              <w:marBottom w:val="0"/>
                              <w:divBdr>
                                <w:top w:val="none" w:sz="0" w:space="0" w:color="auto"/>
                                <w:left w:val="none" w:sz="0" w:space="0" w:color="auto"/>
                                <w:bottom w:val="none" w:sz="0" w:space="0" w:color="auto"/>
                                <w:right w:val="none" w:sz="0" w:space="0" w:color="auto"/>
                              </w:divBdr>
                              <w:divsChild>
                                <w:div w:id="1768497936">
                                  <w:marLeft w:val="0"/>
                                  <w:marRight w:val="0"/>
                                  <w:marTop w:val="0"/>
                                  <w:marBottom w:val="0"/>
                                  <w:divBdr>
                                    <w:top w:val="none" w:sz="0" w:space="0" w:color="auto"/>
                                    <w:left w:val="none" w:sz="0" w:space="0" w:color="auto"/>
                                    <w:bottom w:val="none" w:sz="0" w:space="0" w:color="auto"/>
                                    <w:right w:val="none" w:sz="0" w:space="0" w:color="auto"/>
                                  </w:divBdr>
                                  <w:divsChild>
                                    <w:div w:id="354234444">
                                      <w:marLeft w:val="60"/>
                                      <w:marRight w:val="0"/>
                                      <w:marTop w:val="0"/>
                                      <w:marBottom w:val="0"/>
                                      <w:divBdr>
                                        <w:top w:val="none" w:sz="0" w:space="0" w:color="auto"/>
                                        <w:left w:val="none" w:sz="0" w:space="0" w:color="auto"/>
                                        <w:bottom w:val="none" w:sz="0" w:space="0" w:color="auto"/>
                                        <w:right w:val="none" w:sz="0" w:space="0" w:color="auto"/>
                                      </w:divBdr>
                                      <w:divsChild>
                                        <w:div w:id="556860533">
                                          <w:marLeft w:val="0"/>
                                          <w:marRight w:val="0"/>
                                          <w:marTop w:val="0"/>
                                          <w:marBottom w:val="0"/>
                                          <w:divBdr>
                                            <w:top w:val="none" w:sz="0" w:space="0" w:color="auto"/>
                                            <w:left w:val="none" w:sz="0" w:space="0" w:color="auto"/>
                                            <w:bottom w:val="none" w:sz="0" w:space="0" w:color="auto"/>
                                            <w:right w:val="none" w:sz="0" w:space="0" w:color="auto"/>
                                          </w:divBdr>
                                          <w:divsChild>
                                            <w:div w:id="1591427161">
                                              <w:marLeft w:val="0"/>
                                              <w:marRight w:val="0"/>
                                              <w:marTop w:val="0"/>
                                              <w:marBottom w:val="120"/>
                                              <w:divBdr>
                                                <w:top w:val="single" w:sz="6" w:space="0" w:color="F5F5F5"/>
                                                <w:left w:val="single" w:sz="6" w:space="0" w:color="F5F5F5"/>
                                                <w:bottom w:val="single" w:sz="6" w:space="0" w:color="F5F5F5"/>
                                                <w:right w:val="single" w:sz="6" w:space="0" w:color="F5F5F5"/>
                                              </w:divBdr>
                                              <w:divsChild>
                                                <w:div w:id="401677455">
                                                  <w:marLeft w:val="0"/>
                                                  <w:marRight w:val="0"/>
                                                  <w:marTop w:val="0"/>
                                                  <w:marBottom w:val="0"/>
                                                  <w:divBdr>
                                                    <w:top w:val="none" w:sz="0" w:space="0" w:color="auto"/>
                                                    <w:left w:val="none" w:sz="0" w:space="0" w:color="auto"/>
                                                    <w:bottom w:val="none" w:sz="0" w:space="0" w:color="auto"/>
                                                    <w:right w:val="none" w:sz="0" w:space="0" w:color="auto"/>
                                                  </w:divBdr>
                                                  <w:divsChild>
                                                    <w:div w:id="2079939237">
                                                      <w:marLeft w:val="0"/>
                                                      <w:marRight w:val="0"/>
                                                      <w:marTop w:val="0"/>
                                                      <w:marBottom w:val="0"/>
                                                      <w:divBdr>
                                                        <w:top w:val="none" w:sz="0" w:space="0" w:color="auto"/>
                                                        <w:left w:val="none" w:sz="0" w:space="0" w:color="auto"/>
                                                        <w:bottom w:val="none" w:sz="0" w:space="0" w:color="auto"/>
                                                        <w:right w:val="none" w:sz="0" w:space="0" w:color="auto"/>
                                                      </w:divBdr>
                                                    </w:div>
                                                  </w:divsChild>
                                                </w:div>
                                                <w:div w:id="446698066">
                                                  <w:marLeft w:val="0"/>
                                                  <w:marRight w:val="0"/>
                                                  <w:marTop w:val="0"/>
                                                  <w:marBottom w:val="0"/>
                                                  <w:divBdr>
                                                    <w:top w:val="none" w:sz="0" w:space="0" w:color="auto"/>
                                                    <w:left w:val="none" w:sz="0" w:space="0" w:color="auto"/>
                                                    <w:bottom w:val="none" w:sz="0" w:space="0" w:color="auto"/>
                                                    <w:right w:val="none" w:sz="0" w:space="0" w:color="auto"/>
                                                  </w:divBdr>
                                                  <w:divsChild>
                                                    <w:div w:id="9639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282348">
      <w:bodyDiv w:val="1"/>
      <w:marLeft w:val="0"/>
      <w:marRight w:val="0"/>
      <w:marTop w:val="0"/>
      <w:marBottom w:val="0"/>
      <w:divBdr>
        <w:top w:val="none" w:sz="0" w:space="0" w:color="auto"/>
        <w:left w:val="none" w:sz="0" w:space="0" w:color="auto"/>
        <w:bottom w:val="none" w:sz="0" w:space="0" w:color="auto"/>
        <w:right w:val="none" w:sz="0" w:space="0" w:color="auto"/>
      </w:divBdr>
      <w:divsChild>
        <w:div w:id="1585644727">
          <w:marLeft w:val="0"/>
          <w:marRight w:val="0"/>
          <w:marTop w:val="0"/>
          <w:marBottom w:val="0"/>
          <w:divBdr>
            <w:top w:val="none" w:sz="0" w:space="0" w:color="auto"/>
            <w:left w:val="none" w:sz="0" w:space="0" w:color="auto"/>
            <w:bottom w:val="none" w:sz="0" w:space="0" w:color="auto"/>
            <w:right w:val="none" w:sz="0" w:space="0" w:color="auto"/>
          </w:divBdr>
          <w:divsChild>
            <w:div w:id="620723048">
              <w:marLeft w:val="0"/>
              <w:marRight w:val="0"/>
              <w:marTop w:val="0"/>
              <w:marBottom w:val="0"/>
              <w:divBdr>
                <w:top w:val="none" w:sz="0" w:space="0" w:color="auto"/>
                <w:left w:val="none" w:sz="0" w:space="0" w:color="auto"/>
                <w:bottom w:val="none" w:sz="0" w:space="0" w:color="auto"/>
                <w:right w:val="none" w:sz="0" w:space="0" w:color="auto"/>
              </w:divBdr>
              <w:divsChild>
                <w:div w:id="133916867">
                  <w:marLeft w:val="0"/>
                  <w:marRight w:val="0"/>
                  <w:marTop w:val="0"/>
                  <w:marBottom w:val="0"/>
                  <w:divBdr>
                    <w:top w:val="none" w:sz="0" w:space="0" w:color="auto"/>
                    <w:left w:val="none" w:sz="0" w:space="0" w:color="auto"/>
                    <w:bottom w:val="none" w:sz="0" w:space="0" w:color="auto"/>
                    <w:right w:val="none" w:sz="0" w:space="0" w:color="auto"/>
                  </w:divBdr>
                  <w:divsChild>
                    <w:div w:id="1349480986">
                      <w:marLeft w:val="0"/>
                      <w:marRight w:val="0"/>
                      <w:marTop w:val="0"/>
                      <w:marBottom w:val="0"/>
                      <w:divBdr>
                        <w:top w:val="none" w:sz="0" w:space="0" w:color="auto"/>
                        <w:left w:val="none" w:sz="0" w:space="0" w:color="auto"/>
                        <w:bottom w:val="none" w:sz="0" w:space="0" w:color="auto"/>
                        <w:right w:val="none" w:sz="0" w:space="0" w:color="auto"/>
                      </w:divBdr>
                      <w:divsChild>
                        <w:div w:id="1594362869">
                          <w:marLeft w:val="0"/>
                          <w:marRight w:val="0"/>
                          <w:marTop w:val="0"/>
                          <w:marBottom w:val="0"/>
                          <w:divBdr>
                            <w:top w:val="none" w:sz="0" w:space="0" w:color="auto"/>
                            <w:left w:val="none" w:sz="0" w:space="0" w:color="auto"/>
                            <w:bottom w:val="none" w:sz="0" w:space="0" w:color="auto"/>
                            <w:right w:val="none" w:sz="0" w:space="0" w:color="auto"/>
                          </w:divBdr>
                          <w:divsChild>
                            <w:div w:id="230584954">
                              <w:marLeft w:val="0"/>
                              <w:marRight w:val="0"/>
                              <w:marTop w:val="0"/>
                              <w:marBottom w:val="0"/>
                              <w:divBdr>
                                <w:top w:val="none" w:sz="0" w:space="0" w:color="auto"/>
                                <w:left w:val="none" w:sz="0" w:space="0" w:color="auto"/>
                                <w:bottom w:val="none" w:sz="0" w:space="0" w:color="auto"/>
                                <w:right w:val="none" w:sz="0" w:space="0" w:color="auto"/>
                              </w:divBdr>
                              <w:divsChild>
                                <w:div w:id="979119337">
                                  <w:marLeft w:val="0"/>
                                  <w:marRight w:val="0"/>
                                  <w:marTop w:val="0"/>
                                  <w:marBottom w:val="0"/>
                                  <w:divBdr>
                                    <w:top w:val="none" w:sz="0" w:space="0" w:color="auto"/>
                                    <w:left w:val="none" w:sz="0" w:space="0" w:color="auto"/>
                                    <w:bottom w:val="none" w:sz="0" w:space="0" w:color="auto"/>
                                    <w:right w:val="none" w:sz="0" w:space="0" w:color="auto"/>
                                  </w:divBdr>
                                  <w:divsChild>
                                    <w:div w:id="370228800">
                                      <w:marLeft w:val="60"/>
                                      <w:marRight w:val="0"/>
                                      <w:marTop w:val="0"/>
                                      <w:marBottom w:val="0"/>
                                      <w:divBdr>
                                        <w:top w:val="none" w:sz="0" w:space="0" w:color="auto"/>
                                        <w:left w:val="none" w:sz="0" w:space="0" w:color="auto"/>
                                        <w:bottom w:val="none" w:sz="0" w:space="0" w:color="auto"/>
                                        <w:right w:val="none" w:sz="0" w:space="0" w:color="auto"/>
                                      </w:divBdr>
                                      <w:divsChild>
                                        <w:div w:id="2003120709">
                                          <w:marLeft w:val="0"/>
                                          <w:marRight w:val="0"/>
                                          <w:marTop w:val="0"/>
                                          <w:marBottom w:val="0"/>
                                          <w:divBdr>
                                            <w:top w:val="none" w:sz="0" w:space="0" w:color="auto"/>
                                            <w:left w:val="none" w:sz="0" w:space="0" w:color="auto"/>
                                            <w:bottom w:val="none" w:sz="0" w:space="0" w:color="auto"/>
                                            <w:right w:val="none" w:sz="0" w:space="0" w:color="auto"/>
                                          </w:divBdr>
                                          <w:divsChild>
                                            <w:div w:id="144207392">
                                              <w:marLeft w:val="0"/>
                                              <w:marRight w:val="0"/>
                                              <w:marTop w:val="0"/>
                                              <w:marBottom w:val="120"/>
                                              <w:divBdr>
                                                <w:top w:val="single" w:sz="6" w:space="0" w:color="F5F5F5"/>
                                                <w:left w:val="single" w:sz="6" w:space="0" w:color="F5F5F5"/>
                                                <w:bottom w:val="single" w:sz="6" w:space="0" w:color="F5F5F5"/>
                                                <w:right w:val="single" w:sz="6" w:space="0" w:color="F5F5F5"/>
                                              </w:divBdr>
                                              <w:divsChild>
                                                <w:div w:id="597179351">
                                                  <w:marLeft w:val="0"/>
                                                  <w:marRight w:val="0"/>
                                                  <w:marTop w:val="0"/>
                                                  <w:marBottom w:val="0"/>
                                                  <w:divBdr>
                                                    <w:top w:val="none" w:sz="0" w:space="0" w:color="auto"/>
                                                    <w:left w:val="none" w:sz="0" w:space="0" w:color="auto"/>
                                                    <w:bottom w:val="none" w:sz="0" w:space="0" w:color="auto"/>
                                                    <w:right w:val="none" w:sz="0" w:space="0" w:color="auto"/>
                                                  </w:divBdr>
                                                  <w:divsChild>
                                                    <w:div w:id="855656667">
                                                      <w:marLeft w:val="0"/>
                                                      <w:marRight w:val="0"/>
                                                      <w:marTop w:val="0"/>
                                                      <w:marBottom w:val="0"/>
                                                      <w:divBdr>
                                                        <w:top w:val="none" w:sz="0" w:space="0" w:color="auto"/>
                                                        <w:left w:val="none" w:sz="0" w:space="0" w:color="auto"/>
                                                        <w:bottom w:val="none" w:sz="0" w:space="0" w:color="auto"/>
                                                        <w:right w:val="none" w:sz="0" w:space="0" w:color="auto"/>
                                                      </w:divBdr>
                                                    </w:div>
                                                  </w:divsChild>
                                                </w:div>
                                                <w:div w:id="408814466">
                                                  <w:marLeft w:val="0"/>
                                                  <w:marRight w:val="0"/>
                                                  <w:marTop w:val="0"/>
                                                  <w:marBottom w:val="0"/>
                                                  <w:divBdr>
                                                    <w:top w:val="none" w:sz="0" w:space="0" w:color="auto"/>
                                                    <w:left w:val="none" w:sz="0" w:space="0" w:color="auto"/>
                                                    <w:bottom w:val="none" w:sz="0" w:space="0" w:color="auto"/>
                                                    <w:right w:val="none" w:sz="0" w:space="0" w:color="auto"/>
                                                  </w:divBdr>
                                                  <w:divsChild>
                                                    <w:div w:id="9583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0.20.3.149/environmental-protection/Pages/ClimateChange_ActionPlan.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am-fs1/meetings$/2013/Documents%20and%20Settings/sgarcia/Local%20Settings/Temporary%20Internet%20Files/Content.Outlook/GI8UTH1F/CAP10.doc"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12 Env</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905C48B5-F236-4AF3-A235-39831AA329CC}"/>
</file>

<file path=customXml/itemProps2.xml><?xml version="1.0" encoding="utf-8"?>
<ds:datastoreItem xmlns:ds="http://schemas.openxmlformats.org/officeDocument/2006/customXml" ds:itemID="{38B67FF7-2282-46E1-BD02-703073ADDF6C}"/>
</file>

<file path=customXml/itemProps3.xml><?xml version="1.0" encoding="utf-8"?>
<ds:datastoreItem xmlns:ds="http://schemas.openxmlformats.org/officeDocument/2006/customXml" ds:itemID="{C3637D17-B594-44BC-B6B2-D0750EA1373C}"/>
</file>

<file path=docProps/app.xml><?xml version="1.0" encoding="utf-8"?>
<Properties xmlns="http://schemas.openxmlformats.org/officeDocument/2006/extended-properties" xmlns:vt="http://schemas.openxmlformats.org/officeDocument/2006/docPropsVTypes">
  <Template>Normal.dotm</Template>
  <TotalTime>257</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Armoa, Jorge</dc:creator>
  <cp:lastModifiedBy>Armoa, Jorge</cp:lastModifiedBy>
  <cp:revision>9</cp:revision>
  <dcterms:created xsi:type="dcterms:W3CDTF">2017-08-07T16:40:00Z</dcterms:created>
  <dcterms:modified xsi:type="dcterms:W3CDTF">2017-08-14T13:37:00Z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