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E79C" w14:textId="77777777" w:rsidR="00D9052D" w:rsidRDefault="00D9052D" w:rsidP="00D9052D">
      <w:pPr>
        <w:jc w:val="center"/>
        <w:rPr>
          <w:b/>
        </w:rPr>
      </w:pPr>
      <w:r>
        <w:rPr>
          <w:b/>
        </w:rPr>
        <w:t>FREQUENCY SPECTRUM MANAGEMENT PANEL (FSMP)</w:t>
      </w:r>
    </w:p>
    <w:p w14:paraId="3C8D0CA3" w14:textId="77777777" w:rsidR="00D9052D" w:rsidRDefault="00D9052D" w:rsidP="00D9052D">
      <w:pPr>
        <w:tabs>
          <w:tab w:val="left" w:pos="6972"/>
        </w:tabs>
        <w:jc w:val="center"/>
        <w:rPr>
          <w:b/>
        </w:rPr>
      </w:pPr>
    </w:p>
    <w:p w14:paraId="0A2A8F34" w14:textId="77777777" w:rsidR="00AD5B55" w:rsidRPr="00AD5B55" w:rsidRDefault="00AD5B55" w:rsidP="00AD5B55">
      <w:pPr>
        <w:pStyle w:val="Maintitle"/>
        <w:rPr>
          <w:rFonts w:eastAsia="SimSun"/>
          <w:snapToGrid/>
          <w:szCs w:val="24"/>
        </w:rPr>
      </w:pPr>
      <w:r w:rsidRPr="00AD5B55">
        <w:rPr>
          <w:rFonts w:eastAsia="SimSun"/>
          <w:snapToGrid/>
          <w:szCs w:val="24"/>
        </w:rPr>
        <w:t xml:space="preserve">Twentieth Working Group Meeting </w:t>
      </w:r>
    </w:p>
    <w:p w14:paraId="1DC46408" w14:textId="77777777" w:rsidR="00AD5B55" w:rsidRPr="00AD5B55" w:rsidRDefault="00AD5B55" w:rsidP="00AD5B55">
      <w:pPr>
        <w:pStyle w:val="Maintitle"/>
        <w:rPr>
          <w:rFonts w:eastAsia="SimSun"/>
          <w:snapToGrid/>
          <w:szCs w:val="24"/>
        </w:rPr>
      </w:pPr>
    </w:p>
    <w:p w14:paraId="123E4BD8" w14:textId="77777777" w:rsidR="009C4637" w:rsidRDefault="00AD5B55" w:rsidP="00AD5B55">
      <w:pPr>
        <w:pStyle w:val="Maintitle"/>
      </w:pPr>
      <w:r w:rsidRPr="00AD5B55">
        <w:rPr>
          <w:rFonts w:eastAsia="SimSun"/>
          <w:snapToGrid/>
          <w:szCs w:val="24"/>
        </w:rPr>
        <w:t xml:space="preserve">Bangkok, Thailand, </w:t>
      </w:r>
      <w:r w:rsidR="00831B14">
        <w:rPr>
          <w:rFonts w:eastAsia="SimSun"/>
          <w:snapToGrid/>
          <w:szCs w:val="24"/>
        </w:rPr>
        <w:t>26</w:t>
      </w:r>
      <w:r w:rsidR="00831B14" w:rsidRPr="00831B14">
        <w:rPr>
          <w:rFonts w:eastAsia="SimSun"/>
          <w:snapToGrid/>
          <w:szCs w:val="24"/>
          <w:vertAlign w:val="superscript"/>
        </w:rPr>
        <w:t>th</w:t>
      </w:r>
      <w:r w:rsidR="00831B14">
        <w:rPr>
          <w:rFonts w:eastAsia="SimSun"/>
          <w:snapToGrid/>
          <w:szCs w:val="24"/>
        </w:rPr>
        <w:t xml:space="preserve"> </w:t>
      </w:r>
      <w:r w:rsidRPr="00AD5B55">
        <w:rPr>
          <w:rFonts w:eastAsia="SimSun"/>
          <w:snapToGrid/>
          <w:szCs w:val="24"/>
        </w:rPr>
        <w:t>February</w:t>
      </w:r>
      <w:r w:rsidR="00831B14">
        <w:rPr>
          <w:rFonts w:eastAsia="SimSun"/>
          <w:snapToGrid/>
          <w:szCs w:val="24"/>
        </w:rPr>
        <w:t xml:space="preserve"> – 7</w:t>
      </w:r>
      <w:r w:rsidR="00831B14" w:rsidRPr="00831B14">
        <w:rPr>
          <w:rFonts w:eastAsia="SimSun"/>
          <w:snapToGrid/>
          <w:szCs w:val="24"/>
          <w:vertAlign w:val="superscript"/>
        </w:rPr>
        <w:t>th</w:t>
      </w:r>
      <w:r w:rsidR="00831B14">
        <w:rPr>
          <w:rFonts w:eastAsia="SimSun"/>
          <w:snapToGrid/>
          <w:szCs w:val="24"/>
        </w:rPr>
        <w:t xml:space="preserve"> March</w:t>
      </w:r>
      <w:r w:rsidRPr="00AD5B55">
        <w:rPr>
          <w:rFonts w:eastAsia="SimSun"/>
          <w:snapToGrid/>
          <w:szCs w:val="24"/>
        </w:rPr>
        <w:t xml:space="preserve"> 2025</w:t>
      </w:r>
    </w:p>
    <w:p w14:paraId="7AF05523" w14:textId="77777777" w:rsidR="009C4637" w:rsidRDefault="009C4637" w:rsidP="009C4637">
      <w:pPr>
        <w:pStyle w:val="Maintitle"/>
      </w:pPr>
    </w:p>
    <w:p w14:paraId="70FF1E57" w14:textId="77777777" w:rsidR="00770160" w:rsidRDefault="00770160">
      <w:pPr>
        <w:tabs>
          <w:tab w:val="left" w:pos="0"/>
          <w:tab w:val="left" w:pos="1570"/>
          <w:tab w:val="left" w:pos="1857"/>
        </w:tabs>
      </w:pPr>
    </w:p>
    <w:p w14:paraId="063BEEEA" w14:textId="77777777" w:rsidR="00770160" w:rsidRDefault="00770160">
      <w:pPr>
        <w:tabs>
          <w:tab w:val="left" w:pos="0"/>
          <w:tab w:val="left" w:pos="1570"/>
          <w:tab w:val="left" w:pos="1857"/>
        </w:tabs>
      </w:pPr>
    </w:p>
    <w:p w14:paraId="64BD7E2F" w14:textId="77777777" w:rsidR="00B663C2" w:rsidRDefault="00B663C2">
      <w:pPr>
        <w:tabs>
          <w:tab w:val="left" w:pos="0"/>
          <w:tab w:val="left" w:pos="1570"/>
          <w:tab w:val="left" w:pos="1857"/>
        </w:tabs>
      </w:pPr>
    </w:p>
    <w:p w14:paraId="44492B7F" w14:textId="65B26877" w:rsidR="00770160" w:rsidRDefault="00770160">
      <w:pPr>
        <w:pStyle w:val="Agendaitemtitle"/>
        <w:rPr>
          <w:lang w:val="sv-SE"/>
        </w:rPr>
      </w:pPr>
      <w:r>
        <w:rPr>
          <w:lang w:val="sv-SE"/>
        </w:rPr>
        <w:t>Agenda Item </w:t>
      </w:r>
      <w:r w:rsidR="00D21352">
        <w:rPr>
          <w:lang w:val="sv-SE"/>
        </w:rPr>
        <w:t>7</w:t>
      </w:r>
      <w:r w:rsidR="00766B83">
        <w:rPr>
          <w:lang w:val="sv-SE"/>
        </w:rPr>
        <w:t>a</w:t>
      </w:r>
      <w:r>
        <w:rPr>
          <w:lang w:val="sv-SE"/>
        </w:rPr>
        <w:t>:</w:t>
      </w:r>
      <w:r>
        <w:rPr>
          <w:lang w:val="sv-SE"/>
        </w:rPr>
        <w:tab/>
      </w:r>
      <w:r w:rsidR="002F1A4A">
        <w:rPr>
          <w:lang w:val="sv-SE"/>
        </w:rPr>
        <w:tab/>
      </w:r>
      <w:r w:rsidR="00D21352" w:rsidRPr="00D21352">
        <w:rPr>
          <w:lang w:val="sv-SE"/>
        </w:rPr>
        <w:t>Update of Doc 9718 Volume I</w:t>
      </w:r>
    </w:p>
    <w:p w14:paraId="46169295" w14:textId="77777777" w:rsidR="00770160" w:rsidRDefault="00770160">
      <w:pPr>
        <w:pStyle w:val="Agendaitemtitle"/>
        <w:rPr>
          <w:b w:val="0"/>
          <w:lang w:val="sv-SE"/>
        </w:rPr>
      </w:pPr>
    </w:p>
    <w:p w14:paraId="6B024A19" w14:textId="77777777" w:rsidR="00770160" w:rsidRDefault="00770160">
      <w:pPr>
        <w:tabs>
          <w:tab w:val="left" w:pos="6972"/>
        </w:tabs>
        <w:rPr>
          <w:b/>
          <w:lang w:val="sv-SE"/>
        </w:rPr>
      </w:pPr>
    </w:p>
    <w:p w14:paraId="51E19778" w14:textId="788BCE11" w:rsidR="00770160" w:rsidRPr="00534325" w:rsidRDefault="00534325">
      <w:pPr>
        <w:pStyle w:val="Maintitle"/>
        <w:rPr>
          <w:sz w:val="24"/>
          <w:szCs w:val="24"/>
        </w:rPr>
      </w:pPr>
      <w:r w:rsidRPr="00534325">
        <w:rPr>
          <w:sz w:val="24"/>
          <w:szCs w:val="24"/>
        </w:rPr>
        <w:t xml:space="preserve">On </w:t>
      </w:r>
      <w:r w:rsidR="0099419F">
        <w:rPr>
          <w:sz w:val="24"/>
          <w:szCs w:val="24"/>
        </w:rPr>
        <w:t>future s</w:t>
      </w:r>
      <w:r w:rsidRPr="00534325">
        <w:rPr>
          <w:sz w:val="24"/>
          <w:szCs w:val="24"/>
        </w:rPr>
        <w:t xml:space="preserve">pectrum </w:t>
      </w:r>
      <w:r w:rsidR="0099419F">
        <w:rPr>
          <w:sz w:val="24"/>
          <w:szCs w:val="24"/>
        </w:rPr>
        <w:t>m</w:t>
      </w:r>
      <w:r>
        <w:rPr>
          <w:sz w:val="24"/>
          <w:szCs w:val="24"/>
        </w:rPr>
        <w:t>anagement</w:t>
      </w:r>
      <w:r w:rsidR="00861E06" w:rsidRPr="00861E06">
        <w:rPr>
          <w:sz w:val="24"/>
          <w:szCs w:val="24"/>
        </w:rPr>
        <w:t xml:space="preserve"> </w:t>
      </w:r>
      <w:r w:rsidR="00861E06">
        <w:rPr>
          <w:sz w:val="24"/>
          <w:szCs w:val="24"/>
        </w:rPr>
        <w:t>sharing s</w:t>
      </w:r>
      <w:r w:rsidR="00861E06" w:rsidRPr="00534325">
        <w:rPr>
          <w:sz w:val="24"/>
          <w:szCs w:val="24"/>
        </w:rPr>
        <w:t>trategies</w:t>
      </w:r>
    </w:p>
    <w:p w14:paraId="567CB022" w14:textId="77777777" w:rsidR="00770160" w:rsidRPr="00534325" w:rsidRDefault="00770160">
      <w:pPr>
        <w:tabs>
          <w:tab w:val="left" w:pos="6972"/>
        </w:tabs>
      </w:pPr>
    </w:p>
    <w:p w14:paraId="087DE484" w14:textId="77777777" w:rsidR="00770160" w:rsidRPr="00534325" w:rsidRDefault="00770160">
      <w:pPr>
        <w:tabs>
          <w:tab w:val="left" w:pos="6972"/>
        </w:tabs>
      </w:pPr>
    </w:p>
    <w:p w14:paraId="60B45F76" w14:textId="2131AC0C" w:rsidR="00770160" w:rsidRPr="0021615E" w:rsidRDefault="00770160">
      <w:pPr>
        <w:jc w:val="center"/>
      </w:pPr>
      <w:r w:rsidRPr="0021615E">
        <w:t>(</w:t>
      </w:r>
      <w:r w:rsidR="00534325" w:rsidRPr="0021615E">
        <w:t>John Micallef</w:t>
      </w:r>
      <w:r w:rsidR="002C0977" w:rsidRPr="0021615E">
        <w:t xml:space="preserve"> - E</w:t>
      </w:r>
      <w:r w:rsidR="006855D6" w:rsidRPr="0021615E">
        <w:t>UROCONTROL</w:t>
      </w:r>
      <w:r w:rsidRPr="0021615E">
        <w:t>)</w:t>
      </w:r>
    </w:p>
    <w:p w14:paraId="02BF24F6" w14:textId="77777777" w:rsidR="00770160" w:rsidRPr="0021615E"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6E3F5F" w14:paraId="7935C424" w14:textId="77777777">
        <w:trPr>
          <w:cantSplit/>
          <w:trHeight w:hRule="exact" w:val="480"/>
          <w:jc w:val="center"/>
        </w:trPr>
        <w:tc>
          <w:tcPr>
            <w:tcW w:w="7200" w:type="dxa"/>
            <w:vAlign w:val="center"/>
          </w:tcPr>
          <w:p w14:paraId="79F9A4D7" w14:textId="77777777" w:rsidR="006E3F5F" w:rsidRDefault="006E3F5F">
            <w:pPr>
              <w:jc w:val="center"/>
              <w:rPr>
                <w:sz w:val="24"/>
                <w:lang w:val="en-US"/>
              </w:rPr>
            </w:pPr>
            <w:r>
              <w:rPr>
                <w:b/>
              </w:rPr>
              <w:t>SUMMARY</w:t>
            </w:r>
          </w:p>
        </w:tc>
      </w:tr>
      <w:tr w:rsidR="006E3F5F" w14:paraId="42538C10" w14:textId="77777777">
        <w:trPr>
          <w:cantSplit/>
          <w:trHeight w:val="1194"/>
          <w:jc w:val="center"/>
        </w:trPr>
        <w:tc>
          <w:tcPr>
            <w:tcW w:w="7200" w:type="dxa"/>
          </w:tcPr>
          <w:p w14:paraId="321E901D" w14:textId="3E8EE007" w:rsidR="006E3F5F" w:rsidRDefault="006D3702">
            <w:r w:rsidRPr="006D3702">
              <w:t xml:space="preserve">This </w:t>
            </w:r>
            <w:r w:rsidR="00C27F1B">
              <w:t>paper</w:t>
            </w:r>
            <w:r w:rsidRPr="006D3702">
              <w:t xml:space="preserve"> </w:t>
            </w:r>
            <w:r w:rsidR="00C27F1B">
              <w:t xml:space="preserve">builds on the premise that radio spectrum scarcity levels are reaching a critical point which makes the imperative of spectrum </w:t>
            </w:r>
            <w:r w:rsidR="00931CB2">
              <w:t>efficiency and the prospect of spectrum sharing</w:t>
            </w:r>
            <w:r w:rsidR="00C27F1B">
              <w:t xml:space="preserve"> inevitable in years and decades to come. Aviation itself is not immune</w:t>
            </w:r>
            <w:r w:rsidR="009221BC">
              <w:t xml:space="preserve"> to this</w:t>
            </w:r>
            <w:r w:rsidR="00C27F1B">
              <w:t xml:space="preserve">, and already finds itself internally considering the spectrum compatibility of its own systems when sharing the same frequency bands. </w:t>
            </w:r>
            <w:r w:rsidR="00931CB2">
              <w:t xml:space="preserve">Considering these trends in real terms, this paper opines on the need to adopt a strategic mindset for the spectrum strategy principles set out in Doc 9718, and in doing so, advocates for </w:t>
            </w:r>
            <w:r w:rsidR="009221BC">
              <w:t xml:space="preserve">development </w:t>
            </w:r>
            <w:r w:rsidR="00931CB2">
              <w:t xml:space="preserve">of a requirements framework for spectrum sharing </w:t>
            </w:r>
            <w:r w:rsidR="009221BC">
              <w:t xml:space="preserve">to </w:t>
            </w:r>
            <w:r w:rsidR="00931CB2">
              <w:t>better prepare for a future regime</w:t>
            </w:r>
            <w:r w:rsidRPr="006D3702">
              <w:t>.</w:t>
            </w:r>
          </w:p>
          <w:p w14:paraId="1EB2898C" w14:textId="0CF89309" w:rsidR="00BB10CC" w:rsidRDefault="00BB10CC">
            <w:pPr>
              <w:rPr>
                <w:lang w:val="en-US"/>
              </w:rPr>
            </w:pPr>
          </w:p>
        </w:tc>
      </w:tr>
    </w:tbl>
    <w:p w14:paraId="676F1950" w14:textId="77777777" w:rsidR="00770160" w:rsidRPr="00E35591" w:rsidRDefault="00770160"/>
    <w:p w14:paraId="787D16CA" w14:textId="175D030D" w:rsidR="00770160" w:rsidRDefault="00250E54" w:rsidP="005B6565">
      <w:pPr>
        <w:pStyle w:val="1Heading"/>
        <w:tabs>
          <w:tab w:val="clear" w:pos="720"/>
          <w:tab w:val="num" w:pos="851"/>
        </w:tabs>
        <w:ind w:left="851" w:hanging="851"/>
      </w:pPr>
      <w:r>
        <w:t>INTRODUCTION</w:t>
      </w:r>
    </w:p>
    <w:p w14:paraId="51B6AF89" w14:textId="3BAF46BD" w:rsidR="00C15E6A" w:rsidRDefault="00C15E6A" w:rsidP="00291428">
      <w:pPr>
        <w:pStyle w:val="2para"/>
      </w:pPr>
      <w:proofErr w:type="gramStart"/>
      <w:r>
        <w:t>The vast majority of</w:t>
      </w:r>
      <w:proofErr w:type="gramEnd"/>
      <w:r>
        <w:t xml:space="preserve"> </w:t>
      </w:r>
      <w:r w:rsidR="00250E54">
        <w:t xml:space="preserve">radio </w:t>
      </w:r>
      <w:r>
        <w:t xml:space="preserve">spectrum bands are occupied by at least one sector user, and in many cases by more than one user. </w:t>
      </w:r>
      <w:r w:rsidR="00250E54">
        <w:t>S</w:t>
      </w:r>
      <w:r>
        <w:t xml:space="preserve">pectrum band allocations </w:t>
      </w:r>
      <w:r w:rsidR="00250E54">
        <w:t xml:space="preserve">identified </w:t>
      </w:r>
      <w:r>
        <w:t xml:space="preserve">in </w:t>
      </w:r>
      <w:r w:rsidR="00250E54">
        <w:t xml:space="preserve">Article 5 of </w:t>
      </w:r>
      <w:r>
        <w:t xml:space="preserve">the Radio Regulations qualify Primary Users and Secondary Users. Primary Users enjoy the most protection rights and are not obliged to accept interference from other users in the same band. Secondary Users on the other hand, </w:t>
      </w:r>
      <w:proofErr w:type="gramStart"/>
      <w:r>
        <w:t>are able to</w:t>
      </w:r>
      <w:proofErr w:type="gramEnd"/>
      <w:r>
        <w:t xml:space="preserve"> access the same band under certain conditions usually attached to technical conditions concerning signal power and other emissions. </w:t>
      </w:r>
    </w:p>
    <w:p w14:paraId="68790457" w14:textId="70A64480" w:rsidR="00C15E6A" w:rsidRDefault="00C15E6A" w:rsidP="00291428">
      <w:pPr>
        <w:pStyle w:val="2para"/>
      </w:pPr>
      <w:proofErr w:type="gramStart"/>
      <w:r>
        <w:t>During the course of</w:t>
      </w:r>
      <w:proofErr w:type="gramEnd"/>
      <w:r>
        <w:t xml:space="preserve"> the last decades, the rate of allocations of spectrum to new services was such that </w:t>
      </w:r>
      <w:r w:rsidR="00250E54">
        <w:t>sector</w:t>
      </w:r>
      <w:r>
        <w:t xml:space="preserve"> users found themselves operating </w:t>
      </w:r>
      <w:r w:rsidR="00250E54">
        <w:t>in closer proximity</w:t>
      </w:r>
      <w:r>
        <w:t xml:space="preserve"> to each other</w:t>
      </w:r>
      <w:r w:rsidR="00250E54">
        <w:t xml:space="preserve"> in spectral terms</w:t>
      </w:r>
      <w:r>
        <w:t xml:space="preserve">. This means that incumbent spectrum users, </w:t>
      </w:r>
      <w:r w:rsidR="00250E54">
        <w:t>including</w:t>
      </w:r>
      <w:r>
        <w:t xml:space="preserve"> </w:t>
      </w:r>
      <w:r w:rsidR="00250E54">
        <w:t>aeronautical users</w:t>
      </w:r>
      <w:r>
        <w:t xml:space="preserve">, </w:t>
      </w:r>
      <w:r w:rsidR="00250E54">
        <w:t xml:space="preserve">now </w:t>
      </w:r>
      <w:r>
        <w:t xml:space="preserve">have a greater potential of receiving </w:t>
      </w:r>
      <w:r>
        <w:lastRenderedPageBreak/>
        <w:t xml:space="preserve">radio interference from new users in nearby bands. The ITU-R allocation process seeks to minimise this interference by carrying out compatibility studies before any change of the Radio Regulations is attempted at the World Radio Conference. </w:t>
      </w:r>
    </w:p>
    <w:p w14:paraId="05A87B30" w14:textId="4CCBB6F6" w:rsidR="00C15E6A" w:rsidRDefault="00C15E6A" w:rsidP="00291428">
      <w:pPr>
        <w:pStyle w:val="2para"/>
      </w:pPr>
      <w:proofErr w:type="gramStart"/>
      <w:r>
        <w:t>Typically</w:t>
      </w:r>
      <w:proofErr w:type="gramEnd"/>
      <w:r>
        <w:t xml:space="preserve"> this spectrum allocations to new </w:t>
      </w:r>
      <w:r w:rsidR="00D71DCB">
        <w:t xml:space="preserve">sector </w:t>
      </w:r>
      <w:r>
        <w:t>users</w:t>
      </w:r>
      <w:r w:rsidR="00D71DCB">
        <w:t xml:space="preserve"> is</w:t>
      </w:r>
      <w:r>
        <w:t xml:space="preserve"> conditional to meeting technical or operational limitations to protect the existing users. Aviation frequently finds itself in this circumstance</w:t>
      </w:r>
      <w:r w:rsidR="00153170">
        <w:t xml:space="preserve"> with increasing regularity</w:t>
      </w:r>
      <w:r>
        <w:t>, and through the ITU process, it contribute</w:t>
      </w:r>
      <w:r w:rsidR="00153170">
        <w:t>s</w:t>
      </w:r>
      <w:r>
        <w:t xml:space="preserve"> to technical and regulatory studies to protect existing CNS systems from potential interference from new systems. Aviation has </w:t>
      </w:r>
      <w:r w:rsidR="00D71DCB">
        <w:t>recurringly</w:t>
      </w:r>
      <w:r>
        <w:t xml:space="preserve"> found itself in this circumstance </w:t>
      </w:r>
      <w:r w:rsidR="00D71DCB">
        <w:t xml:space="preserve">with the most recent case </w:t>
      </w:r>
      <w:r>
        <w:t xml:space="preserve">in the last decade with the introduction of 5G services in the immediate spectrum neighbourhood of radio altimeters, </w:t>
      </w:r>
      <w:r w:rsidR="00D71DCB">
        <w:t xml:space="preserve">and </w:t>
      </w:r>
      <w:r>
        <w:t xml:space="preserve">the consequence of heightened potential of interference. Although a significant amount of work is being carried out </w:t>
      </w:r>
      <w:r w:rsidRPr="00291428">
        <w:t>a posteriori</w:t>
      </w:r>
      <w:r>
        <w:t xml:space="preserve">, the challenge remains one of ensuring that equitable conditions are placed on 5G installations, while protecting the operation of radio altimeters. </w:t>
      </w:r>
    </w:p>
    <w:p w14:paraId="00D1AD3B" w14:textId="77777777" w:rsidR="00C15E6A" w:rsidRPr="000E0C46" w:rsidRDefault="00C15E6A" w:rsidP="00291428">
      <w:pPr>
        <w:pStyle w:val="2para"/>
      </w:pPr>
      <w:r w:rsidRPr="000E0C46">
        <w:t xml:space="preserve">A key domain for future spectrum sharing will be 6G and regional extensions of 5G. Today, there are few realistic candidates for spectrum bands under 6 GHz that can be easily cleared and repurposed for cellular wireless systems — much of this spectrum is where aviation has its primary allocations for CNS systems. As of WRC 2023, almost all have important incumbents as Primary users that will be difficult, expensive and time-consuming to move. In future World Radio </w:t>
      </w:r>
      <w:proofErr w:type="gramStart"/>
      <w:r w:rsidRPr="000E0C46">
        <w:t>Conferences</w:t>
      </w:r>
      <w:proofErr w:type="gramEnd"/>
      <w:r w:rsidRPr="000E0C46">
        <w:t xml:space="preserve"> the focus will inevitably be on developing regulatory provisions to enable spectrum sharing between dissimilar services.</w:t>
      </w:r>
    </w:p>
    <w:p w14:paraId="2DAEDA15" w14:textId="11AAAF27" w:rsidR="00B83054" w:rsidRPr="00291428" w:rsidRDefault="00291428" w:rsidP="00291428">
      <w:pPr>
        <w:pStyle w:val="1Heading"/>
        <w:tabs>
          <w:tab w:val="clear" w:pos="720"/>
          <w:tab w:val="num" w:pos="851"/>
        </w:tabs>
        <w:ind w:left="851" w:hanging="851"/>
      </w:pPr>
      <w:r>
        <w:t>REGIONAL POLICIES ON SHARED USE OF SPECTRUM</w:t>
      </w:r>
    </w:p>
    <w:p w14:paraId="018AB021" w14:textId="4EC3F2B1" w:rsidR="00047F44" w:rsidRDefault="00047F44" w:rsidP="00291428">
      <w:pPr>
        <w:pStyle w:val="2para"/>
      </w:pPr>
      <w:r>
        <w:t>Member States are</w:t>
      </w:r>
      <w:r w:rsidR="000E0C46">
        <w:t xml:space="preserve"> increasingly</w:t>
      </w:r>
      <w:r>
        <w:t xml:space="preserve"> expected to promote the shared use of radio spectrum between similar or different uses, while respecting competition law. </w:t>
      </w:r>
      <w:proofErr w:type="gramStart"/>
      <w:r>
        <w:t>In particular, they</w:t>
      </w:r>
      <w:proofErr w:type="gramEnd"/>
      <w:r>
        <w:t xml:space="preserve"> are expected to facilitate the shared use of radio spectrum under general authorisations and limit granting the use of spectrum to individual users only in certain cases. This could include the need to maximise efficient use to balance demand, or to minimise issues of harmful interference. </w:t>
      </w:r>
    </w:p>
    <w:p w14:paraId="46BEC214" w14:textId="34B72229" w:rsidR="00D71DCB" w:rsidRPr="00D71DCB" w:rsidRDefault="00D71DCB" w:rsidP="00291428">
      <w:pPr>
        <w:pStyle w:val="2para"/>
      </w:pPr>
      <w:r>
        <w:t>One example of such regional policies is coming from t</w:t>
      </w:r>
      <w:r w:rsidRPr="00D71DCB">
        <w:t>he EU's Radio Spectrum Policy Programme (RSPP) of 2012</w:t>
      </w:r>
      <w:r>
        <w:t>. This</w:t>
      </w:r>
      <w:r w:rsidRPr="00D71DCB">
        <w:t xml:space="preserve"> sets out </w:t>
      </w:r>
      <w:r>
        <w:t>a</w:t>
      </w:r>
      <w:r w:rsidRPr="00D71DCB">
        <w:t xml:space="preserve"> framework, based on the principle that spectrum should be used efficiently and managed effectively. It requires Member States, in cooperation with the European Commission, to foster the collective use and shared use of spectrum where appropriate.</w:t>
      </w:r>
    </w:p>
    <w:p w14:paraId="4093911E" w14:textId="77777777" w:rsidR="00047F44" w:rsidRDefault="00047F44" w:rsidP="00291428">
      <w:pPr>
        <w:pStyle w:val="2para"/>
      </w:pPr>
      <w:r>
        <w:t>In the EU Radio Spectrum Policy Group (RSPG) ‘Work Programme for 2020 and beyond’, a specific work item was dedicated to spectrum sharing. The RSPG objective is to investigate how to improve spectrum sharing in the EU beyond the static and conservative sharing methods mainly used so far, by recommending innovative sharing solutions such as trials or ‘sandboxes’, pioneer bands, new forms of licensing, more dynamic spectrum sharing take-up methods using databases and Licensed Shared Access.</w:t>
      </w:r>
    </w:p>
    <w:p w14:paraId="78330F67" w14:textId="6613BDCD" w:rsidR="00047F44" w:rsidRDefault="00047F44" w:rsidP="00291428">
      <w:pPr>
        <w:pStyle w:val="2para"/>
      </w:pPr>
      <w:r>
        <w:t xml:space="preserve">The RSPG Opinion on Spectrum Sharing – Pioneer initiatives and bands from June 2021 provides high level directions concerning options for promoting spectrum sharing, especially regarding sharing condition and strengthening trust and confidence in sharing. The RSPG Opinion considers all spectrum bands, including bands allocated to aviation, as potential candidates for introducing and enhancing </w:t>
      </w:r>
      <w:r>
        <w:lastRenderedPageBreak/>
        <w:t xml:space="preserve">spectrum sharing solutions. However, </w:t>
      </w:r>
      <w:r w:rsidR="00C27088">
        <w:t>i</w:t>
      </w:r>
      <w:r>
        <w:t xml:space="preserve">t does not single out any specific bands for sharing purposes </w:t>
      </w:r>
      <w:proofErr w:type="gramStart"/>
      <w:r>
        <w:t>at this time</w:t>
      </w:r>
      <w:proofErr w:type="gramEnd"/>
      <w:r>
        <w:t>.</w:t>
      </w:r>
    </w:p>
    <w:p w14:paraId="59E2D01D" w14:textId="04A64A9B" w:rsidR="00047F44" w:rsidRDefault="00047F44" w:rsidP="00291428">
      <w:pPr>
        <w:pStyle w:val="2para"/>
      </w:pPr>
      <w:r>
        <w:t xml:space="preserve">In this backdrop, </w:t>
      </w:r>
      <w:r w:rsidR="00C27088">
        <w:t xml:space="preserve">some European </w:t>
      </w:r>
      <w:r>
        <w:t xml:space="preserve">Member States have developed their own sandboxes for spectrum sharing depending on the local balance of supply and demand, and the development of new user segments. In the UK for example, the spectrum regulator Ofcom developed sharing conditions for early rollout of Programme Making and Special Events (PMSE) </w:t>
      </w:r>
      <w:r w:rsidR="00473D7C">
        <w:t xml:space="preserve">broadcast services by sharing </w:t>
      </w:r>
      <w:r>
        <w:t>parts of the L-band</w:t>
      </w:r>
      <w:r w:rsidR="00473D7C">
        <w:t xml:space="preserve">. </w:t>
      </w:r>
      <w:r w:rsidR="00C27088">
        <w:t>Another example is t</w:t>
      </w:r>
      <w:r>
        <w:t>he Scandinavian States</w:t>
      </w:r>
      <w:r w:rsidR="00C27088">
        <w:t>,</w:t>
      </w:r>
      <w:r>
        <w:t xml:space="preserve"> </w:t>
      </w:r>
      <w:r w:rsidR="00C27088">
        <w:t xml:space="preserve">which </w:t>
      </w:r>
      <w:r>
        <w:t xml:space="preserve">are similarly developing sandboxes for sharing of the C-band for sharing of drones C2 link and 5G services. </w:t>
      </w:r>
      <w:r w:rsidR="00473D7C">
        <w:t>This is an ongoing trend which is being monitored in Europe, but which is by no means unique to this region.</w:t>
      </w:r>
    </w:p>
    <w:p w14:paraId="165BCAA0" w14:textId="7C24B756" w:rsidR="00BF21E1" w:rsidRPr="000E0C46" w:rsidRDefault="000E0C46" w:rsidP="000E0C46">
      <w:pPr>
        <w:pStyle w:val="1Heading"/>
        <w:tabs>
          <w:tab w:val="clear" w:pos="720"/>
          <w:tab w:val="num" w:pos="851"/>
        </w:tabs>
        <w:ind w:left="851" w:hanging="851"/>
      </w:pPr>
      <w:r>
        <w:t>RADIO SPECTRUM SHARING CONSIDERATIONS</w:t>
      </w:r>
    </w:p>
    <w:p w14:paraId="5A7929D3" w14:textId="305FD69A" w:rsidR="00BF21E1" w:rsidRPr="003530E4" w:rsidRDefault="00BF21E1" w:rsidP="00BF21E1">
      <w:pPr>
        <w:pStyle w:val="2para"/>
        <w:rPr>
          <w:b/>
          <w:bCs/>
        </w:rPr>
      </w:pPr>
      <w:bookmarkStart w:id="0" w:name="_Hlk83971655"/>
      <w:r w:rsidRPr="003530E4">
        <w:rPr>
          <w:b/>
          <w:bCs/>
        </w:rPr>
        <w:t xml:space="preserve">Extending a Framework for Spectrum Sharing with </w:t>
      </w:r>
      <w:r w:rsidR="008346FF" w:rsidRPr="003530E4">
        <w:rPr>
          <w:b/>
          <w:bCs/>
        </w:rPr>
        <w:t>non-ICAO</w:t>
      </w:r>
      <w:r w:rsidRPr="003530E4">
        <w:rPr>
          <w:b/>
          <w:bCs/>
        </w:rPr>
        <w:t xml:space="preserve"> Systems</w:t>
      </w:r>
    </w:p>
    <w:bookmarkEnd w:id="0"/>
    <w:p w14:paraId="75466B5A" w14:textId="615F67E5" w:rsidR="00BF21E1" w:rsidRPr="003530E4" w:rsidRDefault="00D43690" w:rsidP="00BF21E1">
      <w:pPr>
        <w:pStyle w:val="3para"/>
        <w:tabs>
          <w:tab w:val="clear" w:pos="1866"/>
          <w:tab w:val="num" w:pos="851"/>
        </w:tabs>
        <w:ind w:left="851" w:hanging="851"/>
      </w:pPr>
      <w:r w:rsidRPr="003530E4">
        <w:t xml:space="preserve">The FSMP has considered </w:t>
      </w:r>
      <w:r w:rsidR="007023BA">
        <w:t xml:space="preserve">the merits of </w:t>
      </w:r>
      <w:r w:rsidRPr="003530E4">
        <w:t xml:space="preserve">sharing frameworks for some time, particularly in the context of maximising use of available spectrum allocations for new and planned CNS systems in existing bands. A framework for spectrum sharing between CNS systems was put forward in </w:t>
      </w:r>
      <w:r w:rsidR="00FC3DDB" w:rsidRPr="003530E4">
        <w:t>the 12</w:t>
      </w:r>
      <w:r w:rsidR="00FC3DDB" w:rsidRPr="003530E4">
        <w:rPr>
          <w:vertAlign w:val="superscript"/>
        </w:rPr>
        <w:t>th</w:t>
      </w:r>
      <w:r w:rsidR="00FC3DDB" w:rsidRPr="003530E4">
        <w:t xml:space="preserve"> WG meeting</w:t>
      </w:r>
      <w:r w:rsidRPr="003530E4">
        <w:t xml:space="preserve">. </w:t>
      </w:r>
      <w:r w:rsidR="003530E4">
        <w:t>In this instance</w:t>
      </w:r>
      <w:r w:rsidR="00FC3DDB" w:rsidRPr="003530E4">
        <w:t xml:space="preserve"> it was recalled that i</w:t>
      </w:r>
      <w:r w:rsidR="00BF21E1" w:rsidRPr="003530E4">
        <w:t>ntroduction of new</w:t>
      </w:r>
      <w:r w:rsidR="00FC3DDB" w:rsidRPr="003530E4">
        <w:t xml:space="preserve"> CNS</w:t>
      </w:r>
      <w:r w:rsidR="00BF21E1" w:rsidRPr="003530E4">
        <w:t xml:space="preserve"> systems </w:t>
      </w:r>
      <w:proofErr w:type="gramStart"/>
      <w:r w:rsidR="00BF21E1" w:rsidRPr="003530E4">
        <w:t>are</w:t>
      </w:r>
      <w:proofErr w:type="gramEnd"/>
      <w:r w:rsidR="00BF21E1" w:rsidRPr="003530E4">
        <w:t xml:space="preserve"> driven </w:t>
      </w:r>
      <w:r w:rsidR="00FC3DDB" w:rsidRPr="003530E4">
        <w:t xml:space="preserve">primarily </w:t>
      </w:r>
      <w:r w:rsidR="00BF21E1" w:rsidRPr="003530E4">
        <w:t xml:space="preserve">by aviation’s safety and operational needs. Before </w:t>
      </w:r>
      <w:r w:rsidR="003530E4" w:rsidRPr="003530E4">
        <w:t xml:space="preserve">standards are developed, due diligence is carried out and </w:t>
      </w:r>
      <w:r w:rsidR="00BF21E1" w:rsidRPr="003530E4">
        <w:t>these safety and operational needs are verified through a formal process</w:t>
      </w:r>
      <w:r w:rsidR="003530E4" w:rsidRPr="003530E4">
        <w:t xml:space="preserve"> to ensure that </w:t>
      </w:r>
      <w:r w:rsidR="00BF21E1" w:rsidRPr="003530E4">
        <w:t xml:space="preserve">operational benefits </w:t>
      </w:r>
      <w:r w:rsidR="003530E4" w:rsidRPr="003530E4">
        <w:t>can be accrued</w:t>
      </w:r>
      <w:r w:rsidR="00215156">
        <w:t xml:space="preserve"> unambiguously</w:t>
      </w:r>
      <w:r w:rsidR="003530E4" w:rsidRPr="003530E4">
        <w:t>.</w:t>
      </w:r>
    </w:p>
    <w:p w14:paraId="29710578" w14:textId="3F695394" w:rsidR="009C724C" w:rsidRDefault="00BF21E1" w:rsidP="00BF21E1">
      <w:pPr>
        <w:pStyle w:val="3para"/>
        <w:tabs>
          <w:tab w:val="clear" w:pos="1866"/>
          <w:tab w:val="num" w:pos="851"/>
        </w:tabs>
        <w:ind w:left="851" w:hanging="851"/>
      </w:pPr>
      <w:r w:rsidRPr="00C075F3">
        <w:t xml:space="preserve">When </w:t>
      </w:r>
      <w:r w:rsidR="00215156" w:rsidRPr="00C075F3">
        <w:t>planning for introduction of</w:t>
      </w:r>
      <w:r w:rsidRPr="00C075F3">
        <w:t xml:space="preserve"> new </w:t>
      </w:r>
      <w:r w:rsidR="00215156" w:rsidRPr="00C075F3">
        <w:t xml:space="preserve">CNS </w:t>
      </w:r>
      <w:r w:rsidRPr="00C075F3">
        <w:t>system</w:t>
      </w:r>
      <w:r w:rsidR="00C075F3">
        <w:t>s</w:t>
      </w:r>
      <w:r w:rsidRPr="00C075F3">
        <w:t xml:space="preserve"> in aeronautical </w:t>
      </w:r>
      <w:r w:rsidR="00215156" w:rsidRPr="00C075F3">
        <w:t xml:space="preserve">frequency </w:t>
      </w:r>
      <w:r w:rsidRPr="00C075F3">
        <w:t xml:space="preserve">bands, </w:t>
      </w:r>
      <w:r w:rsidR="00E12F30" w:rsidRPr="00C075F3">
        <w:t xml:space="preserve">it is </w:t>
      </w:r>
      <w:r w:rsidR="00CC1F1A" w:rsidRPr="00C075F3">
        <w:t xml:space="preserve">now </w:t>
      </w:r>
      <w:r w:rsidR="00E12F30" w:rsidRPr="00C075F3">
        <w:t xml:space="preserve">ensured that compatibility studies are carried out to inform the associated SARPs validation process. </w:t>
      </w:r>
      <w:r w:rsidR="00CC1F1A" w:rsidRPr="00C075F3">
        <w:t xml:space="preserve">The </w:t>
      </w:r>
      <w:r w:rsidR="009C724C" w:rsidRPr="00C075F3">
        <w:t xml:space="preserve">goal is to </w:t>
      </w:r>
      <w:r w:rsidR="00CA2CBE" w:rsidRPr="00C075F3">
        <w:t>attain a</w:t>
      </w:r>
      <w:r w:rsidR="009C724C" w:rsidRPr="00C075F3">
        <w:t xml:space="preserve"> strategic mitigation</w:t>
      </w:r>
      <w:r w:rsidRPr="00C075F3">
        <w:t xml:space="preserve"> </w:t>
      </w:r>
      <w:r w:rsidR="00C075F3">
        <w:t xml:space="preserve">for radio interference </w:t>
      </w:r>
      <w:r w:rsidR="00CA2CBE" w:rsidRPr="00C075F3">
        <w:t>that avoids</w:t>
      </w:r>
      <w:r w:rsidRPr="00C075F3">
        <w:t xml:space="preserve"> negative impact on existing CNS systems operating in the same or adjacent frequency bands</w:t>
      </w:r>
      <w:r w:rsidR="00C075F3">
        <w:t>. A purpose of the framework is to have this mitigation applied</w:t>
      </w:r>
      <w:r w:rsidR="009C724C" w:rsidRPr="00C075F3">
        <w:t xml:space="preserve"> at the very early stages of system lifecycle development</w:t>
      </w:r>
      <w:r w:rsidR="00C075F3" w:rsidRPr="00C075F3">
        <w:t>, rather than</w:t>
      </w:r>
      <w:r w:rsidR="00C075F3">
        <w:t xml:space="preserve"> as an afterthought.</w:t>
      </w:r>
      <w:r w:rsidR="00C075F3" w:rsidRPr="00C075F3">
        <w:t xml:space="preserve"> </w:t>
      </w:r>
      <w:r w:rsidRPr="00C075F3">
        <w:t xml:space="preserve"> </w:t>
      </w:r>
    </w:p>
    <w:p w14:paraId="3DC191E5" w14:textId="77777777" w:rsidR="008346FF" w:rsidRPr="003530E4" w:rsidRDefault="008346FF" w:rsidP="008346FF">
      <w:pPr>
        <w:pStyle w:val="3para"/>
        <w:tabs>
          <w:tab w:val="clear" w:pos="1866"/>
          <w:tab w:val="num" w:pos="851"/>
        </w:tabs>
        <w:ind w:left="851" w:hanging="851"/>
      </w:pPr>
      <w:r w:rsidRPr="003530E4">
        <w:t xml:space="preserve">On the other side of the scale, risks to </w:t>
      </w:r>
      <w:r>
        <w:t xml:space="preserve">safety of operations are evaluated when considering the development of new </w:t>
      </w:r>
      <w:r w:rsidRPr="003530E4">
        <w:t>CNS systems</w:t>
      </w:r>
      <w:r>
        <w:t xml:space="preserve">. Various fundamental system design aspects are taken into consideration, inter alia, single point of failures, potential for systematic failure and, increasingly, radio frequency interference from external sources in adjacent frequency bands. </w:t>
      </w:r>
    </w:p>
    <w:p w14:paraId="44FE80A7" w14:textId="12F45E17" w:rsidR="00BF21E1" w:rsidRPr="00672E9E" w:rsidRDefault="00672E9E" w:rsidP="00BF21E1">
      <w:pPr>
        <w:pStyle w:val="3para"/>
        <w:tabs>
          <w:tab w:val="clear" w:pos="1866"/>
          <w:tab w:val="num" w:pos="851"/>
        </w:tabs>
        <w:ind w:left="851" w:hanging="851"/>
      </w:pPr>
      <w:r w:rsidRPr="00672E9E">
        <w:t>T</w:t>
      </w:r>
      <w:r w:rsidR="00BF21E1" w:rsidRPr="00672E9E">
        <w:t>h</w:t>
      </w:r>
      <w:r w:rsidR="008346FF" w:rsidRPr="00672E9E">
        <w:t xml:space="preserve">is paper opines that </w:t>
      </w:r>
      <w:r w:rsidRPr="00672E9E">
        <w:t xml:space="preserve">as a starting point, </w:t>
      </w:r>
      <w:r w:rsidR="008346FF" w:rsidRPr="00672E9E">
        <w:t>the</w:t>
      </w:r>
      <w:r w:rsidR="00BF21E1" w:rsidRPr="00672E9E">
        <w:t xml:space="preserve"> following principles should be considered as objectives for the framework:</w:t>
      </w:r>
    </w:p>
    <w:p w14:paraId="729A5471" w14:textId="6DE1882E" w:rsidR="00BF21E1" w:rsidRPr="00672E9E" w:rsidRDefault="00BF21E1" w:rsidP="00BF21E1">
      <w:pPr>
        <w:pStyle w:val="ListParagraph"/>
        <w:numPr>
          <w:ilvl w:val="0"/>
          <w:numId w:val="12"/>
        </w:numPr>
        <w:rPr>
          <w:rFonts w:ascii="Times New Roman" w:hAnsi="Times New Roman"/>
          <w:lang w:val="en-GB"/>
        </w:rPr>
      </w:pPr>
      <w:r w:rsidRPr="00672E9E">
        <w:rPr>
          <w:rFonts w:ascii="Times New Roman" w:hAnsi="Times New Roman"/>
          <w:lang w:val="en-GB"/>
        </w:rPr>
        <w:t xml:space="preserve">The framework must protect the operation of existing systems as specified by their minimum performance </w:t>
      </w:r>
      <w:proofErr w:type="gramStart"/>
      <w:r w:rsidRPr="00672E9E">
        <w:rPr>
          <w:rFonts w:ascii="Times New Roman" w:hAnsi="Times New Roman"/>
          <w:lang w:val="en-GB"/>
        </w:rPr>
        <w:t>requirements</w:t>
      </w:r>
      <w:r w:rsidR="009F64C6" w:rsidRPr="00672E9E">
        <w:rPr>
          <w:rFonts w:ascii="Times New Roman" w:hAnsi="Times New Roman"/>
          <w:lang w:val="en-GB"/>
        </w:rPr>
        <w:t>;</w:t>
      </w:r>
      <w:proofErr w:type="gramEnd"/>
    </w:p>
    <w:p w14:paraId="3A23F2A0" w14:textId="00324F2A" w:rsidR="009C724C" w:rsidRPr="00672E9E" w:rsidRDefault="009C724C" w:rsidP="00BF21E1">
      <w:pPr>
        <w:pStyle w:val="ListParagraph"/>
        <w:numPr>
          <w:ilvl w:val="0"/>
          <w:numId w:val="12"/>
        </w:numPr>
        <w:rPr>
          <w:rFonts w:ascii="Times New Roman" w:hAnsi="Times New Roman"/>
          <w:lang w:val="en-GB"/>
        </w:rPr>
      </w:pPr>
      <w:r w:rsidRPr="00672E9E">
        <w:rPr>
          <w:rFonts w:ascii="Times New Roman" w:hAnsi="Times New Roman"/>
          <w:lang w:val="en-GB"/>
        </w:rPr>
        <w:t xml:space="preserve">These minimum performance requirements should at the very least be consistent with the latest ITU-R recommendations for the bands </w:t>
      </w:r>
      <w:proofErr w:type="gramStart"/>
      <w:r w:rsidRPr="00672E9E">
        <w:rPr>
          <w:rFonts w:ascii="Times New Roman" w:hAnsi="Times New Roman"/>
          <w:lang w:val="en-GB"/>
        </w:rPr>
        <w:t>concerned</w:t>
      </w:r>
      <w:r w:rsidR="009F64C6" w:rsidRPr="00672E9E">
        <w:rPr>
          <w:rFonts w:ascii="Times New Roman" w:hAnsi="Times New Roman"/>
          <w:lang w:val="en-GB"/>
        </w:rPr>
        <w:t>;</w:t>
      </w:r>
      <w:proofErr w:type="gramEnd"/>
    </w:p>
    <w:p w14:paraId="25A661B9" w14:textId="00F4FB32" w:rsidR="00BF21E1" w:rsidRPr="00672E9E" w:rsidRDefault="00BF21E1" w:rsidP="00BF21E1">
      <w:pPr>
        <w:pStyle w:val="ListParagraph"/>
        <w:numPr>
          <w:ilvl w:val="0"/>
          <w:numId w:val="12"/>
        </w:numPr>
        <w:rPr>
          <w:rFonts w:ascii="Times New Roman" w:hAnsi="Times New Roman"/>
          <w:lang w:val="en-GB"/>
        </w:rPr>
      </w:pPr>
      <w:r w:rsidRPr="00672E9E">
        <w:rPr>
          <w:rFonts w:ascii="Times New Roman" w:hAnsi="Times New Roman"/>
          <w:lang w:val="en-GB"/>
        </w:rPr>
        <w:t xml:space="preserve">The framework should </w:t>
      </w:r>
      <w:r w:rsidR="009C724C" w:rsidRPr="00672E9E">
        <w:rPr>
          <w:rFonts w:ascii="Times New Roman" w:hAnsi="Times New Roman"/>
          <w:lang w:val="en-GB"/>
        </w:rPr>
        <w:t>be open to</w:t>
      </w:r>
      <w:r w:rsidRPr="00672E9E">
        <w:rPr>
          <w:rFonts w:ascii="Times New Roman" w:hAnsi="Times New Roman"/>
          <w:lang w:val="en-GB"/>
        </w:rPr>
        <w:t xml:space="preserve"> </w:t>
      </w:r>
      <w:r w:rsidR="000B60C3" w:rsidRPr="00672E9E">
        <w:rPr>
          <w:rFonts w:ascii="Times New Roman" w:hAnsi="Times New Roman"/>
          <w:lang w:val="en-GB"/>
        </w:rPr>
        <w:t>proactive</w:t>
      </w:r>
      <w:r w:rsidRPr="00672E9E">
        <w:rPr>
          <w:rFonts w:ascii="Times New Roman" w:hAnsi="Times New Roman"/>
          <w:lang w:val="en-GB"/>
        </w:rPr>
        <w:t xml:space="preserve"> management of spectrum, allowing aviation</w:t>
      </w:r>
      <w:r w:rsidR="009C724C" w:rsidRPr="00672E9E">
        <w:rPr>
          <w:rFonts w:ascii="Times New Roman" w:hAnsi="Times New Roman"/>
          <w:lang w:val="en-GB"/>
        </w:rPr>
        <w:t xml:space="preserve"> radio services</w:t>
      </w:r>
      <w:r w:rsidRPr="00672E9E">
        <w:rPr>
          <w:rFonts w:ascii="Times New Roman" w:hAnsi="Times New Roman"/>
          <w:lang w:val="en-GB"/>
        </w:rPr>
        <w:t xml:space="preserve"> to use </w:t>
      </w:r>
      <w:r w:rsidR="000B60C3" w:rsidRPr="00672E9E">
        <w:rPr>
          <w:rFonts w:ascii="Times New Roman" w:hAnsi="Times New Roman"/>
          <w:lang w:val="en-GB"/>
        </w:rPr>
        <w:t xml:space="preserve">existing </w:t>
      </w:r>
      <w:r w:rsidRPr="00672E9E">
        <w:rPr>
          <w:rFonts w:ascii="Times New Roman" w:hAnsi="Times New Roman"/>
          <w:lang w:val="en-GB"/>
        </w:rPr>
        <w:t xml:space="preserve">allocated spectrum more efficiently </w:t>
      </w:r>
      <w:r w:rsidR="000B60C3" w:rsidRPr="00672E9E">
        <w:rPr>
          <w:rFonts w:ascii="Times New Roman" w:hAnsi="Times New Roman"/>
          <w:lang w:val="en-GB"/>
        </w:rPr>
        <w:t>by</w:t>
      </w:r>
      <w:r w:rsidRPr="00672E9E">
        <w:rPr>
          <w:rFonts w:ascii="Times New Roman" w:hAnsi="Times New Roman"/>
          <w:lang w:val="en-GB"/>
        </w:rPr>
        <w:t xml:space="preserve"> introduc</w:t>
      </w:r>
      <w:r w:rsidR="000B60C3" w:rsidRPr="00672E9E">
        <w:rPr>
          <w:rFonts w:ascii="Times New Roman" w:hAnsi="Times New Roman"/>
          <w:lang w:val="en-GB"/>
        </w:rPr>
        <w:t>ing</w:t>
      </w:r>
      <w:r w:rsidRPr="00672E9E">
        <w:rPr>
          <w:rFonts w:ascii="Times New Roman" w:hAnsi="Times New Roman"/>
          <w:lang w:val="en-GB"/>
        </w:rPr>
        <w:t xml:space="preserve"> new </w:t>
      </w:r>
      <w:proofErr w:type="gramStart"/>
      <w:r w:rsidR="009C724C" w:rsidRPr="00672E9E">
        <w:rPr>
          <w:rFonts w:ascii="Times New Roman" w:hAnsi="Times New Roman"/>
          <w:lang w:val="en-GB"/>
        </w:rPr>
        <w:t xml:space="preserve">technology </w:t>
      </w:r>
      <w:r w:rsidRPr="00672E9E">
        <w:rPr>
          <w:rFonts w:ascii="Times New Roman" w:hAnsi="Times New Roman"/>
          <w:lang w:val="en-GB"/>
        </w:rPr>
        <w:t xml:space="preserve"> when</w:t>
      </w:r>
      <w:proofErr w:type="gramEnd"/>
      <w:r w:rsidRPr="00672E9E">
        <w:rPr>
          <w:rFonts w:ascii="Times New Roman" w:hAnsi="Times New Roman"/>
          <w:lang w:val="en-GB"/>
        </w:rPr>
        <w:t xml:space="preserve"> necessary in line with the ICAO GANP</w:t>
      </w:r>
      <w:r w:rsidR="009F64C6" w:rsidRPr="00672E9E">
        <w:rPr>
          <w:rFonts w:ascii="Times New Roman" w:hAnsi="Times New Roman"/>
          <w:lang w:val="en-GB"/>
        </w:rPr>
        <w:t>;</w:t>
      </w:r>
    </w:p>
    <w:p w14:paraId="3EC11D5D" w14:textId="7D08C15E" w:rsidR="00BF21E1" w:rsidRPr="00672E9E" w:rsidRDefault="00BF21E1" w:rsidP="00BF21E1">
      <w:pPr>
        <w:pStyle w:val="ListParagraph"/>
        <w:numPr>
          <w:ilvl w:val="0"/>
          <w:numId w:val="12"/>
        </w:numPr>
        <w:rPr>
          <w:rFonts w:ascii="Times New Roman" w:hAnsi="Times New Roman"/>
          <w:lang w:val="en-GB"/>
        </w:rPr>
      </w:pPr>
      <w:r w:rsidRPr="00672E9E">
        <w:rPr>
          <w:rFonts w:ascii="Times New Roman" w:hAnsi="Times New Roman"/>
          <w:lang w:val="en-GB"/>
        </w:rPr>
        <w:lastRenderedPageBreak/>
        <w:t xml:space="preserve">This framework should also be relevant for and achievable by legacy and </w:t>
      </w:r>
      <w:r w:rsidR="000B60C3" w:rsidRPr="00672E9E">
        <w:rPr>
          <w:rFonts w:ascii="Times New Roman" w:hAnsi="Times New Roman"/>
          <w:lang w:val="en-GB"/>
        </w:rPr>
        <w:t>planned</w:t>
      </w:r>
      <w:r w:rsidRPr="00672E9E">
        <w:rPr>
          <w:rFonts w:ascii="Times New Roman" w:hAnsi="Times New Roman"/>
          <w:lang w:val="en-GB"/>
        </w:rPr>
        <w:t xml:space="preserve"> ICAO systems.</w:t>
      </w:r>
    </w:p>
    <w:p w14:paraId="221FEABC" w14:textId="77777777" w:rsidR="00770160" w:rsidRDefault="00C8445C" w:rsidP="008C4A2B">
      <w:pPr>
        <w:pStyle w:val="1Heading"/>
        <w:tabs>
          <w:tab w:val="clear" w:pos="720"/>
          <w:tab w:val="num" w:pos="851"/>
        </w:tabs>
        <w:ind w:left="851" w:hanging="851"/>
      </w:pPr>
      <w:r>
        <w:t>CONCLUSION</w:t>
      </w:r>
    </w:p>
    <w:p w14:paraId="0A3111A0" w14:textId="6A4F2ED2" w:rsidR="00C075F3" w:rsidRPr="007023BA" w:rsidRDefault="00EE505D" w:rsidP="007023BA">
      <w:pPr>
        <w:pStyle w:val="2para"/>
        <w:tabs>
          <w:tab w:val="clear" w:pos="720"/>
          <w:tab w:val="num" w:pos="851"/>
        </w:tabs>
        <w:ind w:left="851" w:hanging="851"/>
      </w:pPr>
      <w:r>
        <w:t>Achieving</w:t>
      </w:r>
      <w:r w:rsidR="009848E0">
        <w:t xml:space="preserve"> an effective migration path to deploy new CNS systems is not trivial. To</w:t>
      </w:r>
      <w:r>
        <w:t xml:space="preserve"> </w:t>
      </w:r>
      <w:r w:rsidR="00C075F3" w:rsidRPr="007023BA">
        <w:t xml:space="preserve">achieve this and to concurrently allow for growth and enhancement of CNS systems, a </w:t>
      </w:r>
      <w:bookmarkStart w:id="1" w:name="_Hlk83731339"/>
      <w:r w:rsidR="00C075F3" w:rsidRPr="007023BA">
        <w:t xml:space="preserve">consistent and clear compatibility and spectrum sharing framework for ICAO systems </w:t>
      </w:r>
      <w:bookmarkEnd w:id="1"/>
      <w:r w:rsidR="00C075F3" w:rsidRPr="007023BA">
        <w:t>is needed.</w:t>
      </w:r>
    </w:p>
    <w:p w14:paraId="38B038E1" w14:textId="77777777" w:rsidR="00882BC9" w:rsidRDefault="00412E2D" w:rsidP="008C4A2B">
      <w:pPr>
        <w:pStyle w:val="2para"/>
        <w:tabs>
          <w:tab w:val="clear" w:pos="720"/>
          <w:tab w:val="num" w:pos="851"/>
        </w:tabs>
        <w:ind w:left="851" w:hanging="851"/>
      </w:pPr>
      <w:r>
        <w:t xml:space="preserve">It is imperative that the spectrum stakeholders for civil aviation continue to prioritise promoting aviation’s priorities for each successive World Radio Conference in the form of the Aviation Common Position. </w:t>
      </w:r>
    </w:p>
    <w:p w14:paraId="49743564" w14:textId="3B2C6ABA" w:rsidR="00C075F3" w:rsidRDefault="00882BC9" w:rsidP="008C4A2B">
      <w:pPr>
        <w:pStyle w:val="2para"/>
        <w:tabs>
          <w:tab w:val="clear" w:pos="720"/>
          <w:tab w:val="num" w:pos="851"/>
        </w:tabs>
        <w:ind w:left="851" w:hanging="851"/>
      </w:pPr>
      <w:r>
        <w:t>Notwithstanding this</w:t>
      </w:r>
      <w:r w:rsidR="00412E2D">
        <w:t xml:space="preserve">, the </w:t>
      </w:r>
      <w:r>
        <w:t>agenda items for WRC-2027 provide a once-in-a-generation opportunity for aviation to place its best foot forward and to exit a persistent reactive approach and instead pursue a proactive strategy by preparing itself for a future regime in which spectrum sharing is more the norm than the exception.</w:t>
      </w:r>
    </w:p>
    <w:p w14:paraId="073D4FBB" w14:textId="77777777" w:rsidR="00AC6513" w:rsidRDefault="00AC6513" w:rsidP="008C4A2B">
      <w:pPr>
        <w:pStyle w:val="1Heading"/>
        <w:tabs>
          <w:tab w:val="clear" w:pos="720"/>
          <w:tab w:val="num" w:pos="851"/>
        </w:tabs>
        <w:ind w:left="851" w:hanging="851"/>
      </w:pPr>
      <w:r>
        <w:t>ACTION BY THE MEETING</w:t>
      </w:r>
    </w:p>
    <w:p w14:paraId="56286152" w14:textId="77777777" w:rsidR="00AC6513" w:rsidRDefault="00AC6513" w:rsidP="008C4A2B">
      <w:pPr>
        <w:pStyle w:val="2para"/>
        <w:tabs>
          <w:tab w:val="clear" w:pos="720"/>
        </w:tabs>
        <w:ind w:left="851" w:hanging="851"/>
      </w:pPr>
      <w:r>
        <w:t>The meeting is invited to:</w:t>
      </w:r>
    </w:p>
    <w:p w14:paraId="662A5CF4" w14:textId="45BE0EF7" w:rsidR="00AC6513" w:rsidRPr="00884666" w:rsidRDefault="00AC6513" w:rsidP="008C4A2B">
      <w:pPr>
        <w:pStyle w:val="Listabc"/>
        <w:tabs>
          <w:tab w:val="clear" w:pos="360"/>
          <w:tab w:val="left" w:pos="1418"/>
        </w:tabs>
        <w:ind w:left="1560" w:hanging="709"/>
      </w:pPr>
      <w:r w:rsidRPr="00884666">
        <w:rPr>
          <w:lang w:val="en-GB"/>
        </w:rPr>
        <w:t>n</w:t>
      </w:r>
      <w:r w:rsidRPr="00884666">
        <w:t>ote the contents of this working paper;</w:t>
      </w:r>
    </w:p>
    <w:p w14:paraId="7546DBD0" w14:textId="34C93E8F" w:rsidR="009059DB" w:rsidRPr="00884666" w:rsidRDefault="009059DB" w:rsidP="009059DB">
      <w:pPr>
        <w:pStyle w:val="Listabc"/>
        <w:tabs>
          <w:tab w:val="clear" w:pos="360"/>
          <w:tab w:val="num" w:pos="1418"/>
        </w:tabs>
        <w:ind w:left="1418" w:hanging="567"/>
      </w:pPr>
      <w:r>
        <w:t>discuss the objectives for a requirements framework for spectrum sharing set out in this paper;</w:t>
      </w:r>
    </w:p>
    <w:p w14:paraId="30BF3525" w14:textId="53AB9328" w:rsidR="008512C6" w:rsidRDefault="00DE16BE" w:rsidP="00DE7877">
      <w:pPr>
        <w:pStyle w:val="Listabc"/>
        <w:tabs>
          <w:tab w:val="clear" w:pos="360"/>
          <w:tab w:val="num" w:pos="1418"/>
        </w:tabs>
        <w:ind w:left="1418" w:hanging="567"/>
      </w:pPr>
      <w:r>
        <w:t>c</w:t>
      </w:r>
      <w:r w:rsidR="00A05943">
        <w:t xml:space="preserve">onsider holistic </w:t>
      </w:r>
      <w:r w:rsidR="00094385">
        <w:t xml:space="preserve">spectrum management </w:t>
      </w:r>
      <w:r w:rsidR="009A7E0A">
        <w:t xml:space="preserve">principles </w:t>
      </w:r>
      <w:r w:rsidR="009059DB">
        <w:t xml:space="preserve">in the update of Doc 9718 </w:t>
      </w:r>
      <w:r w:rsidR="00DE7877">
        <w:t xml:space="preserve">by </w:t>
      </w:r>
      <w:r w:rsidR="00BF21E1">
        <w:t xml:space="preserve">articulating </w:t>
      </w:r>
      <w:r w:rsidR="009A7E0A">
        <w:t xml:space="preserve">the </w:t>
      </w:r>
      <w:r w:rsidR="007023BA">
        <w:t xml:space="preserve">properties of </w:t>
      </w:r>
      <w:r w:rsidR="009A7E0A">
        <w:t>evol</w:t>
      </w:r>
      <w:r w:rsidR="009059DB">
        <w:t>v</w:t>
      </w:r>
      <w:r w:rsidR="009A7E0A">
        <w:t>ing spectrum neighbourhoods</w:t>
      </w:r>
      <w:r w:rsidR="009059DB">
        <w:t>.</w:t>
      </w:r>
    </w:p>
    <w:p w14:paraId="2F0B0BCB" w14:textId="77777777" w:rsidR="008C3FFC" w:rsidRDefault="008C3FFC" w:rsidP="00B45B7D">
      <w:pPr>
        <w:pStyle w:val="2para"/>
        <w:numPr>
          <w:ilvl w:val="0"/>
          <w:numId w:val="0"/>
        </w:numPr>
        <w:jc w:val="center"/>
      </w:pPr>
    </w:p>
    <w:p w14:paraId="55D028A3" w14:textId="77777777" w:rsidR="00365BFB" w:rsidRDefault="00770160" w:rsidP="00B45B7D">
      <w:pPr>
        <w:pStyle w:val="2para"/>
        <w:numPr>
          <w:ilvl w:val="0"/>
          <w:numId w:val="0"/>
        </w:numPr>
        <w:jc w:val="center"/>
      </w:pPr>
      <w:r>
        <w:t>— END —</w:t>
      </w:r>
    </w:p>
    <w:sectPr w:rsidR="00365BFB" w:rsidSect="00B663C2">
      <w:headerReference w:type="even" r:id="rId11"/>
      <w:headerReference w:type="default" r:id="rId12"/>
      <w:headerReference w:type="first" r:id="rId13"/>
      <w:footerReference w:type="first" r:id="rId14"/>
      <w:pgSz w:w="12242" w:h="15842" w:code="1"/>
      <w:pgMar w:top="2552"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11083" w14:textId="77777777" w:rsidR="00B5325F" w:rsidRDefault="00B5325F">
      <w:r>
        <w:separator/>
      </w:r>
    </w:p>
  </w:endnote>
  <w:endnote w:type="continuationSeparator" w:id="0">
    <w:p w14:paraId="7EA7B3F2" w14:textId="77777777" w:rsidR="00B5325F" w:rsidRDefault="00B53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9325D" w14:textId="77777777" w:rsidR="00770160" w:rsidRPr="00534325"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8C3FFC">
      <w:rPr>
        <w:noProof/>
        <w:sz w:val="18"/>
        <w:lang w:val="fr-FR"/>
      </w:rPr>
      <w:t>1</w:t>
    </w:r>
    <w:r>
      <w:rPr>
        <w:sz w:val="18"/>
        <w:lang w:val="en-US"/>
      </w:rPr>
      <w:fldChar w:fldCharType="end"/>
    </w:r>
    <w:r w:rsidRPr="00534325">
      <w:rPr>
        <w:sz w:val="18"/>
        <w:lang w:val="fr-FR"/>
      </w:rPr>
      <w:t xml:space="preserve"> pages)</w:t>
    </w:r>
  </w:p>
  <w:p w14:paraId="14EE04C9" w14:textId="2D5210D1" w:rsidR="00770160" w:rsidRPr="00687745" w:rsidRDefault="00770160">
    <w:pPr>
      <w:pStyle w:val="Footer"/>
      <w:rPr>
        <w:lang w:val="en-CA"/>
      </w:rPr>
    </w:pPr>
    <w:r>
      <w:rPr>
        <w:sz w:val="18"/>
        <w:lang w:val="en-US"/>
      </w:rPr>
      <w:fldChar w:fldCharType="begin"/>
    </w:r>
    <w:r w:rsidRPr="00687745">
      <w:rPr>
        <w:sz w:val="18"/>
        <w:lang w:val="en-CA"/>
      </w:rPr>
      <w:instrText xml:space="preserve"> FILENAME  \* MERGEFORMAT </w:instrText>
    </w:r>
    <w:r>
      <w:rPr>
        <w:sz w:val="18"/>
        <w:lang w:val="en-US"/>
      </w:rPr>
      <w:fldChar w:fldCharType="separate"/>
    </w:r>
    <w:r w:rsidR="00687745" w:rsidRPr="00687745">
      <w:rPr>
        <w:noProof/>
        <w:sz w:val="18"/>
        <w:lang w:val="en-CA"/>
      </w:rPr>
      <w:t>FSMP-WG20-WP31_Doc 9718 Chapter 8 Spectrum Strategy 0.4.docx</w:t>
    </w:r>
    <w:r>
      <w:rPr>
        <w:sz w:val="18"/>
        <w:lang w:val="en-US"/>
      </w:rPr>
      <w:fldChar w:fldCharType="end"/>
    </w:r>
    <w:r w:rsidR="00497727" w:rsidRPr="00687745">
      <w:rPr>
        <w:sz w:val="18"/>
        <w:lang w:val="en-CA"/>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415FB" w14:textId="77777777" w:rsidR="00B5325F" w:rsidRDefault="00B5325F">
      <w:r>
        <w:separator/>
      </w:r>
    </w:p>
  </w:footnote>
  <w:footnote w:type="continuationSeparator" w:id="0">
    <w:p w14:paraId="2641263A" w14:textId="77777777" w:rsidR="00B5325F" w:rsidRDefault="00B53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E70BC" w14:textId="52165910" w:rsidR="00770160" w:rsidRDefault="001449D6" w:rsidP="00B553CA">
    <w:pPr>
      <w:tabs>
        <w:tab w:val="center" w:pos="4876"/>
      </w:tabs>
      <w:spacing w:after="600"/>
    </w:pPr>
    <w:r>
      <w:t>FS</w:t>
    </w:r>
    <w:r w:rsidR="00C62653">
      <w:t>MP</w:t>
    </w:r>
    <w:r w:rsidR="0095751F">
      <w:t>-WG</w:t>
    </w:r>
    <w:r w:rsidR="00C62653">
      <w:t>/</w:t>
    </w:r>
    <w:r w:rsidR="00884666">
      <w:t>20</w:t>
    </w:r>
    <w:r w:rsidR="00970ABA">
      <w:t>/</w:t>
    </w:r>
    <w:r w:rsidR="00884666">
      <w:t>WP</w:t>
    </w:r>
    <w:r w:rsidR="00687745">
      <w:t>/31</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C3FFC">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441D" w14:textId="3589C735" w:rsidR="00770160" w:rsidRDefault="0077016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C3FFC">
      <w:rPr>
        <w:rStyle w:val="PageNumber"/>
        <w:noProof/>
      </w:rPr>
      <w:t>3</w:t>
    </w:r>
    <w:r>
      <w:rPr>
        <w:rStyle w:val="PageNumber"/>
      </w:rPr>
      <w:fldChar w:fldCharType="end"/>
    </w:r>
    <w:r>
      <w:rPr>
        <w:rStyle w:val="PageNumber"/>
      </w:rPr>
      <w:t xml:space="preserve"> -</w:t>
    </w:r>
    <w:r>
      <w:rPr>
        <w:rStyle w:val="PageNumber"/>
      </w:rPr>
      <w:tab/>
    </w:r>
    <w:r w:rsidR="00687745" w:rsidRPr="00687745">
      <w:t>FSMP-WG/20/WP/31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1736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036"/>
      <w:gridCol w:w="3754"/>
      <w:gridCol w:w="3895"/>
      <w:gridCol w:w="3766"/>
    </w:tblGrid>
    <w:tr w:rsidR="008512C6" w14:paraId="7F742A52" w14:textId="77777777" w:rsidTr="003E3931">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20E38039" w14:textId="413DC458" w:rsidR="008512C6" w:rsidRDefault="003E3931" w:rsidP="008512C6">
          <w:pPr>
            <w:autoSpaceDE w:val="0"/>
            <w:autoSpaceDN w:val="0"/>
            <w:adjustRightInd w:val="0"/>
            <w:rPr>
              <w:szCs w:val="24"/>
            </w:rPr>
          </w:pPr>
          <w:bookmarkStart w:id="2" w:name="logo"/>
          <w:bookmarkStart w:id="3" w:name="_Hlk142490824"/>
          <w:r>
            <w:rPr>
              <w:noProof/>
              <w:lang w:eastAsia="zh-CN"/>
            </w:rPr>
            <w:drawing>
              <wp:inline distT="0" distB="0" distL="0" distR="0" wp14:anchorId="79A22FDE" wp14:editId="5E1357ED">
                <wp:extent cx="1093470" cy="862330"/>
                <wp:effectExtent l="0" t="0" r="0" b="0"/>
                <wp:docPr id="1464835839"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470" cy="862330"/>
                        </a:xfrm>
                        <a:prstGeom prst="rect">
                          <a:avLst/>
                        </a:prstGeom>
                        <a:noFill/>
                        <a:ln>
                          <a:noFill/>
                        </a:ln>
                      </pic:spPr>
                    </pic:pic>
                  </a:graphicData>
                </a:graphic>
              </wp:inline>
            </w:drawing>
          </w:r>
          <w:bookmarkEnd w:id="2"/>
        </w:p>
      </w:tc>
      <w:tc>
        <w:tcPr>
          <w:tcW w:w="4036" w:type="dxa"/>
          <w:tcBorders>
            <w:top w:val="single" w:sz="2" w:space="0" w:color="FFFFFF"/>
            <w:left w:val="single" w:sz="2" w:space="0" w:color="FFFFFF"/>
            <w:bottom w:val="single" w:sz="2" w:space="0" w:color="FFFFFF"/>
            <w:right w:val="single" w:sz="2" w:space="0" w:color="FFFFFF"/>
          </w:tcBorders>
          <w:shd w:val="clear" w:color="auto" w:fill="FFFFFF"/>
        </w:tcPr>
        <w:p w14:paraId="25ED4DBE" w14:textId="77777777" w:rsidR="008512C6" w:rsidRPr="00066AB7" w:rsidRDefault="008512C6" w:rsidP="008512C6">
          <w:pPr>
            <w:rPr>
              <w:rFonts w:ascii="Arial" w:hAnsi="Arial" w:cs="Arial"/>
              <w:szCs w:val="22"/>
            </w:rPr>
          </w:pPr>
          <w:r>
            <w:rPr>
              <w:rFonts w:ascii="Arial" w:hAnsi="Arial" w:cs="Arial"/>
              <w:noProof/>
              <w:szCs w:val="22"/>
              <w:lang w:eastAsia="zh-CN"/>
            </w:rPr>
            <mc:AlternateContent>
              <mc:Choice Requires="wps">
                <w:drawing>
                  <wp:anchor distT="0" distB="0" distL="114300" distR="114300" simplePos="0" relativeHeight="251659264" behindDoc="0" locked="0" layoutInCell="1" allowOverlap="1" wp14:anchorId="33A11521" wp14:editId="45B464F6">
                    <wp:simplePos x="0" y="0"/>
                    <wp:positionH relativeFrom="column">
                      <wp:posOffset>12700</wp:posOffset>
                    </wp:positionH>
                    <wp:positionV relativeFrom="paragraph">
                      <wp:posOffset>342900</wp:posOffset>
                    </wp:positionV>
                    <wp:extent cx="2400300" cy="0"/>
                    <wp:effectExtent l="0" t="0" r="0" b="0"/>
                    <wp:wrapNone/>
                    <wp:docPr id="124190455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87583"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BCC3683" w14:textId="70487B6E" w:rsidR="008512C6" w:rsidRPr="00066AB7" w:rsidRDefault="008512C6" w:rsidP="003E3931">
          <w:pPr>
            <w:jc w:val="left"/>
            <w:rPr>
              <w:rFonts w:ascii="Arial" w:hAnsi="Arial" w:cs="Arial"/>
              <w:szCs w:val="22"/>
            </w:rPr>
          </w:pPr>
          <w:r w:rsidRPr="00066AB7">
            <w:rPr>
              <w:rFonts w:ascii="Arial" w:hAnsi="Arial" w:cs="Arial"/>
              <w:szCs w:val="22"/>
            </w:rPr>
            <w:t xml:space="preserve">International Civil Aviation </w:t>
          </w:r>
          <w:r w:rsidR="003E3931">
            <w:rPr>
              <w:rFonts w:ascii="Arial" w:hAnsi="Arial" w:cs="Arial"/>
              <w:szCs w:val="22"/>
            </w:rPr>
            <w:t>O</w:t>
          </w:r>
          <w:r w:rsidRPr="00066AB7">
            <w:rPr>
              <w:rFonts w:ascii="Arial" w:hAnsi="Arial" w:cs="Arial"/>
              <w:szCs w:val="22"/>
            </w:rPr>
            <w:t>rganization</w:t>
          </w:r>
        </w:p>
        <w:p w14:paraId="0453F3D2" w14:textId="77777777" w:rsidR="008512C6" w:rsidRPr="00066AB7" w:rsidRDefault="008512C6" w:rsidP="008512C6">
          <w:pPr>
            <w:rPr>
              <w:rFonts w:ascii="Arial" w:hAnsi="Arial" w:cs="Arial"/>
              <w:szCs w:val="22"/>
            </w:rPr>
          </w:pPr>
        </w:p>
        <w:p w14:paraId="5EC607A2" w14:textId="23BD638E" w:rsidR="008512C6" w:rsidRDefault="008512C6" w:rsidP="008512C6">
          <w:pPr>
            <w:rPr>
              <w:rFonts w:ascii="Arial" w:hAnsi="Arial" w:cs="Arial"/>
              <w:szCs w:val="22"/>
            </w:rPr>
          </w:pPr>
          <w:r w:rsidRPr="00066AB7">
            <w:rPr>
              <w:rFonts w:ascii="Arial" w:hAnsi="Arial" w:cs="Arial"/>
              <w:b/>
              <w:sz w:val="24"/>
              <w:szCs w:val="22"/>
            </w:rPr>
            <w:t>WORKING PAPER</w:t>
          </w:r>
        </w:p>
      </w:tc>
      <w:tc>
        <w:tcPr>
          <w:tcW w:w="3754" w:type="dxa"/>
          <w:tcBorders>
            <w:top w:val="single" w:sz="2" w:space="0" w:color="FFFFFF"/>
            <w:left w:val="single" w:sz="2" w:space="0" w:color="FFFFFF"/>
            <w:bottom w:val="single" w:sz="2" w:space="0" w:color="FFFFFF"/>
            <w:right w:val="single" w:sz="2" w:space="0" w:color="FFFFFF"/>
          </w:tcBorders>
          <w:shd w:val="clear" w:color="auto" w:fill="FFFFFF"/>
        </w:tcPr>
        <w:tbl>
          <w:tblPr>
            <w:tblW w:w="2281"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81"/>
          </w:tblGrid>
          <w:tr w:rsidR="008512C6" w14:paraId="70281673" w14:textId="77777777" w:rsidTr="00174B39">
            <w:trPr>
              <w:trHeight w:val="419"/>
              <w:jc w:val="right"/>
            </w:trPr>
            <w:tc>
              <w:tcPr>
                <w:tcW w:w="0" w:type="auto"/>
              </w:tcPr>
              <w:p w14:paraId="34920045" w14:textId="3A374BA5" w:rsidR="008512C6" w:rsidRPr="00066AB7" w:rsidRDefault="008512C6" w:rsidP="00687745">
                <w:pPr>
                  <w:framePr w:hSpace="180" w:wrap="around" w:vAnchor="text" w:hAnchor="text" w:y="1"/>
                  <w:suppressOverlap/>
                  <w:rPr>
                    <w:szCs w:val="22"/>
                  </w:rPr>
                </w:pPr>
                <w:r>
                  <w:rPr>
                    <w:szCs w:val="22"/>
                  </w:rPr>
                  <w:t>FSMP-WG</w:t>
                </w:r>
                <w:r w:rsidRPr="00066AB7">
                  <w:rPr>
                    <w:szCs w:val="22"/>
                  </w:rPr>
                  <w:t>/</w:t>
                </w:r>
                <w:r>
                  <w:rPr>
                    <w:szCs w:val="22"/>
                  </w:rPr>
                  <w:t>20-</w:t>
                </w:r>
                <w:r w:rsidRPr="00066AB7">
                  <w:rPr>
                    <w:szCs w:val="22"/>
                  </w:rPr>
                  <w:t>WP/</w:t>
                </w:r>
                <w:r w:rsidR="00687745">
                  <w:rPr>
                    <w:szCs w:val="22"/>
                  </w:rPr>
                  <w:t>31</w:t>
                </w:r>
              </w:p>
              <w:p w14:paraId="602114CE" w14:textId="77777777" w:rsidR="008512C6" w:rsidRPr="00066AB7" w:rsidRDefault="008512C6" w:rsidP="00687745">
                <w:pPr>
                  <w:framePr w:hSpace="180" w:wrap="around" w:vAnchor="text" w:hAnchor="text" w:y="1"/>
                  <w:suppressOverlap/>
                  <w:rPr>
                    <w:b/>
                  </w:rPr>
                </w:pPr>
                <w:r>
                  <w:rPr>
                    <w:sz w:val="18"/>
                    <w:szCs w:val="18"/>
                  </w:rPr>
                  <w:t>2025-02-26</w:t>
                </w:r>
                <w:r w:rsidRPr="00066AB7">
                  <w:rPr>
                    <w:b/>
                    <w:sz w:val="18"/>
                    <w:szCs w:val="18"/>
                  </w:rPr>
                  <w:t xml:space="preserve"> </w:t>
                </w:r>
              </w:p>
            </w:tc>
          </w:tr>
          <w:tr w:rsidR="008512C6" w14:paraId="7F76F43E" w14:textId="77777777" w:rsidTr="00174B39">
            <w:trPr>
              <w:trHeight w:val="220"/>
              <w:jc w:val="right"/>
            </w:trPr>
            <w:tc>
              <w:tcPr>
                <w:tcW w:w="0" w:type="auto"/>
              </w:tcPr>
              <w:p w14:paraId="4CF21E08" w14:textId="77777777" w:rsidR="008512C6" w:rsidRPr="00066AB7" w:rsidRDefault="008512C6" w:rsidP="00687745">
                <w:pPr>
                  <w:framePr w:hSpace="180" w:wrap="around" w:vAnchor="text" w:hAnchor="text" w:y="1"/>
                  <w:suppressOverlap/>
                  <w:rPr>
                    <w:szCs w:val="22"/>
                  </w:rPr>
                </w:pPr>
              </w:p>
            </w:tc>
          </w:tr>
        </w:tbl>
        <w:p w14:paraId="6E1FACE3" w14:textId="77777777" w:rsidR="008512C6" w:rsidRDefault="008512C6" w:rsidP="008512C6">
          <w:pPr>
            <w:rPr>
              <w:rFonts w:ascii="Arial" w:hAnsi="Arial" w:cs="Arial"/>
              <w:szCs w:val="22"/>
            </w:rPr>
          </w:pPr>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52BAC048" w14:textId="68A6B6F7" w:rsidR="008512C6" w:rsidRDefault="008512C6" w:rsidP="008512C6">
          <w:pPr>
            <w:rPr>
              <w:rFonts w:ascii="Arial" w:hAnsi="Arial" w:cs="Arial"/>
              <w:szCs w:val="22"/>
            </w:rPr>
          </w:pPr>
        </w:p>
        <w:p w14:paraId="616F5F20" w14:textId="77777777" w:rsidR="008512C6" w:rsidRDefault="008512C6" w:rsidP="008512C6">
          <w:pPr>
            <w:autoSpaceDE w:val="0"/>
            <w:autoSpaceDN w:val="0"/>
            <w:adjustRightInd w:val="0"/>
            <w:rPr>
              <w:rFonts w:ascii="Arial" w:hAnsi="Arial" w:cs="Arial"/>
              <w:b/>
              <w:sz w:val="24"/>
              <w:szCs w:val="22"/>
            </w:rPr>
          </w:pP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209"/>
          </w:tblGrid>
          <w:tr w:rsidR="008512C6" w14:paraId="4C460A66"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08A127B8" w14:textId="77777777" w:rsidR="008512C6" w:rsidRDefault="008512C6" w:rsidP="00687745">
                <w:pPr>
                  <w:framePr w:hSpace="180" w:wrap="around" w:vAnchor="text" w:hAnchor="text" w:y="1"/>
                  <w:suppressOverlap/>
                  <w:jc w:val="left"/>
                  <w:rPr>
                    <w:szCs w:val="22"/>
                  </w:rPr>
                </w:pPr>
                <w:bookmarkStart w:id="4" w:name="document_no"/>
                <w:bookmarkStart w:id="5" w:name="_Hlk142490720"/>
                <w:r>
                  <w:rPr>
                    <w:szCs w:val="22"/>
                  </w:rPr>
                  <w:t>FSMP-WG/20/</w:t>
                </w:r>
                <w:bookmarkEnd w:id="4"/>
                <w:r>
                  <w:rPr>
                    <w:szCs w:val="22"/>
                  </w:rPr>
                  <w:t>WPXX</w:t>
                </w:r>
              </w:p>
              <w:p w14:paraId="297D7033" w14:textId="77777777" w:rsidR="008512C6" w:rsidRDefault="008512C6" w:rsidP="00687745">
                <w:pPr>
                  <w:framePr w:hSpace="180" w:wrap="around" w:vAnchor="text" w:hAnchor="text" w:y="1"/>
                  <w:autoSpaceDE w:val="0"/>
                  <w:autoSpaceDN w:val="0"/>
                  <w:adjustRightInd w:val="0"/>
                  <w:suppressOverlap/>
                  <w:jc w:val="left"/>
                  <w:rPr>
                    <w:b/>
                    <w:szCs w:val="24"/>
                  </w:rPr>
                </w:pPr>
                <w:bookmarkStart w:id="6" w:name="related_to"/>
                <w:bookmarkStart w:id="7" w:name="revision_date"/>
                <w:bookmarkStart w:id="8" w:name="revision_no"/>
                <w:bookmarkStart w:id="9" w:name="addendum_corrigendum_appendix"/>
                <w:bookmarkStart w:id="10" w:name="restricted"/>
                <w:bookmarkStart w:id="11" w:name="date"/>
                <w:bookmarkEnd w:id="6"/>
                <w:bookmarkEnd w:id="7"/>
                <w:bookmarkEnd w:id="8"/>
                <w:bookmarkEnd w:id="9"/>
                <w:bookmarkEnd w:id="10"/>
                <w:r>
                  <w:rPr>
                    <w:sz w:val="18"/>
                    <w:szCs w:val="18"/>
                  </w:rPr>
                  <w:t>2025-02</w:t>
                </w:r>
                <w:bookmarkStart w:id="12" w:name="info_paper"/>
                <w:bookmarkEnd w:id="11"/>
                <w:bookmarkEnd w:id="12"/>
                <w:r>
                  <w:rPr>
                    <w:sz w:val="18"/>
                    <w:szCs w:val="18"/>
                  </w:rPr>
                  <w:t>-26</w:t>
                </w:r>
              </w:p>
            </w:tc>
          </w:tr>
          <w:tr w:rsidR="008512C6" w14:paraId="3345CF29"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609DBE6" w14:textId="77777777" w:rsidR="008512C6" w:rsidRDefault="008512C6" w:rsidP="00687745">
                <w:pPr>
                  <w:framePr w:hSpace="180" w:wrap="around" w:vAnchor="text" w:hAnchor="text" w:y="1"/>
                  <w:autoSpaceDE w:val="0"/>
                  <w:autoSpaceDN w:val="0"/>
                  <w:adjustRightInd w:val="0"/>
                  <w:suppressOverlap/>
                  <w:jc w:val="left"/>
                  <w:rPr>
                    <w:szCs w:val="22"/>
                  </w:rPr>
                </w:pPr>
              </w:p>
            </w:tc>
          </w:tr>
          <w:bookmarkEnd w:id="5"/>
        </w:tbl>
        <w:p w14:paraId="1829321C" w14:textId="77777777" w:rsidR="008512C6" w:rsidRDefault="008512C6" w:rsidP="008512C6">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bookmarkEnd w:id="3"/>
  </w:tbl>
  <w:p w14:paraId="4F08258D" w14:textId="77777777" w:rsidR="00B663C2" w:rsidRDefault="00B663C2" w:rsidP="003E3931">
    <w:pPr>
      <w:pStyle w:val="3para"/>
      <w:numPr>
        <w:ilvl w:val="0"/>
        <w:numId w:val="0"/>
      </w:numPr>
      <w:tabs>
        <w:tab w:val="left" w:pos="3097"/>
        <w:tab w:val="left" w:pos="6480"/>
      </w:tabs>
      <w:spacing w:after="0"/>
      <w:outlineLvl w:val="9"/>
      <w:rPr>
        <w:b/>
      </w:rPr>
    </w:pPr>
  </w:p>
  <w:p w14:paraId="7C9F36FA" w14:textId="77777777" w:rsidR="00B663C2" w:rsidRDefault="00B663C2" w:rsidP="003E3931">
    <w:pPr>
      <w:pStyle w:val="3para"/>
      <w:numPr>
        <w:ilvl w:val="0"/>
        <w:numId w:val="0"/>
      </w:numPr>
      <w:tabs>
        <w:tab w:val="left" w:pos="3097"/>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0A7F6484"/>
    <w:multiLevelType w:val="hybridMultilevel"/>
    <w:tmpl w:val="DAA469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A672A27"/>
    <w:multiLevelType w:val="hybridMultilevel"/>
    <w:tmpl w:val="0A468606"/>
    <w:lvl w:ilvl="0" w:tplc="04070001">
      <w:start w:val="1"/>
      <w:numFmt w:val="bullet"/>
      <w:lvlText w:val=""/>
      <w:lvlJc w:val="left"/>
      <w:pPr>
        <w:ind w:left="1800" w:hanging="360"/>
      </w:pPr>
      <w:rPr>
        <w:rFonts w:ascii="Symbol" w:hAnsi="Symbol" w:hint="default"/>
      </w:rPr>
    </w:lvl>
    <w:lvl w:ilvl="1" w:tplc="04070003">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9615F"/>
    <w:multiLevelType w:val="hybridMultilevel"/>
    <w:tmpl w:val="7DD84E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866"/>
        </w:tabs>
        <w:ind w:left="1866"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2053114847">
    <w:abstractNumId w:val="6"/>
  </w:num>
  <w:num w:numId="2" w16cid:durableId="405494992">
    <w:abstractNumId w:val="7"/>
  </w:num>
  <w:num w:numId="3" w16cid:durableId="1610815026">
    <w:abstractNumId w:val="3"/>
  </w:num>
  <w:num w:numId="4" w16cid:durableId="738988347">
    <w:abstractNumId w:val="0"/>
  </w:num>
  <w:num w:numId="5" w16cid:durableId="1054813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4901406">
    <w:abstractNumId w:val="4"/>
  </w:num>
  <w:num w:numId="7" w16cid:durableId="1685130312">
    <w:abstractNumId w:val="6"/>
  </w:num>
  <w:num w:numId="8" w16cid:durableId="1382244686">
    <w:abstractNumId w:val="6"/>
  </w:num>
  <w:num w:numId="9" w16cid:durableId="760292781">
    <w:abstractNumId w:val="5"/>
  </w:num>
  <w:num w:numId="10" w16cid:durableId="630094193">
    <w:abstractNumId w:val="1"/>
  </w:num>
  <w:num w:numId="11" w16cid:durableId="1976988293">
    <w:abstractNumId w:val="7"/>
  </w:num>
  <w:num w:numId="12" w16cid:durableId="639728901">
    <w:abstractNumId w:val="2"/>
  </w:num>
  <w:num w:numId="13" w16cid:durableId="495730507">
    <w:abstractNumId w:val="6"/>
  </w:num>
  <w:num w:numId="14" w16cid:durableId="844324798">
    <w:abstractNumId w:val="6"/>
  </w:num>
  <w:num w:numId="15" w16cid:durableId="1356688379">
    <w:abstractNumId w:val="6"/>
  </w:num>
  <w:num w:numId="16" w16cid:durableId="138378179">
    <w:abstractNumId w:val="6"/>
  </w:num>
  <w:num w:numId="17" w16cid:durableId="648292631">
    <w:abstractNumId w:val="6"/>
  </w:num>
  <w:num w:numId="18" w16cid:durableId="354159286">
    <w:abstractNumId w:val="6"/>
  </w:num>
  <w:num w:numId="19" w16cid:durableId="864292546">
    <w:abstractNumId w:val="6"/>
  </w:num>
  <w:num w:numId="20" w16cid:durableId="1464932053">
    <w:abstractNumId w:val="6"/>
  </w:num>
  <w:num w:numId="21" w16cid:durableId="3657575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fr-BE" w:vendorID="64" w:dllVersion="4096" w:nlCheck="1" w:checkStyle="0"/>
  <w:activeWritingStyle w:appName="MSWord" w:lang="fr-BE"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1BEB"/>
    <w:rsid w:val="00015E5D"/>
    <w:rsid w:val="000165A8"/>
    <w:rsid w:val="00017FFB"/>
    <w:rsid w:val="0002611D"/>
    <w:rsid w:val="00044D84"/>
    <w:rsid w:val="000465CA"/>
    <w:rsid w:val="00047F44"/>
    <w:rsid w:val="0005227D"/>
    <w:rsid w:val="000552BC"/>
    <w:rsid w:val="00057B11"/>
    <w:rsid w:val="00067667"/>
    <w:rsid w:val="00085CA8"/>
    <w:rsid w:val="00092A0D"/>
    <w:rsid w:val="00094385"/>
    <w:rsid w:val="000B60C3"/>
    <w:rsid w:val="000C0578"/>
    <w:rsid w:val="000D1F3A"/>
    <w:rsid w:val="000D4DB1"/>
    <w:rsid w:val="000E0C46"/>
    <w:rsid w:val="000F5246"/>
    <w:rsid w:val="001034A4"/>
    <w:rsid w:val="00104475"/>
    <w:rsid w:val="00107E13"/>
    <w:rsid w:val="00110899"/>
    <w:rsid w:val="00113173"/>
    <w:rsid w:val="001140AF"/>
    <w:rsid w:val="0012625A"/>
    <w:rsid w:val="001270B3"/>
    <w:rsid w:val="001311FC"/>
    <w:rsid w:val="001352AD"/>
    <w:rsid w:val="00136BBC"/>
    <w:rsid w:val="001420DC"/>
    <w:rsid w:val="001449D6"/>
    <w:rsid w:val="001502EF"/>
    <w:rsid w:val="00153170"/>
    <w:rsid w:val="00155A53"/>
    <w:rsid w:val="00161BCC"/>
    <w:rsid w:val="001641B1"/>
    <w:rsid w:val="00165A30"/>
    <w:rsid w:val="00170BDB"/>
    <w:rsid w:val="001736F2"/>
    <w:rsid w:val="001742AF"/>
    <w:rsid w:val="00174DEE"/>
    <w:rsid w:val="0018142B"/>
    <w:rsid w:val="00194465"/>
    <w:rsid w:val="001948C0"/>
    <w:rsid w:val="001A2673"/>
    <w:rsid w:val="001A333B"/>
    <w:rsid w:val="001A64D4"/>
    <w:rsid w:val="001B09C3"/>
    <w:rsid w:val="001C4331"/>
    <w:rsid w:val="001C5CB8"/>
    <w:rsid w:val="001C7CF1"/>
    <w:rsid w:val="001E0C94"/>
    <w:rsid w:val="001E73C5"/>
    <w:rsid w:val="001F1544"/>
    <w:rsid w:val="002129CE"/>
    <w:rsid w:val="00215156"/>
    <w:rsid w:val="0021615E"/>
    <w:rsid w:val="00221C4A"/>
    <w:rsid w:val="00235981"/>
    <w:rsid w:val="00250E54"/>
    <w:rsid w:val="00261B6E"/>
    <w:rsid w:val="002705C6"/>
    <w:rsid w:val="00274EDA"/>
    <w:rsid w:val="0028026A"/>
    <w:rsid w:val="00284440"/>
    <w:rsid w:val="00291428"/>
    <w:rsid w:val="002B0580"/>
    <w:rsid w:val="002C0977"/>
    <w:rsid w:val="002C487A"/>
    <w:rsid w:val="002C6751"/>
    <w:rsid w:val="002F1A4A"/>
    <w:rsid w:val="002F3D36"/>
    <w:rsid w:val="002F58D5"/>
    <w:rsid w:val="002F7D21"/>
    <w:rsid w:val="00302CB0"/>
    <w:rsid w:val="0032436E"/>
    <w:rsid w:val="003249D6"/>
    <w:rsid w:val="003261F2"/>
    <w:rsid w:val="003264A3"/>
    <w:rsid w:val="0033510D"/>
    <w:rsid w:val="00341F16"/>
    <w:rsid w:val="00342C74"/>
    <w:rsid w:val="003510DF"/>
    <w:rsid w:val="003530E4"/>
    <w:rsid w:val="00357676"/>
    <w:rsid w:val="00361F30"/>
    <w:rsid w:val="0036359A"/>
    <w:rsid w:val="00365BFB"/>
    <w:rsid w:val="00372808"/>
    <w:rsid w:val="00372F84"/>
    <w:rsid w:val="003755B4"/>
    <w:rsid w:val="00375C91"/>
    <w:rsid w:val="0038208B"/>
    <w:rsid w:val="00383609"/>
    <w:rsid w:val="003861F1"/>
    <w:rsid w:val="003B3FF8"/>
    <w:rsid w:val="003C5961"/>
    <w:rsid w:val="003D4108"/>
    <w:rsid w:val="003D7FD8"/>
    <w:rsid w:val="003E3931"/>
    <w:rsid w:val="003E3DB8"/>
    <w:rsid w:val="003E509D"/>
    <w:rsid w:val="003E6443"/>
    <w:rsid w:val="003E6C16"/>
    <w:rsid w:val="003F23BB"/>
    <w:rsid w:val="00401D91"/>
    <w:rsid w:val="004034B1"/>
    <w:rsid w:val="00412E2D"/>
    <w:rsid w:val="00415E59"/>
    <w:rsid w:val="004221A4"/>
    <w:rsid w:val="00425DD1"/>
    <w:rsid w:val="00427348"/>
    <w:rsid w:val="004312C0"/>
    <w:rsid w:val="004327BE"/>
    <w:rsid w:val="00432E49"/>
    <w:rsid w:val="00433B4A"/>
    <w:rsid w:val="00442B63"/>
    <w:rsid w:val="00443081"/>
    <w:rsid w:val="00444F51"/>
    <w:rsid w:val="00447DFE"/>
    <w:rsid w:val="00461EDB"/>
    <w:rsid w:val="00463EA8"/>
    <w:rsid w:val="004650D9"/>
    <w:rsid w:val="00465C2F"/>
    <w:rsid w:val="0046787A"/>
    <w:rsid w:val="00473D7C"/>
    <w:rsid w:val="004748E3"/>
    <w:rsid w:val="00475FEE"/>
    <w:rsid w:val="00482456"/>
    <w:rsid w:val="0048360A"/>
    <w:rsid w:val="00485BD8"/>
    <w:rsid w:val="00486BE0"/>
    <w:rsid w:val="00490274"/>
    <w:rsid w:val="004961DD"/>
    <w:rsid w:val="00497727"/>
    <w:rsid w:val="004A70A0"/>
    <w:rsid w:val="004A78B3"/>
    <w:rsid w:val="004B02DA"/>
    <w:rsid w:val="004B65BF"/>
    <w:rsid w:val="004B7C37"/>
    <w:rsid w:val="004D46B0"/>
    <w:rsid w:val="004E0F4A"/>
    <w:rsid w:val="004F7EC7"/>
    <w:rsid w:val="005042DD"/>
    <w:rsid w:val="00511FFA"/>
    <w:rsid w:val="00512A63"/>
    <w:rsid w:val="00512F7C"/>
    <w:rsid w:val="0052303B"/>
    <w:rsid w:val="005251FB"/>
    <w:rsid w:val="00534325"/>
    <w:rsid w:val="005437E1"/>
    <w:rsid w:val="005544BF"/>
    <w:rsid w:val="0055519D"/>
    <w:rsid w:val="00556C93"/>
    <w:rsid w:val="0056087A"/>
    <w:rsid w:val="00560CB7"/>
    <w:rsid w:val="0056255D"/>
    <w:rsid w:val="00564497"/>
    <w:rsid w:val="0057717E"/>
    <w:rsid w:val="00577D84"/>
    <w:rsid w:val="00582AC1"/>
    <w:rsid w:val="005A13D7"/>
    <w:rsid w:val="005A1EE7"/>
    <w:rsid w:val="005A71BE"/>
    <w:rsid w:val="005B205C"/>
    <w:rsid w:val="005B6565"/>
    <w:rsid w:val="005B68BB"/>
    <w:rsid w:val="005C2A6C"/>
    <w:rsid w:val="005D6A76"/>
    <w:rsid w:val="005E2801"/>
    <w:rsid w:val="005F5D39"/>
    <w:rsid w:val="00600706"/>
    <w:rsid w:val="00607423"/>
    <w:rsid w:val="006146F0"/>
    <w:rsid w:val="00617702"/>
    <w:rsid w:val="006225C8"/>
    <w:rsid w:val="0064564F"/>
    <w:rsid w:val="00646985"/>
    <w:rsid w:val="00656CE7"/>
    <w:rsid w:val="00656EEA"/>
    <w:rsid w:val="00666508"/>
    <w:rsid w:val="00672E9E"/>
    <w:rsid w:val="00673FF6"/>
    <w:rsid w:val="00674A29"/>
    <w:rsid w:val="006849EE"/>
    <w:rsid w:val="006855D6"/>
    <w:rsid w:val="006864FC"/>
    <w:rsid w:val="00687745"/>
    <w:rsid w:val="006948CE"/>
    <w:rsid w:val="006A0F3C"/>
    <w:rsid w:val="006A12FC"/>
    <w:rsid w:val="006B0E11"/>
    <w:rsid w:val="006B139E"/>
    <w:rsid w:val="006B21BB"/>
    <w:rsid w:val="006B78F6"/>
    <w:rsid w:val="006C6720"/>
    <w:rsid w:val="006D28BC"/>
    <w:rsid w:val="006D3702"/>
    <w:rsid w:val="006E3E30"/>
    <w:rsid w:val="006E3F5F"/>
    <w:rsid w:val="006E4AB9"/>
    <w:rsid w:val="006E6971"/>
    <w:rsid w:val="006E7246"/>
    <w:rsid w:val="007023BA"/>
    <w:rsid w:val="00702F52"/>
    <w:rsid w:val="007068BB"/>
    <w:rsid w:val="00707ADA"/>
    <w:rsid w:val="0071173B"/>
    <w:rsid w:val="0071789F"/>
    <w:rsid w:val="00731F30"/>
    <w:rsid w:val="00740F1B"/>
    <w:rsid w:val="00752045"/>
    <w:rsid w:val="00756ADC"/>
    <w:rsid w:val="00756CD1"/>
    <w:rsid w:val="007647B6"/>
    <w:rsid w:val="00766B83"/>
    <w:rsid w:val="00770160"/>
    <w:rsid w:val="00781EC7"/>
    <w:rsid w:val="007923DA"/>
    <w:rsid w:val="007A5C41"/>
    <w:rsid w:val="007B242F"/>
    <w:rsid w:val="007B7DD9"/>
    <w:rsid w:val="007C1846"/>
    <w:rsid w:val="007C4AB4"/>
    <w:rsid w:val="007C62D1"/>
    <w:rsid w:val="007D0451"/>
    <w:rsid w:val="007D4DA1"/>
    <w:rsid w:val="007D6A28"/>
    <w:rsid w:val="007E38C7"/>
    <w:rsid w:val="007E54C2"/>
    <w:rsid w:val="007E5CE5"/>
    <w:rsid w:val="007E67C6"/>
    <w:rsid w:val="007F547C"/>
    <w:rsid w:val="007F6D9C"/>
    <w:rsid w:val="00800D0E"/>
    <w:rsid w:val="00800E4B"/>
    <w:rsid w:val="00801405"/>
    <w:rsid w:val="00801D3B"/>
    <w:rsid w:val="00804212"/>
    <w:rsid w:val="00804737"/>
    <w:rsid w:val="00810C0A"/>
    <w:rsid w:val="008133F5"/>
    <w:rsid w:val="0081622E"/>
    <w:rsid w:val="00817D01"/>
    <w:rsid w:val="00821A39"/>
    <w:rsid w:val="00831B14"/>
    <w:rsid w:val="008346FF"/>
    <w:rsid w:val="0083596C"/>
    <w:rsid w:val="00836DFE"/>
    <w:rsid w:val="008512C6"/>
    <w:rsid w:val="00851C7F"/>
    <w:rsid w:val="00853C73"/>
    <w:rsid w:val="00857A12"/>
    <w:rsid w:val="00861E06"/>
    <w:rsid w:val="0086285C"/>
    <w:rsid w:val="00865FF9"/>
    <w:rsid w:val="00882BC9"/>
    <w:rsid w:val="00884666"/>
    <w:rsid w:val="00884DFC"/>
    <w:rsid w:val="00890C01"/>
    <w:rsid w:val="008930D8"/>
    <w:rsid w:val="008A05CA"/>
    <w:rsid w:val="008A1D5B"/>
    <w:rsid w:val="008A24F3"/>
    <w:rsid w:val="008A4BC7"/>
    <w:rsid w:val="008B54F7"/>
    <w:rsid w:val="008B7623"/>
    <w:rsid w:val="008C3FFC"/>
    <w:rsid w:val="008C4A2B"/>
    <w:rsid w:val="008C5523"/>
    <w:rsid w:val="008D196C"/>
    <w:rsid w:val="008D3496"/>
    <w:rsid w:val="008E0AE1"/>
    <w:rsid w:val="008F3E2B"/>
    <w:rsid w:val="008F7C55"/>
    <w:rsid w:val="009003B3"/>
    <w:rsid w:val="009059DB"/>
    <w:rsid w:val="00907383"/>
    <w:rsid w:val="00915790"/>
    <w:rsid w:val="009179FE"/>
    <w:rsid w:val="00917E36"/>
    <w:rsid w:val="009221BC"/>
    <w:rsid w:val="00923080"/>
    <w:rsid w:val="00927DDC"/>
    <w:rsid w:val="00930FD5"/>
    <w:rsid w:val="00931CB2"/>
    <w:rsid w:val="00935040"/>
    <w:rsid w:val="009362DE"/>
    <w:rsid w:val="00944A55"/>
    <w:rsid w:val="00946205"/>
    <w:rsid w:val="00947629"/>
    <w:rsid w:val="0095265D"/>
    <w:rsid w:val="00953145"/>
    <w:rsid w:val="0095485A"/>
    <w:rsid w:val="009570F8"/>
    <w:rsid w:val="0095751F"/>
    <w:rsid w:val="00964719"/>
    <w:rsid w:val="00964985"/>
    <w:rsid w:val="00966223"/>
    <w:rsid w:val="00966224"/>
    <w:rsid w:val="00970ABA"/>
    <w:rsid w:val="009713A2"/>
    <w:rsid w:val="0097225A"/>
    <w:rsid w:val="0098006D"/>
    <w:rsid w:val="009848E0"/>
    <w:rsid w:val="009874DE"/>
    <w:rsid w:val="0099419F"/>
    <w:rsid w:val="009A0291"/>
    <w:rsid w:val="009A056D"/>
    <w:rsid w:val="009A549E"/>
    <w:rsid w:val="009A5EA4"/>
    <w:rsid w:val="009A7E0A"/>
    <w:rsid w:val="009B5221"/>
    <w:rsid w:val="009C0D35"/>
    <w:rsid w:val="009C4637"/>
    <w:rsid w:val="009C53FD"/>
    <w:rsid w:val="009C5F74"/>
    <w:rsid w:val="009C63AD"/>
    <w:rsid w:val="009C724C"/>
    <w:rsid w:val="009D1063"/>
    <w:rsid w:val="009D57CC"/>
    <w:rsid w:val="009D5F66"/>
    <w:rsid w:val="009D6311"/>
    <w:rsid w:val="009E3B0D"/>
    <w:rsid w:val="009E6EA6"/>
    <w:rsid w:val="009F2F01"/>
    <w:rsid w:val="009F63C6"/>
    <w:rsid w:val="009F64C6"/>
    <w:rsid w:val="00A05943"/>
    <w:rsid w:val="00A1118D"/>
    <w:rsid w:val="00A11FDD"/>
    <w:rsid w:val="00A12CBA"/>
    <w:rsid w:val="00A148BD"/>
    <w:rsid w:val="00A26F34"/>
    <w:rsid w:val="00A32870"/>
    <w:rsid w:val="00A36064"/>
    <w:rsid w:val="00A4595B"/>
    <w:rsid w:val="00A459F8"/>
    <w:rsid w:val="00A46538"/>
    <w:rsid w:val="00A52BC0"/>
    <w:rsid w:val="00A540FE"/>
    <w:rsid w:val="00A56178"/>
    <w:rsid w:val="00A57FDA"/>
    <w:rsid w:val="00A60429"/>
    <w:rsid w:val="00A73480"/>
    <w:rsid w:val="00A74D5A"/>
    <w:rsid w:val="00A83FAC"/>
    <w:rsid w:val="00A9059B"/>
    <w:rsid w:val="00AA259A"/>
    <w:rsid w:val="00AA317A"/>
    <w:rsid w:val="00AB1FAC"/>
    <w:rsid w:val="00AB7E94"/>
    <w:rsid w:val="00AC2A74"/>
    <w:rsid w:val="00AC4CC8"/>
    <w:rsid w:val="00AC6513"/>
    <w:rsid w:val="00AD0CC4"/>
    <w:rsid w:val="00AD0DC4"/>
    <w:rsid w:val="00AD1C3E"/>
    <w:rsid w:val="00AD5B55"/>
    <w:rsid w:val="00AE054C"/>
    <w:rsid w:val="00AE578E"/>
    <w:rsid w:val="00AF3C32"/>
    <w:rsid w:val="00AF47B0"/>
    <w:rsid w:val="00B023A8"/>
    <w:rsid w:val="00B079EE"/>
    <w:rsid w:val="00B21481"/>
    <w:rsid w:val="00B221D4"/>
    <w:rsid w:val="00B2376B"/>
    <w:rsid w:val="00B262AB"/>
    <w:rsid w:val="00B27B63"/>
    <w:rsid w:val="00B34E43"/>
    <w:rsid w:val="00B35682"/>
    <w:rsid w:val="00B3641D"/>
    <w:rsid w:val="00B45B7D"/>
    <w:rsid w:val="00B47C24"/>
    <w:rsid w:val="00B51545"/>
    <w:rsid w:val="00B5325F"/>
    <w:rsid w:val="00B553CA"/>
    <w:rsid w:val="00B6358A"/>
    <w:rsid w:val="00B663C2"/>
    <w:rsid w:val="00B71DE1"/>
    <w:rsid w:val="00B8247A"/>
    <w:rsid w:val="00B83054"/>
    <w:rsid w:val="00B855BE"/>
    <w:rsid w:val="00B85CD3"/>
    <w:rsid w:val="00B96A46"/>
    <w:rsid w:val="00B97452"/>
    <w:rsid w:val="00BA10BB"/>
    <w:rsid w:val="00BA1984"/>
    <w:rsid w:val="00BA5B9D"/>
    <w:rsid w:val="00BA62E0"/>
    <w:rsid w:val="00BA77AB"/>
    <w:rsid w:val="00BB10CC"/>
    <w:rsid w:val="00BB53D1"/>
    <w:rsid w:val="00BB5CF9"/>
    <w:rsid w:val="00BB7FAA"/>
    <w:rsid w:val="00BD458D"/>
    <w:rsid w:val="00BE5D3B"/>
    <w:rsid w:val="00BF21E1"/>
    <w:rsid w:val="00BF2AE0"/>
    <w:rsid w:val="00C003AF"/>
    <w:rsid w:val="00C075F3"/>
    <w:rsid w:val="00C15E6A"/>
    <w:rsid w:val="00C209A7"/>
    <w:rsid w:val="00C21BAD"/>
    <w:rsid w:val="00C22BD2"/>
    <w:rsid w:val="00C27088"/>
    <w:rsid w:val="00C27F1B"/>
    <w:rsid w:val="00C32281"/>
    <w:rsid w:val="00C35B04"/>
    <w:rsid w:val="00C3626C"/>
    <w:rsid w:val="00C37125"/>
    <w:rsid w:val="00C40C82"/>
    <w:rsid w:val="00C41FFD"/>
    <w:rsid w:val="00C455BD"/>
    <w:rsid w:val="00C50F6B"/>
    <w:rsid w:val="00C56B1B"/>
    <w:rsid w:val="00C5712D"/>
    <w:rsid w:val="00C62653"/>
    <w:rsid w:val="00C65460"/>
    <w:rsid w:val="00C657FF"/>
    <w:rsid w:val="00C7485C"/>
    <w:rsid w:val="00C75FB7"/>
    <w:rsid w:val="00C76E4E"/>
    <w:rsid w:val="00C80E71"/>
    <w:rsid w:val="00C8445C"/>
    <w:rsid w:val="00C9069A"/>
    <w:rsid w:val="00C92A9B"/>
    <w:rsid w:val="00C93C6B"/>
    <w:rsid w:val="00C95DBE"/>
    <w:rsid w:val="00C95FD6"/>
    <w:rsid w:val="00CA2CBE"/>
    <w:rsid w:val="00CA543D"/>
    <w:rsid w:val="00CA7A8D"/>
    <w:rsid w:val="00CA7CCE"/>
    <w:rsid w:val="00CB2D6D"/>
    <w:rsid w:val="00CB5CFE"/>
    <w:rsid w:val="00CB5D27"/>
    <w:rsid w:val="00CC11ED"/>
    <w:rsid w:val="00CC1F1A"/>
    <w:rsid w:val="00CC3766"/>
    <w:rsid w:val="00CE155E"/>
    <w:rsid w:val="00CE1571"/>
    <w:rsid w:val="00CE3F79"/>
    <w:rsid w:val="00CF560E"/>
    <w:rsid w:val="00D010FD"/>
    <w:rsid w:val="00D058E8"/>
    <w:rsid w:val="00D06702"/>
    <w:rsid w:val="00D140A7"/>
    <w:rsid w:val="00D21352"/>
    <w:rsid w:val="00D21EE8"/>
    <w:rsid w:val="00D268E9"/>
    <w:rsid w:val="00D27145"/>
    <w:rsid w:val="00D34411"/>
    <w:rsid w:val="00D3555C"/>
    <w:rsid w:val="00D361E2"/>
    <w:rsid w:val="00D36A8A"/>
    <w:rsid w:val="00D379F2"/>
    <w:rsid w:val="00D40667"/>
    <w:rsid w:val="00D43690"/>
    <w:rsid w:val="00D708CE"/>
    <w:rsid w:val="00D71DCB"/>
    <w:rsid w:val="00D721D1"/>
    <w:rsid w:val="00D80CC2"/>
    <w:rsid w:val="00D9052D"/>
    <w:rsid w:val="00D91448"/>
    <w:rsid w:val="00D9258E"/>
    <w:rsid w:val="00D95078"/>
    <w:rsid w:val="00D95A2F"/>
    <w:rsid w:val="00D96C45"/>
    <w:rsid w:val="00DA3080"/>
    <w:rsid w:val="00DA7A72"/>
    <w:rsid w:val="00DB65F9"/>
    <w:rsid w:val="00DB7089"/>
    <w:rsid w:val="00DC5264"/>
    <w:rsid w:val="00DC6B7D"/>
    <w:rsid w:val="00DC6BF7"/>
    <w:rsid w:val="00DD02BB"/>
    <w:rsid w:val="00DD7680"/>
    <w:rsid w:val="00DE16BE"/>
    <w:rsid w:val="00DE2DC8"/>
    <w:rsid w:val="00DE5AA1"/>
    <w:rsid w:val="00DE7877"/>
    <w:rsid w:val="00DE7ED0"/>
    <w:rsid w:val="00DF7593"/>
    <w:rsid w:val="00E00A84"/>
    <w:rsid w:val="00E05CCE"/>
    <w:rsid w:val="00E11D04"/>
    <w:rsid w:val="00E12F30"/>
    <w:rsid w:val="00E24632"/>
    <w:rsid w:val="00E35591"/>
    <w:rsid w:val="00E44009"/>
    <w:rsid w:val="00E471CE"/>
    <w:rsid w:val="00E47E4F"/>
    <w:rsid w:val="00E51053"/>
    <w:rsid w:val="00E513D8"/>
    <w:rsid w:val="00E54739"/>
    <w:rsid w:val="00E75F15"/>
    <w:rsid w:val="00E83FCA"/>
    <w:rsid w:val="00E91435"/>
    <w:rsid w:val="00E93012"/>
    <w:rsid w:val="00E97E2F"/>
    <w:rsid w:val="00ED2955"/>
    <w:rsid w:val="00EE505D"/>
    <w:rsid w:val="00EE6ED3"/>
    <w:rsid w:val="00F0072C"/>
    <w:rsid w:val="00F02595"/>
    <w:rsid w:val="00F044D7"/>
    <w:rsid w:val="00F05CC8"/>
    <w:rsid w:val="00F1106A"/>
    <w:rsid w:val="00F150DA"/>
    <w:rsid w:val="00F150EC"/>
    <w:rsid w:val="00F17936"/>
    <w:rsid w:val="00F17CDD"/>
    <w:rsid w:val="00F21296"/>
    <w:rsid w:val="00F26353"/>
    <w:rsid w:val="00F34665"/>
    <w:rsid w:val="00F54F58"/>
    <w:rsid w:val="00F625BA"/>
    <w:rsid w:val="00F64CEB"/>
    <w:rsid w:val="00F67A1F"/>
    <w:rsid w:val="00F718BF"/>
    <w:rsid w:val="00F74899"/>
    <w:rsid w:val="00F761EA"/>
    <w:rsid w:val="00F80125"/>
    <w:rsid w:val="00F953BA"/>
    <w:rsid w:val="00FA0DCE"/>
    <w:rsid w:val="00FA1132"/>
    <w:rsid w:val="00FA6CE9"/>
    <w:rsid w:val="00FB0DAF"/>
    <w:rsid w:val="00FB0F1D"/>
    <w:rsid w:val="00FC3DDB"/>
    <w:rsid w:val="00FC5073"/>
    <w:rsid w:val="00FC6750"/>
    <w:rsid w:val="00FD23B2"/>
    <w:rsid w:val="00FD6A10"/>
    <w:rsid w:val="00FD7876"/>
    <w:rsid w:val="00FE26CE"/>
    <w:rsid w:val="00FE4F67"/>
    <w:rsid w:val="00FE566B"/>
    <w:rsid w:val="00FE5793"/>
    <w:rsid w:val="00FF0FC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10C7F"/>
  <w15:chartTrackingRefBased/>
  <w15:docId w15:val="{D75847D7-0496-4E10-98E6-8F0C44A9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numId w:val="0"/>
      </w:numPr>
      <w:tabs>
        <w:tab w:val="num" w:pos="720"/>
      </w:tabs>
      <w:spacing w:before="0"/>
      <w:ind w:left="720" w:hanging="720"/>
    </w:pPr>
  </w:style>
  <w:style w:type="paragraph" w:customStyle="1" w:styleId="3para">
    <w:name w:val="3para"/>
    <w:basedOn w:val="2Heading"/>
    <w:pPr>
      <w:numPr>
        <w:ilvl w:val="2"/>
        <w:numId w:val="1"/>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left" w:pos="1440"/>
      </w:tabs>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tabs>
        <w:tab w:val="clear" w:pos="720"/>
      </w:tabs>
      <w:ind w:left="0" w:firstLine="0"/>
    </w:pPr>
    <w:rPr>
      <w:i/>
    </w:rPr>
  </w:style>
  <w:style w:type="paragraph" w:customStyle="1" w:styleId="Listabc">
    <w:name w:val="List_a_b_c"/>
    <w:pPr>
      <w:numPr>
        <w:numId w:val="2"/>
      </w:numPr>
      <w:spacing w:after="24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Caption">
    <w:name w:val="caption"/>
    <w:basedOn w:val="Normal"/>
    <w:next w:val="Normal"/>
    <w:unhideWhenUsed/>
    <w:qFormat/>
    <w:rsid w:val="001A64D4"/>
    <w:rPr>
      <w:b/>
      <w:bCs/>
      <w:sz w:val="20"/>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0F5246"/>
    <w:rPr>
      <w:sz w:val="20"/>
    </w:rPr>
  </w:style>
  <w:style w:type="character" w:customStyle="1" w:styleId="FootnoteTextChar">
    <w:name w:val="Footnote Text Char"/>
    <w:link w:val="FootnoteText"/>
    <w:rsid w:val="000F5246"/>
    <w:rPr>
      <w:lang w:eastAsia="en-US"/>
    </w:rPr>
  </w:style>
  <w:style w:type="character" w:styleId="FootnoteReference">
    <w:name w:val="footnote reference"/>
    <w:rsid w:val="000F5246"/>
    <w:rPr>
      <w:vertAlign w:val="superscript"/>
    </w:rPr>
  </w:style>
  <w:style w:type="paragraph" w:styleId="Revision">
    <w:name w:val="Revision"/>
    <w:hidden/>
    <w:uiPriority w:val="99"/>
    <w:semiHidden/>
    <w:rsid w:val="007E54C2"/>
    <w:rPr>
      <w:sz w:val="22"/>
      <w:lang w:val="en-GB" w:eastAsia="en-US"/>
    </w:rPr>
  </w:style>
  <w:style w:type="character" w:customStyle="1" w:styleId="FooterChar">
    <w:name w:val="Footer Char"/>
    <w:link w:val="Footer"/>
    <w:uiPriority w:val="99"/>
    <w:rsid w:val="00AD5B55"/>
    <w:rPr>
      <w:sz w:val="22"/>
      <w:lang w:val="en-GB" w:eastAsia="en-US"/>
    </w:rPr>
  </w:style>
  <w:style w:type="paragraph" w:styleId="ListParagraph">
    <w:name w:val="List Paragraph"/>
    <w:basedOn w:val="Normal"/>
    <w:uiPriority w:val="34"/>
    <w:qFormat/>
    <w:rsid w:val="00BF21E1"/>
    <w:pPr>
      <w:ind w:left="720"/>
      <w:contextualSpacing/>
      <w:jc w:val="left"/>
    </w:pPr>
    <w:rPr>
      <w:rFonts w:ascii="Arial" w:hAnsi="Arial"/>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 w:id="129251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02A0E-4CBC-431A-BE32-DF044F7859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3.xml><?xml version="1.0" encoding="utf-8"?>
<ds:datastoreItem xmlns:ds="http://schemas.openxmlformats.org/officeDocument/2006/customXml" ds:itemID="{394A4352-D486-4DAD-8DEA-88D2D1C925BA}">
  <ds:schemaRefs>
    <ds:schemaRef ds:uri="http://schemas.openxmlformats.org/officeDocument/2006/bibliography"/>
  </ds:schemaRefs>
</ds:datastoreItem>
</file>

<file path=customXml/itemProps4.xml><?xml version="1.0" encoding="utf-8"?>
<ds:datastoreItem xmlns:ds="http://schemas.openxmlformats.org/officeDocument/2006/customXml" ds:itemID="{642E3A4D-34FF-4DBE-B04D-D4050E86E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6</TotalTime>
  <Pages>4</Pages>
  <Words>1479</Words>
  <Characters>8095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Bertrand DESPERIER</dc:creator>
  <cp:keywords/>
  <cp:lastModifiedBy>Utsunomiya, Mie</cp:lastModifiedBy>
  <cp:revision>8</cp:revision>
  <cp:lastPrinted>2025-02-13T07:58:00Z</cp:lastPrinted>
  <dcterms:created xsi:type="dcterms:W3CDTF">2025-02-20T01:43:00Z</dcterms:created>
  <dcterms:modified xsi:type="dcterms:W3CDTF">2025-02-20T23:04:00Z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b31cf12d48ecbbee792b0408bb020cce92af8928f3d670ed1f1f637d841e4f14</vt:lpwstr>
  </property>
</Properties>
</file>