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28D36" w14:textId="77777777" w:rsidR="00C32F4A" w:rsidRDefault="00C32F4A" w:rsidP="00C32F4A">
      <w:pPr>
        <w:jc w:val="center"/>
        <w:rPr>
          <w:b/>
        </w:rPr>
      </w:pPr>
      <w:r>
        <w:rPr>
          <w:b/>
        </w:rPr>
        <w:t>FREQUENCY SPECTRUM MANAGEMENT PANEL (FSMP)</w:t>
      </w:r>
    </w:p>
    <w:p w14:paraId="62904940" w14:textId="77777777" w:rsidR="00C32F4A" w:rsidRDefault="00C32F4A" w:rsidP="00C32F4A">
      <w:pPr>
        <w:tabs>
          <w:tab w:val="left" w:pos="6972"/>
        </w:tabs>
        <w:jc w:val="center"/>
        <w:rPr>
          <w:b/>
        </w:rPr>
      </w:pPr>
    </w:p>
    <w:p w14:paraId="54570706" w14:textId="5071F175" w:rsidR="00FC389A" w:rsidRDefault="00546ECD" w:rsidP="00FC389A">
      <w:pPr>
        <w:widowControl w:val="0"/>
        <w:autoSpaceDE w:val="0"/>
        <w:autoSpaceDN w:val="0"/>
        <w:adjustRightInd w:val="0"/>
        <w:ind w:right="4"/>
        <w:jc w:val="center"/>
        <w:rPr>
          <w:rFonts w:eastAsia="SimSun"/>
          <w:b/>
          <w:caps/>
          <w:szCs w:val="24"/>
        </w:rPr>
      </w:pPr>
      <w:r>
        <w:rPr>
          <w:rFonts w:eastAsia="SimSun"/>
          <w:b/>
          <w:szCs w:val="24"/>
        </w:rPr>
        <w:t>Twentieth</w:t>
      </w:r>
      <w:r w:rsidR="00FC389A" w:rsidRPr="003A7291">
        <w:rPr>
          <w:rFonts w:eastAsia="SimSun"/>
          <w:b/>
          <w:szCs w:val="24"/>
        </w:rPr>
        <w:t xml:space="preserve"> Working Group Meeting </w:t>
      </w:r>
    </w:p>
    <w:p w14:paraId="29B544CD" w14:textId="77777777" w:rsidR="0009326E" w:rsidRDefault="0009326E" w:rsidP="0009326E">
      <w:pPr>
        <w:pStyle w:val="Maintitle"/>
      </w:pPr>
    </w:p>
    <w:p w14:paraId="2A1D3B39" w14:textId="65C009EC" w:rsidR="0009326E" w:rsidRDefault="00546ECD" w:rsidP="0009326E">
      <w:pPr>
        <w:pStyle w:val="Maintitle"/>
      </w:pPr>
      <w:r>
        <w:t>Bangkok</w:t>
      </w:r>
      <w:r w:rsidR="0020272F" w:rsidRPr="0020272F">
        <w:t xml:space="preserve">, </w:t>
      </w:r>
      <w:r>
        <w:t>Thailand</w:t>
      </w:r>
      <w:r w:rsidR="0020272F" w:rsidRPr="0020272F">
        <w:t xml:space="preserve">, </w:t>
      </w:r>
      <w:r>
        <w:t>26 February -7 March 2025</w:t>
      </w:r>
    </w:p>
    <w:p w14:paraId="3E75CFE0" w14:textId="77777777" w:rsidR="00770160" w:rsidRDefault="00770160">
      <w:pPr>
        <w:tabs>
          <w:tab w:val="left" w:pos="0"/>
          <w:tab w:val="left" w:pos="1570"/>
          <w:tab w:val="left" w:pos="1857"/>
        </w:tabs>
      </w:pPr>
    </w:p>
    <w:p w14:paraId="48B499DE" w14:textId="77777777" w:rsidR="0020272F" w:rsidRDefault="0020272F">
      <w:pPr>
        <w:tabs>
          <w:tab w:val="left" w:pos="0"/>
          <w:tab w:val="left" w:pos="1570"/>
          <w:tab w:val="left" w:pos="1857"/>
        </w:tabs>
      </w:pPr>
    </w:p>
    <w:p w14:paraId="537FBD27" w14:textId="74BC4C37" w:rsidR="00770160" w:rsidRDefault="00770160">
      <w:pPr>
        <w:pStyle w:val="Agendaitemtitle"/>
        <w:rPr>
          <w:lang w:val="sv-SE"/>
        </w:rPr>
      </w:pPr>
      <w:r>
        <w:rPr>
          <w:lang w:val="sv-SE"/>
        </w:rPr>
        <w:t>Agenda Item </w:t>
      </w:r>
      <w:r w:rsidR="00F41586">
        <w:rPr>
          <w:lang w:val="sv-SE"/>
        </w:rPr>
        <w:t>8</w:t>
      </w:r>
      <w:r>
        <w:rPr>
          <w:lang w:val="sv-SE"/>
        </w:rPr>
        <w:t>:</w:t>
      </w:r>
      <w:r>
        <w:rPr>
          <w:lang w:val="sv-SE"/>
        </w:rPr>
        <w:tab/>
      </w:r>
      <w:r w:rsidR="00F41586">
        <w:rPr>
          <w:lang w:val="sv-SE"/>
        </w:rPr>
        <w:t>Any Other Business</w:t>
      </w:r>
    </w:p>
    <w:p w14:paraId="66886366" w14:textId="77777777" w:rsidR="00770160" w:rsidRDefault="00770160">
      <w:pPr>
        <w:pStyle w:val="Agendaitemtitle"/>
        <w:rPr>
          <w:b w:val="0"/>
          <w:lang w:val="sv-SE"/>
        </w:rPr>
      </w:pPr>
    </w:p>
    <w:p w14:paraId="195A1EEB" w14:textId="77777777" w:rsidR="00770160" w:rsidRDefault="00770160">
      <w:pPr>
        <w:tabs>
          <w:tab w:val="left" w:pos="6972"/>
        </w:tabs>
        <w:rPr>
          <w:b/>
          <w:lang w:val="sv-SE"/>
        </w:rPr>
      </w:pPr>
    </w:p>
    <w:p w14:paraId="3160CF33" w14:textId="15A97EAF" w:rsidR="00770160" w:rsidRDefault="00B26D63">
      <w:pPr>
        <w:pStyle w:val="Maintitle"/>
      </w:pPr>
      <w:r>
        <w:t>Investigation of the 15.4 – 15.7 GHz frequency band for Detect and Avoid Systems</w:t>
      </w:r>
    </w:p>
    <w:p w14:paraId="69F9A959" w14:textId="77777777" w:rsidR="00770160" w:rsidRDefault="00770160">
      <w:pPr>
        <w:tabs>
          <w:tab w:val="left" w:pos="6972"/>
        </w:tabs>
      </w:pPr>
    </w:p>
    <w:p w14:paraId="29E2A2A9" w14:textId="77777777" w:rsidR="00770160" w:rsidRDefault="00770160">
      <w:pPr>
        <w:tabs>
          <w:tab w:val="left" w:pos="6972"/>
        </w:tabs>
      </w:pPr>
    </w:p>
    <w:p w14:paraId="0D381644" w14:textId="32A8AE70" w:rsidR="00A205ED" w:rsidRDefault="00770160">
      <w:pPr>
        <w:jc w:val="center"/>
      </w:pPr>
      <w:r>
        <w:t>(</w:t>
      </w:r>
      <w:r w:rsidR="00A205ED">
        <w:t xml:space="preserve">Prepared by Ivan Martin, Jean René </w:t>
      </w:r>
      <w:proofErr w:type="spellStart"/>
      <w:r w:rsidR="00DA4146">
        <w:t>G</w:t>
      </w:r>
      <w:r w:rsidR="00A205ED">
        <w:t>ely</w:t>
      </w:r>
      <w:proofErr w:type="spellEnd"/>
      <w:r w:rsidR="00A205ED">
        <w:t xml:space="preserve"> (Thales), Christian Fleury, Guillaume Novella (DGAC)</w:t>
      </w:r>
    </w:p>
    <w:p w14:paraId="7686F360" w14:textId="0887EBEE" w:rsidR="00770160" w:rsidRDefault="00770160">
      <w:pPr>
        <w:jc w:val="center"/>
      </w:pPr>
      <w:r>
        <w:t>Presented by</w:t>
      </w:r>
      <w:bookmarkStart w:id="0" w:name="presented_by"/>
      <w:bookmarkEnd w:id="0"/>
      <w:r>
        <w:t xml:space="preserve"> </w:t>
      </w:r>
      <w:r w:rsidR="008900B5">
        <w:t>Guillaume NOVELLA</w:t>
      </w:r>
      <w:r w:rsidR="0000533C">
        <w:t xml:space="preserve"> –DGAC)</w:t>
      </w:r>
      <w:r>
        <w:t>)</w:t>
      </w:r>
    </w:p>
    <w:p w14:paraId="32339CBE" w14:textId="77777777" w:rsidR="00770160" w:rsidRDefault="00770160"/>
    <w:p w14:paraId="0110EA09"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6FC1D3CA" w14:textId="77777777">
        <w:trPr>
          <w:cantSplit/>
          <w:trHeight w:hRule="exact" w:val="480"/>
          <w:jc w:val="center"/>
        </w:trPr>
        <w:tc>
          <w:tcPr>
            <w:tcW w:w="7200" w:type="dxa"/>
            <w:vAlign w:val="center"/>
          </w:tcPr>
          <w:p w14:paraId="00EF19EA" w14:textId="77777777" w:rsidR="00770160" w:rsidRDefault="00770160">
            <w:pPr>
              <w:jc w:val="center"/>
              <w:rPr>
                <w:sz w:val="24"/>
                <w:lang w:val="en-US"/>
              </w:rPr>
            </w:pPr>
            <w:r>
              <w:rPr>
                <w:b/>
              </w:rPr>
              <w:t>SUMMARY</w:t>
            </w:r>
          </w:p>
        </w:tc>
      </w:tr>
      <w:tr w:rsidR="00770160" w14:paraId="26EE90CD" w14:textId="77777777">
        <w:trPr>
          <w:cantSplit/>
          <w:jc w:val="center"/>
        </w:trPr>
        <w:tc>
          <w:tcPr>
            <w:tcW w:w="7200" w:type="dxa"/>
          </w:tcPr>
          <w:p w14:paraId="79E6D10B" w14:textId="44687170" w:rsidR="00770160" w:rsidRDefault="00787755">
            <w:pPr>
              <w:rPr>
                <w:lang w:val="en-US"/>
              </w:rPr>
            </w:pPr>
            <w:r>
              <w:rPr>
                <w:lang w:val="en-US"/>
              </w:rPr>
              <w:t xml:space="preserve">This WP continues discussion on frequency bands to support </w:t>
            </w:r>
            <w:r w:rsidR="00352D15">
              <w:rPr>
                <w:lang w:val="en-US"/>
              </w:rPr>
              <w:t xml:space="preserve">non-cooperative </w:t>
            </w:r>
            <w:r>
              <w:rPr>
                <w:lang w:val="en-US"/>
              </w:rPr>
              <w:t xml:space="preserve">Detect and Avoid (DAA) systems for remotely piloted aircraft systems (RPAS). See </w:t>
            </w:r>
            <w:hyperlink r:id="rId11" w:history="1">
              <w:r w:rsidRPr="00787755">
                <w:rPr>
                  <w:rStyle w:val="Hyperlink"/>
                  <w:lang w:val="en-US"/>
                </w:rPr>
                <w:t>FSMP-WG19-WP21</w:t>
              </w:r>
            </w:hyperlink>
            <w:r>
              <w:rPr>
                <w:lang w:val="en-US"/>
              </w:rPr>
              <w:t xml:space="preserve">. </w:t>
            </w:r>
            <w:r w:rsidR="00A6218C">
              <w:rPr>
                <w:lang w:val="en-US"/>
              </w:rPr>
              <w:t>This WP further investigates the possibility to deploy on-board DAA in the 15.4 – 15.7 GHz frequency band since this band has been identified as</w:t>
            </w:r>
            <w:r w:rsidR="003B21AE">
              <w:rPr>
                <w:lang w:val="en-US"/>
              </w:rPr>
              <w:t xml:space="preserve"> one </w:t>
            </w:r>
            <w:proofErr w:type="spellStart"/>
            <w:r w:rsidR="003B21AE">
              <w:rPr>
                <w:lang w:val="en-US"/>
              </w:rPr>
              <w:t>ofthe</w:t>
            </w:r>
            <w:proofErr w:type="spellEnd"/>
            <w:r w:rsidR="00A6218C">
              <w:rPr>
                <w:lang w:val="en-US"/>
              </w:rPr>
              <w:t xml:space="preserve"> promising band</w:t>
            </w:r>
            <w:r w:rsidR="00062086">
              <w:rPr>
                <w:lang w:val="en-US"/>
              </w:rPr>
              <w:t>s</w:t>
            </w:r>
            <w:r w:rsidR="00A6218C">
              <w:rPr>
                <w:lang w:val="en-US"/>
              </w:rPr>
              <w:t xml:space="preserve"> to fulfill RPAS DAA needs.</w:t>
            </w:r>
          </w:p>
        </w:tc>
      </w:tr>
    </w:tbl>
    <w:p w14:paraId="2935E16A" w14:textId="77777777" w:rsidR="00770160" w:rsidRDefault="00770160"/>
    <w:p w14:paraId="13156A4A" w14:textId="77777777" w:rsidR="00770160" w:rsidRDefault="00770160"/>
    <w:p w14:paraId="379B5700" w14:textId="77777777" w:rsidR="00770160" w:rsidRDefault="00770160">
      <w:pPr>
        <w:pStyle w:val="1Heading"/>
      </w:pPr>
      <w:r>
        <w:t>INTRODUCTION</w:t>
      </w:r>
    </w:p>
    <w:p w14:paraId="5D6564BA" w14:textId="37B8DFD3" w:rsidR="00770160" w:rsidRDefault="00A6218C">
      <w:pPr>
        <w:pStyle w:val="2para"/>
      </w:pPr>
      <w:r>
        <w:t xml:space="preserve">FSMP-WG-19-WP21 analysed the suitability of the frequency bands with a radionavigation or aeronautical radionavigation allocation to </w:t>
      </w:r>
      <w:r w:rsidR="009130B1">
        <w:t>support RPAS</w:t>
      </w:r>
      <w:r>
        <w:t xml:space="preserve"> </w:t>
      </w:r>
      <w:r w:rsidR="009130B1">
        <w:t>DAA needs.</w:t>
      </w:r>
    </w:p>
    <w:p w14:paraId="325CFCE3" w14:textId="43BED352" w:rsidR="009130B1" w:rsidRDefault="00BF265D">
      <w:pPr>
        <w:pStyle w:val="2para"/>
      </w:pPr>
      <w:r>
        <w:t xml:space="preserve">Main </w:t>
      </w:r>
      <w:r w:rsidR="009130B1">
        <w:t>RPAS DAA spectrum needs are reminded below:</w:t>
      </w:r>
    </w:p>
    <w:p w14:paraId="5BB4E8AB" w14:textId="2EEA758F" w:rsidR="00A166BE" w:rsidRDefault="00A166BE" w:rsidP="00A166BE">
      <w:pPr>
        <w:pStyle w:val="3para"/>
        <w:numPr>
          <w:ilvl w:val="0"/>
          <w:numId w:val="8"/>
        </w:numPr>
        <w:rPr>
          <w:lang w:val="en-US"/>
        </w:rPr>
      </w:pPr>
      <w:r>
        <w:rPr>
          <w:lang w:val="en-US"/>
        </w:rPr>
        <w:t>Since the objective of the RPAS is to perform international IFR flights in non-segregated airspace, DAA solution should be global. The</w:t>
      </w:r>
      <w:r w:rsidRPr="00B02DF4">
        <w:rPr>
          <w:lang w:val="en-US"/>
        </w:rPr>
        <w:t xml:space="preserve"> </w:t>
      </w:r>
      <w:r>
        <w:rPr>
          <w:lang w:val="en-US"/>
        </w:rPr>
        <w:t>RPAS air-to-air DAA frequency band should therefore be harmonized on a worldwide basis.</w:t>
      </w:r>
    </w:p>
    <w:p w14:paraId="464ECAA7" w14:textId="1295C650" w:rsidR="00A166BE" w:rsidRDefault="00A166BE" w:rsidP="00A166BE">
      <w:pPr>
        <w:pStyle w:val="3para"/>
        <w:numPr>
          <w:ilvl w:val="0"/>
          <w:numId w:val="8"/>
        </w:numPr>
        <w:rPr>
          <w:lang w:val="en-US"/>
        </w:rPr>
      </w:pPr>
      <w:r>
        <w:rPr>
          <w:lang w:val="en-US"/>
        </w:rPr>
        <w:t xml:space="preserve">Due to the inherent safety nature of DAA system, the DAA frequency band should have </w:t>
      </w:r>
      <w:r w:rsidR="005C1D0F">
        <w:rPr>
          <w:lang w:val="en-US"/>
        </w:rPr>
        <w:t xml:space="preserve">an </w:t>
      </w:r>
      <w:r w:rsidR="005C1D0F" w:rsidRPr="00DA1D9A">
        <w:rPr>
          <w:lang w:val="en-US"/>
        </w:rPr>
        <w:t>aeronautical radionavigation service (ARNS) allocation</w:t>
      </w:r>
      <w:r w:rsidR="005C1D0F">
        <w:rPr>
          <w:lang w:val="en-US"/>
        </w:rPr>
        <w:t xml:space="preserve"> and </w:t>
      </w:r>
      <w:r w:rsidR="005C1D0F" w:rsidRPr="005C1D0F">
        <w:rPr>
          <w:lang w:val="en-US"/>
        </w:rPr>
        <w:t xml:space="preserve">appropriate protection must be provided against harmful interference. </w:t>
      </w:r>
    </w:p>
    <w:p w14:paraId="67764E23" w14:textId="28455F17" w:rsidR="009130B1" w:rsidRDefault="009130B1" w:rsidP="00472B53">
      <w:pPr>
        <w:pStyle w:val="2para"/>
      </w:pPr>
      <w:r>
        <w:t xml:space="preserve">It has to be noted that RPAS SARPs does not preclude the use of ground based detect and avoid, under the responsibility of the State of the Operator, based on the results of a specific safety risk assessment </w:t>
      </w:r>
      <w:r>
        <w:lastRenderedPageBreak/>
        <w:t>conducted by the operator which demonstrates how an equivalent level of safety will be maintained. It is anticipated that ground based DAA would rely on primary radars</w:t>
      </w:r>
      <w:r w:rsidR="00352D15">
        <w:t xml:space="preserve"> and can share “usual” civil aviation radar frequency bands</w:t>
      </w:r>
      <w:r w:rsidR="00BF265D">
        <w:t xml:space="preserve"> (for example, 1240 – 1370 MHz, 2.7 – 2.9 GHz, 9 – 9.2 GHz)</w:t>
      </w:r>
      <w:r w:rsidR="00352D15">
        <w:t xml:space="preserve">. The coexistence between radars sharing the same band can be ensured through frequency coordination process and separation distance. </w:t>
      </w:r>
    </w:p>
    <w:p w14:paraId="2AEBB5D8" w14:textId="1C7D9DD0" w:rsidR="00352D15" w:rsidRDefault="0097224D" w:rsidP="0097224D">
      <w:pPr>
        <w:pStyle w:val="2para"/>
      </w:pPr>
      <w:r>
        <w:t xml:space="preserve">However, on a nominal </w:t>
      </w:r>
      <w:r w:rsidR="00BF265D">
        <w:t>basis</w:t>
      </w:r>
      <w:r>
        <w:t xml:space="preserve">, fulfilment of </w:t>
      </w:r>
      <w:r w:rsidR="005C1D0F">
        <w:t xml:space="preserve">ICAO </w:t>
      </w:r>
      <w:r>
        <w:t xml:space="preserve">Annex 6 Part IV § </w:t>
      </w:r>
      <w:r w:rsidRPr="0097224D">
        <w:t>6.20.2.1</w:t>
      </w:r>
      <w:r>
        <w:t xml:space="preserve"> mandating an automated collision avoidance system can be done through on-board DAA. This identification of a frequency band to </w:t>
      </w:r>
      <w:proofErr w:type="spellStart"/>
      <w:r>
        <w:t>fulill</w:t>
      </w:r>
      <w:proofErr w:type="spellEnd"/>
      <w:r>
        <w:t xml:space="preserve"> RPAS DAA spectrum needs seems more difficult than for ground based DAA. However, the 15.4 – 15.7 GHz band is</w:t>
      </w:r>
      <w:r w:rsidR="009D2401">
        <w:t xml:space="preserve"> considered</w:t>
      </w:r>
      <w:r>
        <w:t xml:space="preserve"> </w:t>
      </w:r>
      <w:r w:rsidR="00062086">
        <w:t xml:space="preserve">as </w:t>
      </w:r>
      <w:r>
        <w:t>a good candidate. Consequently, this WP further explores the opportunity to use the 15.4 – 15.7 GHz band for on-board DAA.</w:t>
      </w:r>
    </w:p>
    <w:p w14:paraId="373BE148" w14:textId="4C3CA485" w:rsidR="0097224D" w:rsidRDefault="0097224D" w:rsidP="0097224D">
      <w:pPr>
        <w:pStyle w:val="2para"/>
      </w:pPr>
      <w:r>
        <w:t xml:space="preserve">At FSMP-WG19, </w:t>
      </w:r>
      <w:r w:rsidR="004A4AD8">
        <w:t xml:space="preserve">one participant indicated the 15.4 – 15.7 GHz frequency band was used by airborne </w:t>
      </w:r>
      <w:r w:rsidR="002017BE">
        <w:t>surface detection equipment (ASDE) radars</w:t>
      </w:r>
      <w:r w:rsidR="00BF265D">
        <w:t xml:space="preserve"> in its country</w:t>
      </w:r>
      <w:r w:rsidR="002017BE">
        <w:t>.</w:t>
      </w:r>
      <w:r w:rsidR="00BF265D">
        <w:t xml:space="preserve"> To a</w:t>
      </w:r>
      <w:r w:rsidR="00FE25B6">
        <w:t>dd</w:t>
      </w:r>
      <w:r w:rsidR="00BF265D">
        <w:t>ress this point,</w:t>
      </w:r>
      <w:r w:rsidR="002017BE">
        <w:t xml:space="preserve"> FMSP-WG19 report </w:t>
      </w:r>
      <w:proofErr w:type="gramStart"/>
      <w:r w:rsidR="002017BE">
        <w:t>indicates  that</w:t>
      </w:r>
      <w:proofErr w:type="gramEnd"/>
      <w:r w:rsidR="002017BE">
        <w:t xml:space="preserve"> “</w:t>
      </w:r>
      <w:r w:rsidR="002017BE" w:rsidRPr="002017BE">
        <w:rPr>
          <w:i/>
          <w:iCs/>
        </w:rPr>
        <w:t>t</w:t>
      </w:r>
      <w:r w:rsidR="002017BE" w:rsidRPr="002017BE">
        <w:rPr>
          <w:i/>
          <w:iCs/>
          <w:lang w:val="en-US"/>
        </w:rPr>
        <w:t>he meeting agrees to start the analysis on the deployment of on-board DAA, and invites participants to share information on DAA as well as other aeronautical systems operating in candidate bands for the next FSMP meeting</w:t>
      </w:r>
      <w:r w:rsidR="002017BE">
        <w:rPr>
          <w:lang w:val="en-US"/>
        </w:rPr>
        <w:t>”</w:t>
      </w:r>
      <w:r w:rsidR="002017BE" w:rsidRPr="00EE76F3">
        <w:rPr>
          <w:lang w:val="en-US"/>
        </w:rPr>
        <w:t>.</w:t>
      </w:r>
      <w:r w:rsidR="002017BE">
        <w:rPr>
          <w:lang w:val="en-US"/>
        </w:rPr>
        <w:t xml:space="preserve"> However, no information has been received regarding the characteristics of ASDE (technical parameters, number and location of radars, </w:t>
      </w:r>
      <w:proofErr w:type="spellStart"/>
      <w:r w:rsidR="002017BE">
        <w:rPr>
          <w:lang w:val="en-US"/>
        </w:rPr>
        <w:t>etc</w:t>
      </w:r>
      <w:proofErr w:type="spellEnd"/>
      <w:r w:rsidR="002017BE">
        <w:rPr>
          <w:lang w:val="en-US"/>
        </w:rPr>
        <w:t xml:space="preserve">) operating in the 15.4 – 15.7 GHz band. In order to </w:t>
      </w:r>
      <w:r w:rsidR="00BF265D">
        <w:rPr>
          <w:lang w:val="en-US"/>
        </w:rPr>
        <w:t>progress on the investigation of the 15.4 – 15.7 GHz band for on-board DAA</w:t>
      </w:r>
      <w:r w:rsidR="002017BE">
        <w:rPr>
          <w:lang w:val="en-US"/>
        </w:rPr>
        <w:t xml:space="preserve">, information from ASDE operating in </w:t>
      </w:r>
      <w:r w:rsidR="00D74551">
        <w:rPr>
          <w:lang w:val="en-US"/>
        </w:rPr>
        <w:t xml:space="preserve">other ARNS frequency bands are taken into account. Characteristics of DAA systems are given in this WP. They are consistent with the ones included from ITU </w:t>
      </w:r>
      <w:r w:rsidR="0000533C">
        <w:rPr>
          <w:lang w:val="en-US"/>
        </w:rPr>
        <w:t xml:space="preserve">working document towards </w:t>
      </w:r>
      <w:r w:rsidR="00D74551">
        <w:rPr>
          <w:lang w:val="en-US"/>
        </w:rPr>
        <w:t>preliminary draft new recommendation on DAA systems in the 15.4 – 15.7 GHz band.</w:t>
      </w:r>
    </w:p>
    <w:p w14:paraId="15D62996" w14:textId="77777777" w:rsidR="00770160" w:rsidRDefault="00770160">
      <w:pPr>
        <w:pStyle w:val="1Heading"/>
      </w:pPr>
      <w:r>
        <w:t>DISCUSSION</w:t>
      </w:r>
    </w:p>
    <w:p w14:paraId="0B6DE9C3" w14:textId="1045C0C6" w:rsidR="00F84E31" w:rsidRPr="00BE4654" w:rsidRDefault="00F84E31" w:rsidP="00F84E31">
      <w:pPr>
        <w:pStyle w:val="2para"/>
        <w:rPr>
          <w:b/>
          <w:bCs/>
        </w:rPr>
      </w:pPr>
      <w:r w:rsidRPr="00BE4654">
        <w:rPr>
          <w:b/>
          <w:bCs/>
        </w:rPr>
        <w:t>Use of the frequency band 15.4 – 15.7 GHz</w:t>
      </w:r>
    </w:p>
    <w:p w14:paraId="6A33A165" w14:textId="202284D1" w:rsidR="00F84E31" w:rsidRDefault="00F84E31" w:rsidP="00F84E31">
      <w:pPr>
        <w:pStyle w:val="3para"/>
      </w:pPr>
      <w:r>
        <w:t xml:space="preserve">The </w:t>
      </w:r>
      <w:r w:rsidR="00BF265D">
        <w:t>t</w:t>
      </w:r>
      <w:r>
        <w:t>able below is an extract of the ITU-R RR about the allocations in the frequency bands 15.4 – 15.7 GHz.</w:t>
      </w:r>
    </w:p>
    <w:p w14:paraId="4A693B95" w14:textId="64FF59F0" w:rsidR="00F84E31" w:rsidRDefault="00F84E31" w:rsidP="00F84E31">
      <w:pPr>
        <w:pStyle w:val="3para"/>
        <w:numPr>
          <w:ilvl w:val="0"/>
          <w:numId w:val="0"/>
        </w:numPr>
        <w:jc w:val="center"/>
      </w:pPr>
      <w:r>
        <w:rPr>
          <w:noProof/>
          <w:lang w:val="fr-FR" w:eastAsia="fr-FR"/>
        </w:rPr>
        <w:drawing>
          <wp:inline distT="0" distB="0" distL="0" distR="0" wp14:anchorId="26B4455C" wp14:editId="2CBCE08D">
            <wp:extent cx="3498574" cy="2942343"/>
            <wp:effectExtent l="0" t="0" r="6985" b="0"/>
            <wp:docPr id="6537750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775043" name=""/>
                    <pic:cNvPicPr/>
                  </pic:nvPicPr>
                  <pic:blipFill rotWithShape="1">
                    <a:blip r:embed="rId12"/>
                    <a:srcRect l="29674" t="17357" r="19448" b="6571"/>
                    <a:stretch/>
                  </pic:blipFill>
                  <pic:spPr bwMode="auto">
                    <a:xfrm>
                      <a:off x="0" y="0"/>
                      <a:ext cx="3524268" cy="2963952"/>
                    </a:xfrm>
                    <a:prstGeom prst="rect">
                      <a:avLst/>
                    </a:prstGeom>
                    <a:ln>
                      <a:noFill/>
                    </a:ln>
                    <a:extLst>
                      <a:ext uri="{53640926-AAD7-44D8-BBD7-CCE9431645EC}">
                        <a14:shadowObscured xmlns:a14="http://schemas.microsoft.com/office/drawing/2010/main"/>
                      </a:ext>
                    </a:extLst>
                  </pic:spPr>
                </pic:pic>
              </a:graphicData>
            </a:graphic>
          </wp:inline>
        </w:drawing>
      </w:r>
    </w:p>
    <w:p w14:paraId="3B3BED5D" w14:textId="084EEFF6" w:rsidR="009E0F8B" w:rsidRDefault="009E0F8B" w:rsidP="009E0F8B">
      <w:pPr>
        <w:pStyle w:val="3para"/>
      </w:pPr>
      <w:r>
        <w:lastRenderedPageBreak/>
        <w:t>It has to be noted that:</w:t>
      </w:r>
    </w:p>
    <w:p w14:paraId="27972938" w14:textId="7843206E" w:rsidR="009E0F8B" w:rsidRDefault="009E0F8B" w:rsidP="00472B53">
      <w:pPr>
        <w:pStyle w:val="3para"/>
        <w:numPr>
          <w:ilvl w:val="0"/>
          <w:numId w:val="9"/>
        </w:numPr>
      </w:pPr>
      <w:r>
        <w:t>No 5.511E states: “In the frequency band 15.4-15.7 GHz, stations operating in the radiolocation service shall not cause harmful interference to, or claim protection from, stations operating in the aeronautical radionavigation service”. As a consequence, there is not a lot of radiolocation systems operating in the 15.4 – 15.7 GHz band. Those radiolocation systems prefer to use frequencies above 15.7 GHz where the constraint of No 5.511E does not apply.</w:t>
      </w:r>
    </w:p>
    <w:p w14:paraId="30AAA740" w14:textId="4CF3ACD0" w:rsidR="009E0F8B" w:rsidRDefault="009E0F8B" w:rsidP="00472B53">
      <w:pPr>
        <w:pStyle w:val="3para"/>
        <w:numPr>
          <w:ilvl w:val="0"/>
          <w:numId w:val="9"/>
        </w:numPr>
      </w:pPr>
      <w:r>
        <w:t xml:space="preserve">The AM(OR)S allocation in </w:t>
      </w:r>
      <w:proofErr w:type="gramStart"/>
      <w:r>
        <w:t>Region</w:t>
      </w:r>
      <w:proofErr w:type="gramEnd"/>
      <w:r>
        <w:t xml:space="preserve"> 1 is quite new (WRC-23). It is a secondary allocation, without any massive deployment foreseen in this band.</w:t>
      </w:r>
    </w:p>
    <w:p w14:paraId="70E70FA5" w14:textId="1C45A382" w:rsidR="001A3CA7" w:rsidRDefault="001A3CA7" w:rsidP="001A3CA7">
      <w:pPr>
        <w:pStyle w:val="3para"/>
        <w:numPr>
          <w:ilvl w:val="0"/>
          <w:numId w:val="9"/>
        </w:numPr>
      </w:pPr>
      <w:r>
        <w:t>Fixed satellite service (Earth to Space) is used for FSS feeder link. Emissions are therefore localized around FSS ground stations where coexistence with ARNS is ensured through ITU-R Rec S.1340.</w:t>
      </w:r>
    </w:p>
    <w:p w14:paraId="74AAAAC2" w14:textId="691CE440" w:rsidR="009E0F8B" w:rsidRDefault="00472B53" w:rsidP="00472B53">
      <w:pPr>
        <w:pStyle w:val="3para"/>
      </w:pPr>
      <w:r>
        <w:t>In the 15.4 – 15.7 GHz frequency band, the</w:t>
      </w:r>
      <w:r w:rsidR="005A2CF7">
        <w:t xml:space="preserve"> terrestrial MIFR contains 61 </w:t>
      </w:r>
      <w:proofErr w:type="gramStart"/>
      <w:r w:rsidR="005A2CF7">
        <w:t>stations .</w:t>
      </w:r>
      <w:proofErr w:type="gramEnd"/>
      <w:r w:rsidR="005A2CF7">
        <w:t xml:space="preserve"> All of them are part of the ARNS. </w:t>
      </w:r>
      <w:r w:rsidR="001A2E98">
        <w:t>Stations in Finland are not located on airport, and stations in Sweden are mobile</w:t>
      </w:r>
      <w:r w:rsidR="005A2CF7">
        <w:t>, therefore, they do not correspond to ASDE.</w:t>
      </w:r>
      <w:r w:rsidR="0095513B" w:rsidRPr="0095513B">
        <w:t xml:space="preserve"> </w:t>
      </w:r>
    </w:p>
    <w:tbl>
      <w:tblPr>
        <w:tblStyle w:val="TableGrid"/>
        <w:tblW w:w="0" w:type="auto"/>
        <w:jc w:val="center"/>
        <w:tblLook w:val="04A0" w:firstRow="1" w:lastRow="0" w:firstColumn="1" w:lastColumn="0" w:noHBand="0" w:noVBand="1"/>
      </w:tblPr>
      <w:tblGrid>
        <w:gridCol w:w="3246"/>
        <w:gridCol w:w="3246"/>
      </w:tblGrid>
      <w:tr w:rsidR="005A2CF7" w14:paraId="36F5D5B0" w14:textId="77777777" w:rsidTr="005A2CF7">
        <w:trPr>
          <w:jc w:val="center"/>
        </w:trPr>
        <w:tc>
          <w:tcPr>
            <w:tcW w:w="3246" w:type="dxa"/>
          </w:tcPr>
          <w:p w14:paraId="5EC9F179" w14:textId="2237DEC4" w:rsidR="005A2CF7" w:rsidRDefault="005A2CF7" w:rsidP="005A2CF7">
            <w:pPr>
              <w:pStyle w:val="3para"/>
              <w:numPr>
                <w:ilvl w:val="0"/>
                <w:numId w:val="0"/>
              </w:numPr>
            </w:pPr>
            <w:r>
              <w:t>Registering administration</w:t>
            </w:r>
          </w:p>
        </w:tc>
        <w:tc>
          <w:tcPr>
            <w:tcW w:w="3246" w:type="dxa"/>
          </w:tcPr>
          <w:p w14:paraId="04418C79" w14:textId="1C4C4E6A" w:rsidR="005A2CF7" w:rsidRDefault="005A2CF7" w:rsidP="005A2CF7">
            <w:pPr>
              <w:pStyle w:val="3para"/>
              <w:numPr>
                <w:ilvl w:val="0"/>
                <w:numId w:val="0"/>
              </w:numPr>
            </w:pPr>
            <w:r>
              <w:t>Number of stations</w:t>
            </w:r>
          </w:p>
        </w:tc>
      </w:tr>
      <w:tr w:rsidR="005A2CF7" w14:paraId="0653EBBD" w14:textId="77777777" w:rsidTr="005A2CF7">
        <w:trPr>
          <w:jc w:val="center"/>
        </w:trPr>
        <w:tc>
          <w:tcPr>
            <w:tcW w:w="3246" w:type="dxa"/>
          </w:tcPr>
          <w:p w14:paraId="1013A186" w14:textId="7773F8FC" w:rsidR="005A2CF7" w:rsidRDefault="005A2CF7" w:rsidP="005A2CF7">
            <w:pPr>
              <w:pStyle w:val="3para"/>
              <w:numPr>
                <w:ilvl w:val="0"/>
                <w:numId w:val="0"/>
              </w:numPr>
            </w:pPr>
            <w:r>
              <w:t>FIN</w:t>
            </w:r>
          </w:p>
        </w:tc>
        <w:tc>
          <w:tcPr>
            <w:tcW w:w="3246" w:type="dxa"/>
          </w:tcPr>
          <w:p w14:paraId="5C284A53" w14:textId="27CEB803" w:rsidR="005A2CF7" w:rsidRDefault="005A2CF7" w:rsidP="005A2CF7">
            <w:pPr>
              <w:pStyle w:val="3para"/>
              <w:numPr>
                <w:ilvl w:val="0"/>
                <w:numId w:val="0"/>
              </w:numPr>
            </w:pPr>
            <w:r>
              <w:t>45</w:t>
            </w:r>
          </w:p>
        </w:tc>
      </w:tr>
      <w:tr w:rsidR="005A2CF7" w14:paraId="5E5213CF" w14:textId="77777777" w:rsidTr="005A2CF7">
        <w:trPr>
          <w:jc w:val="center"/>
        </w:trPr>
        <w:tc>
          <w:tcPr>
            <w:tcW w:w="3246" w:type="dxa"/>
          </w:tcPr>
          <w:p w14:paraId="5C87735F" w14:textId="3723C7D2" w:rsidR="005A2CF7" w:rsidRDefault="005A2CF7" w:rsidP="005A2CF7">
            <w:pPr>
              <w:pStyle w:val="3para"/>
              <w:numPr>
                <w:ilvl w:val="0"/>
                <w:numId w:val="0"/>
              </w:numPr>
            </w:pPr>
            <w:r>
              <w:t>S</w:t>
            </w:r>
          </w:p>
        </w:tc>
        <w:tc>
          <w:tcPr>
            <w:tcW w:w="3246" w:type="dxa"/>
          </w:tcPr>
          <w:p w14:paraId="5361E8D0" w14:textId="0D7C86C5" w:rsidR="005A2CF7" w:rsidRDefault="005A2CF7" w:rsidP="005A2CF7">
            <w:pPr>
              <w:pStyle w:val="3para"/>
              <w:numPr>
                <w:ilvl w:val="0"/>
                <w:numId w:val="0"/>
              </w:numPr>
            </w:pPr>
            <w:r>
              <w:t>10</w:t>
            </w:r>
          </w:p>
        </w:tc>
      </w:tr>
      <w:tr w:rsidR="005A2CF7" w14:paraId="21FC3E13" w14:textId="77777777" w:rsidTr="005A2CF7">
        <w:trPr>
          <w:jc w:val="center"/>
        </w:trPr>
        <w:tc>
          <w:tcPr>
            <w:tcW w:w="3246" w:type="dxa"/>
          </w:tcPr>
          <w:p w14:paraId="0DCECD89" w14:textId="0DC99A4F" w:rsidR="005A2CF7" w:rsidRDefault="005A2CF7" w:rsidP="005A2CF7">
            <w:pPr>
              <w:pStyle w:val="3para"/>
              <w:numPr>
                <w:ilvl w:val="0"/>
                <w:numId w:val="0"/>
              </w:numPr>
            </w:pPr>
            <w:r>
              <w:t>USA</w:t>
            </w:r>
          </w:p>
        </w:tc>
        <w:tc>
          <w:tcPr>
            <w:tcW w:w="3246" w:type="dxa"/>
          </w:tcPr>
          <w:p w14:paraId="51AFB25F" w14:textId="7D4ADEDF" w:rsidR="005A2CF7" w:rsidRDefault="005A2CF7" w:rsidP="005A2CF7">
            <w:pPr>
              <w:pStyle w:val="3para"/>
              <w:numPr>
                <w:ilvl w:val="0"/>
                <w:numId w:val="0"/>
              </w:numPr>
            </w:pPr>
            <w:r>
              <w:t>6</w:t>
            </w:r>
          </w:p>
        </w:tc>
      </w:tr>
    </w:tbl>
    <w:p w14:paraId="5EC1AF93" w14:textId="77777777" w:rsidR="005A2CF7" w:rsidRDefault="005A2CF7" w:rsidP="005A2CF7">
      <w:pPr>
        <w:pStyle w:val="3para"/>
        <w:numPr>
          <w:ilvl w:val="0"/>
          <w:numId w:val="0"/>
        </w:numPr>
      </w:pPr>
    </w:p>
    <w:p w14:paraId="5864FB87" w14:textId="19731CCE" w:rsidR="003629A9" w:rsidRDefault="003629A9" w:rsidP="003629A9">
      <w:pPr>
        <w:pStyle w:val="3para"/>
      </w:pPr>
      <w:r>
        <w:t xml:space="preserve">The maximum necessary bandwidth of US stations in the MIFR </w:t>
      </w:r>
      <w:r w:rsidR="00A205ED">
        <w:t>in the 15.4 – 15.7 GHz band and which</w:t>
      </w:r>
      <w:r>
        <w:t xml:space="preserve"> correspond to ASDE is 2 </w:t>
      </w:r>
      <w:proofErr w:type="spellStart"/>
      <w:r>
        <w:t>MHz.</w:t>
      </w:r>
      <w:proofErr w:type="spellEnd"/>
      <w:r>
        <w:t xml:space="preserve"> </w:t>
      </w:r>
      <w:r w:rsidR="00F84E31">
        <w:t>T</w:t>
      </w:r>
      <w:r>
        <w:t xml:space="preserve">his </w:t>
      </w:r>
      <w:r w:rsidR="00A205ED">
        <w:t xml:space="preserve">is </w:t>
      </w:r>
      <w:r w:rsidR="008E2167">
        <w:t>lower than</w:t>
      </w:r>
      <w:r>
        <w:t xml:space="preserve"> bandwidth of ASDE systems in ITU-R Rec M.1796 that are reminded in</w:t>
      </w:r>
      <w:r w:rsidR="00E105B8">
        <w:t xml:space="preserve"> </w:t>
      </w:r>
      <w:r w:rsidR="00E105B8">
        <w:fldChar w:fldCharType="begin"/>
      </w:r>
      <w:r w:rsidR="00E105B8">
        <w:instrText xml:space="preserve"> REF _Ref187417368 \h </w:instrText>
      </w:r>
      <w:r w:rsidR="00E105B8">
        <w:fldChar w:fldCharType="separate"/>
      </w:r>
      <w:r w:rsidR="00E105B8">
        <w:t xml:space="preserve">Table </w:t>
      </w:r>
      <w:r w:rsidR="00E105B8">
        <w:rPr>
          <w:noProof/>
        </w:rPr>
        <w:t>1</w:t>
      </w:r>
      <w:r w:rsidR="00E105B8">
        <w:fldChar w:fldCharType="end"/>
      </w:r>
      <w:r w:rsidR="00A205ED">
        <w:t xml:space="preserve"> (9 – 9.2 GHz band)</w:t>
      </w:r>
      <w:r>
        <w:t>.</w:t>
      </w:r>
      <w:r w:rsidR="008E2167">
        <w:t xml:space="preserve"> In addition, ASDE radars typically points below the horizon. It is therefore unlikely that RPAS DAA main beam to be aligned with ASDE radar main bea</w:t>
      </w:r>
      <w:r w:rsidR="00C7695C">
        <w:t>m</w:t>
      </w:r>
      <w:r w:rsidR="008E2167">
        <w:t xml:space="preserve"> when the RPA is flying.</w:t>
      </w:r>
    </w:p>
    <w:tbl>
      <w:tblPr>
        <w:tblStyle w:val="TableGrid"/>
        <w:tblW w:w="0" w:type="auto"/>
        <w:tblLook w:val="04A0" w:firstRow="1" w:lastRow="0" w:firstColumn="1" w:lastColumn="0" w:noHBand="0" w:noVBand="1"/>
      </w:tblPr>
      <w:tblGrid>
        <w:gridCol w:w="2434"/>
        <w:gridCol w:w="2434"/>
        <w:gridCol w:w="2435"/>
        <w:gridCol w:w="2435"/>
      </w:tblGrid>
      <w:tr w:rsidR="003629A9" w14:paraId="11263B58" w14:textId="77777777" w:rsidTr="003629A9">
        <w:tc>
          <w:tcPr>
            <w:tcW w:w="2434" w:type="dxa"/>
          </w:tcPr>
          <w:p w14:paraId="4298CC2F" w14:textId="77777777" w:rsidR="003629A9" w:rsidRDefault="003629A9" w:rsidP="003629A9">
            <w:pPr>
              <w:pStyle w:val="3para"/>
              <w:numPr>
                <w:ilvl w:val="0"/>
                <w:numId w:val="0"/>
              </w:numPr>
            </w:pPr>
          </w:p>
        </w:tc>
        <w:tc>
          <w:tcPr>
            <w:tcW w:w="2434" w:type="dxa"/>
          </w:tcPr>
          <w:p w14:paraId="7ADDF359" w14:textId="3AA374FE" w:rsidR="003629A9" w:rsidRDefault="003629A9" w:rsidP="003629A9">
            <w:pPr>
              <w:pStyle w:val="3para"/>
              <w:numPr>
                <w:ilvl w:val="0"/>
                <w:numId w:val="0"/>
              </w:numPr>
            </w:pPr>
            <w:r>
              <w:t>G8</w:t>
            </w:r>
          </w:p>
        </w:tc>
        <w:tc>
          <w:tcPr>
            <w:tcW w:w="2435" w:type="dxa"/>
          </w:tcPr>
          <w:p w14:paraId="2FCD9A17" w14:textId="0C36F93F" w:rsidR="003629A9" w:rsidRDefault="003629A9" w:rsidP="003629A9">
            <w:pPr>
              <w:pStyle w:val="3para"/>
              <w:numPr>
                <w:ilvl w:val="0"/>
                <w:numId w:val="0"/>
              </w:numPr>
            </w:pPr>
            <w:r>
              <w:t>G18</w:t>
            </w:r>
          </w:p>
        </w:tc>
        <w:tc>
          <w:tcPr>
            <w:tcW w:w="2435" w:type="dxa"/>
          </w:tcPr>
          <w:p w14:paraId="7D9D2876" w14:textId="167783E8" w:rsidR="003629A9" w:rsidRDefault="003629A9" w:rsidP="003629A9">
            <w:pPr>
              <w:pStyle w:val="3para"/>
              <w:numPr>
                <w:ilvl w:val="0"/>
                <w:numId w:val="0"/>
              </w:numPr>
            </w:pPr>
            <w:r>
              <w:t>G19</w:t>
            </w:r>
          </w:p>
        </w:tc>
      </w:tr>
      <w:tr w:rsidR="003629A9" w14:paraId="70A14D29" w14:textId="77777777" w:rsidTr="003629A9">
        <w:tc>
          <w:tcPr>
            <w:tcW w:w="2434" w:type="dxa"/>
          </w:tcPr>
          <w:p w14:paraId="02BF57D8" w14:textId="1D9AAFDA" w:rsidR="003629A9" w:rsidRDefault="003629A9" w:rsidP="003629A9">
            <w:pPr>
              <w:pStyle w:val="3para"/>
              <w:numPr>
                <w:ilvl w:val="0"/>
                <w:numId w:val="0"/>
              </w:numPr>
            </w:pPr>
            <w:r>
              <w:t>Bandwidth (MHz)</w:t>
            </w:r>
          </w:p>
        </w:tc>
        <w:tc>
          <w:tcPr>
            <w:tcW w:w="2434" w:type="dxa"/>
          </w:tcPr>
          <w:p w14:paraId="0199A7C7" w14:textId="7FC9981E" w:rsidR="003629A9" w:rsidRDefault="008E2167" w:rsidP="003629A9">
            <w:pPr>
              <w:pStyle w:val="3para"/>
              <w:numPr>
                <w:ilvl w:val="0"/>
                <w:numId w:val="0"/>
              </w:numPr>
            </w:pPr>
            <w:r>
              <w:t>50</w:t>
            </w:r>
          </w:p>
        </w:tc>
        <w:tc>
          <w:tcPr>
            <w:tcW w:w="2435" w:type="dxa"/>
          </w:tcPr>
          <w:p w14:paraId="7EC63A82" w14:textId="5D84C669" w:rsidR="003629A9" w:rsidRDefault="008E2167" w:rsidP="003629A9">
            <w:pPr>
              <w:pStyle w:val="3para"/>
              <w:numPr>
                <w:ilvl w:val="0"/>
                <w:numId w:val="0"/>
              </w:numPr>
            </w:pPr>
            <w:r>
              <w:t>50</w:t>
            </w:r>
          </w:p>
        </w:tc>
        <w:tc>
          <w:tcPr>
            <w:tcW w:w="2435" w:type="dxa"/>
          </w:tcPr>
          <w:p w14:paraId="15BF8D6D" w14:textId="61BE1998" w:rsidR="003629A9" w:rsidRDefault="008E2167" w:rsidP="003629A9">
            <w:pPr>
              <w:pStyle w:val="3para"/>
              <w:numPr>
                <w:ilvl w:val="0"/>
                <w:numId w:val="0"/>
              </w:numPr>
            </w:pPr>
            <w:r>
              <w:t>35</w:t>
            </w:r>
          </w:p>
        </w:tc>
      </w:tr>
      <w:tr w:rsidR="003629A9" w14:paraId="72CEA24A" w14:textId="77777777" w:rsidTr="003629A9">
        <w:tc>
          <w:tcPr>
            <w:tcW w:w="2434" w:type="dxa"/>
          </w:tcPr>
          <w:p w14:paraId="3043D9A6" w14:textId="33BE407F" w:rsidR="003629A9" w:rsidRDefault="008E2167" w:rsidP="003629A9">
            <w:pPr>
              <w:pStyle w:val="3para"/>
              <w:numPr>
                <w:ilvl w:val="0"/>
                <w:numId w:val="0"/>
              </w:numPr>
            </w:pPr>
            <w:r>
              <w:t>Elevation b</w:t>
            </w:r>
            <w:r w:rsidR="003629A9">
              <w:t>eamwidth</w:t>
            </w:r>
            <w:r>
              <w:t xml:space="preserve"> (°)</w:t>
            </w:r>
          </w:p>
        </w:tc>
        <w:tc>
          <w:tcPr>
            <w:tcW w:w="2434" w:type="dxa"/>
          </w:tcPr>
          <w:p w14:paraId="36017897" w14:textId="02695810" w:rsidR="003629A9" w:rsidRDefault="008E2167" w:rsidP="003629A9">
            <w:pPr>
              <w:pStyle w:val="3para"/>
              <w:numPr>
                <w:ilvl w:val="0"/>
                <w:numId w:val="0"/>
              </w:numPr>
            </w:pPr>
            <w:r>
              <w:t>19</w:t>
            </w:r>
          </w:p>
        </w:tc>
        <w:tc>
          <w:tcPr>
            <w:tcW w:w="2435" w:type="dxa"/>
          </w:tcPr>
          <w:p w14:paraId="717C170A" w14:textId="7C9CD7D4" w:rsidR="003629A9" w:rsidRDefault="008E2167" w:rsidP="003629A9">
            <w:pPr>
              <w:pStyle w:val="3para"/>
              <w:numPr>
                <w:ilvl w:val="0"/>
                <w:numId w:val="0"/>
              </w:numPr>
            </w:pPr>
            <w:r>
              <w:t>9.91</w:t>
            </w:r>
          </w:p>
        </w:tc>
        <w:tc>
          <w:tcPr>
            <w:tcW w:w="2435" w:type="dxa"/>
          </w:tcPr>
          <w:p w14:paraId="408CC0D6" w14:textId="4C7422BF" w:rsidR="003629A9" w:rsidRDefault="008E2167" w:rsidP="003629A9">
            <w:pPr>
              <w:pStyle w:val="3para"/>
              <w:numPr>
                <w:ilvl w:val="0"/>
                <w:numId w:val="0"/>
              </w:numPr>
            </w:pPr>
            <w:r>
              <w:t>9.91</w:t>
            </w:r>
          </w:p>
        </w:tc>
      </w:tr>
      <w:tr w:rsidR="008E2167" w14:paraId="7006BBB7" w14:textId="77777777" w:rsidTr="003629A9">
        <w:tc>
          <w:tcPr>
            <w:tcW w:w="2434" w:type="dxa"/>
          </w:tcPr>
          <w:p w14:paraId="5F40F8CD" w14:textId="6B9A8D71" w:rsidR="008E2167" w:rsidRDefault="008E2167" w:rsidP="003629A9">
            <w:pPr>
              <w:pStyle w:val="3para"/>
              <w:numPr>
                <w:ilvl w:val="0"/>
                <w:numId w:val="0"/>
              </w:numPr>
            </w:pPr>
            <w:proofErr w:type="spellStart"/>
            <w:r>
              <w:t>Azimutal</w:t>
            </w:r>
            <w:proofErr w:type="spellEnd"/>
            <w:r>
              <w:t xml:space="preserve"> beamwidth (°)</w:t>
            </w:r>
          </w:p>
        </w:tc>
        <w:tc>
          <w:tcPr>
            <w:tcW w:w="2434" w:type="dxa"/>
          </w:tcPr>
          <w:p w14:paraId="5A95A909" w14:textId="46964967" w:rsidR="008E2167" w:rsidRDefault="008E2167" w:rsidP="003629A9">
            <w:pPr>
              <w:pStyle w:val="3para"/>
              <w:numPr>
                <w:ilvl w:val="0"/>
                <w:numId w:val="0"/>
              </w:numPr>
            </w:pPr>
            <w:r>
              <w:t>0.35</w:t>
            </w:r>
          </w:p>
        </w:tc>
        <w:tc>
          <w:tcPr>
            <w:tcW w:w="2435" w:type="dxa"/>
          </w:tcPr>
          <w:p w14:paraId="3A82B2EF" w14:textId="70C92846" w:rsidR="008E2167" w:rsidRDefault="008E2167" w:rsidP="003629A9">
            <w:pPr>
              <w:pStyle w:val="3para"/>
              <w:numPr>
                <w:ilvl w:val="0"/>
                <w:numId w:val="0"/>
              </w:numPr>
            </w:pPr>
            <w:r>
              <w:t>0.37</w:t>
            </w:r>
          </w:p>
        </w:tc>
        <w:tc>
          <w:tcPr>
            <w:tcW w:w="2435" w:type="dxa"/>
          </w:tcPr>
          <w:p w14:paraId="43174D8C" w14:textId="54A99FE0" w:rsidR="008E2167" w:rsidRDefault="008E2167" w:rsidP="00E105B8">
            <w:pPr>
              <w:pStyle w:val="3para"/>
              <w:keepNext/>
              <w:numPr>
                <w:ilvl w:val="0"/>
                <w:numId w:val="0"/>
              </w:numPr>
            </w:pPr>
            <w:r>
              <w:t>0.37</w:t>
            </w:r>
          </w:p>
        </w:tc>
      </w:tr>
    </w:tbl>
    <w:p w14:paraId="4EE5025B" w14:textId="29189241" w:rsidR="0095513B" w:rsidRDefault="00E105B8" w:rsidP="00E105B8">
      <w:pPr>
        <w:pStyle w:val="NoSpacing"/>
      </w:pPr>
      <w:bookmarkStart w:id="1" w:name="_Ref187417368"/>
      <w:r>
        <w:t xml:space="preserve">Table </w:t>
      </w:r>
      <w:r>
        <w:fldChar w:fldCharType="begin"/>
      </w:r>
      <w:r>
        <w:instrText xml:space="preserve"> SEQ Table \* ARABIC </w:instrText>
      </w:r>
      <w:r>
        <w:fldChar w:fldCharType="separate"/>
      </w:r>
      <w:r w:rsidR="00503E08">
        <w:rPr>
          <w:noProof/>
        </w:rPr>
        <w:t>1</w:t>
      </w:r>
      <w:r>
        <w:fldChar w:fldCharType="end"/>
      </w:r>
      <w:bookmarkEnd w:id="1"/>
      <w:r>
        <w:t>: Characteristics of ASDE radars in the 9 - 9.2 GHz frequency band</w:t>
      </w:r>
    </w:p>
    <w:p w14:paraId="4BF6A778" w14:textId="77777777" w:rsidR="00E105B8" w:rsidRDefault="00E105B8" w:rsidP="00E105B8">
      <w:pPr>
        <w:pStyle w:val="NoSpacing"/>
      </w:pPr>
    </w:p>
    <w:p w14:paraId="59EF8AF3" w14:textId="4D1959EA" w:rsidR="00F84E31" w:rsidRPr="00503E08" w:rsidRDefault="00F84E31">
      <w:pPr>
        <w:pStyle w:val="2para"/>
        <w:rPr>
          <w:b/>
          <w:bCs/>
        </w:rPr>
      </w:pPr>
      <w:r w:rsidRPr="00503E08">
        <w:rPr>
          <w:b/>
          <w:bCs/>
        </w:rPr>
        <w:t>Technical parameters of DAA</w:t>
      </w:r>
    </w:p>
    <w:p w14:paraId="5FC0758C" w14:textId="4088BA8C" w:rsidR="00E105B8" w:rsidRDefault="00E105B8" w:rsidP="00E105B8">
      <w:pPr>
        <w:pStyle w:val="3para"/>
      </w:pPr>
      <w:r>
        <w:t xml:space="preserve">Technical parameters of DAA has been made available by manufacturers. These technical parameters are contained in </w:t>
      </w:r>
      <w:r w:rsidR="00503E08">
        <w:fldChar w:fldCharType="begin"/>
      </w:r>
      <w:r w:rsidR="00503E08">
        <w:instrText xml:space="preserve"> REF _Ref187418004 \h </w:instrText>
      </w:r>
      <w:r w:rsidR="00503E08">
        <w:fldChar w:fldCharType="separate"/>
      </w:r>
      <w:r w:rsidR="00503E08">
        <w:t xml:space="preserve">Table </w:t>
      </w:r>
      <w:r w:rsidR="00503E08">
        <w:rPr>
          <w:noProof/>
        </w:rPr>
        <w:t>2</w:t>
      </w:r>
      <w:r w:rsidR="00503E08">
        <w:fldChar w:fldCharType="end"/>
      </w:r>
      <w:r w:rsidR="00503E08">
        <w:t xml:space="preserve"> </w:t>
      </w:r>
      <w:r>
        <w:t>and were submitted to ITU-R WP-5B to contribute to the development of the DAA recommendation in the band 15.4 – 15.7 GHz.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8"/>
        <w:gridCol w:w="1058"/>
        <w:gridCol w:w="2232"/>
        <w:gridCol w:w="2230"/>
      </w:tblGrid>
      <w:tr w:rsidR="00E105B8" w:rsidRPr="00357901" w14:paraId="1AFFDFC9" w14:textId="77777777" w:rsidTr="00503E08">
        <w:trPr>
          <w:cantSplit/>
          <w:trHeight w:val="18"/>
          <w:tblHeader/>
          <w:jc w:val="center"/>
        </w:trPr>
        <w:tc>
          <w:tcPr>
            <w:tcW w:w="2166" w:type="pct"/>
            <w:hideMark/>
          </w:tcPr>
          <w:p w14:paraId="14E3372A" w14:textId="77777777" w:rsidR="00E105B8" w:rsidRPr="00357901" w:rsidRDefault="00E105B8" w:rsidP="00472B53">
            <w:pPr>
              <w:pStyle w:val="Tablehead"/>
            </w:pPr>
            <w:r w:rsidRPr="00357901">
              <w:lastRenderedPageBreak/>
              <w:t>Parameter</w:t>
            </w:r>
          </w:p>
        </w:tc>
        <w:tc>
          <w:tcPr>
            <w:tcW w:w="543" w:type="pct"/>
            <w:hideMark/>
          </w:tcPr>
          <w:p w14:paraId="6BC7F4A3" w14:textId="77777777" w:rsidR="00E105B8" w:rsidRPr="00357901" w:rsidRDefault="00E105B8" w:rsidP="00472B53">
            <w:pPr>
              <w:pStyle w:val="Tablehead"/>
            </w:pPr>
            <w:r w:rsidRPr="00357901">
              <w:t>Units</w:t>
            </w:r>
          </w:p>
        </w:tc>
        <w:tc>
          <w:tcPr>
            <w:tcW w:w="1146" w:type="pct"/>
          </w:tcPr>
          <w:p w14:paraId="636853BE" w14:textId="27098031" w:rsidR="00E105B8" w:rsidRPr="00357901" w:rsidRDefault="00E105B8" w:rsidP="00472B53">
            <w:pPr>
              <w:pStyle w:val="Tablehead"/>
            </w:pPr>
            <w:r w:rsidRPr="00357901">
              <w:t xml:space="preserve">Radar </w:t>
            </w:r>
            <w:r w:rsidR="001C3B66">
              <w:t>A</w:t>
            </w:r>
          </w:p>
        </w:tc>
        <w:tc>
          <w:tcPr>
            <w:tcW w:w="1145" w:type="pct"/>
          </w:tcPr>
          <w:p w14:paraId="34617CDC" w14:textId="1A4C570A" w:rsidR="00E105B8" w:rsidRPr="00357901" w:rsidRDefault="00E105B8" w:rsidP="00472B53">
            <w:pPr>
              <w:pStyle w:val="Tablehead"/>
            </w:pPr>
            <w:r w:rsidRPr="00357901">
              <w:t xml:space="preserve">Radar </w:t>
            </w:r>
            <w:r w:rsidR="001C3B66">
              <w:t>B</w:t>
            </w:r>
          </w:p>
        </w:tc>
      </w:tr>
      <w:tr w:rsidR="00E105B8" w:rsidRPr="00357901" w14:paraId="13A9009B" w14:textId="77777777" w:rsidTr="00503E08">
        <w:trPr>
          <w:cantSplit/>
          <w:trHeight w:val="18"/>
          <w:jc w:val="center"/>
        </w:trPr>
        <w:tc>
          <w:tcPr>
            <w:tcW w:w="2166" w:type="pct"/>
            <w:vAlign w:val="center"/>
            <w:hideMark/>
          </w:tcPr>
          <w:p w14:paraId="6538F005" w14:textId="77777777" w:rsidR="00E105B8" w:rsidRPr="00357901" w:rsidRDefault="00E105B8" w:rsidP="00472B53">
            <w:pPr>
              <w:pStyle w:val="Tabletext"/>
            </w:pPr>
            <w:r w:rsidRPr="00357901">
              <w:t>Platform</w:t>
            </w:r>
          </w:p>
        </w:tc>
        <w:tc>
          <w:tcPr>
            <w:tcW w:w="543" w:type="pct"/>
          </w:tcPr>
          <w:p w14:paraId="545CCD07" w14:textId="77777777" w:rsidR="00E105B8" w:rsidRPr="00357901" w:rsidRDefault="00E105B8" w:rsidP="00472B53">
            <w:pPr>
              <w:pStyle w:val="Tabletext"/>
              <w:jc w:val="center"/>
            </w:pPr>
          </w:p>
        </w:tc>
        <w:tc>
          <w:tcPr>
            <w:tcW w:w="1146" w:type="pct"/>
            <w:vAlign w:val="center"/>
          </w:tcPr>
          <w:p w14:paraId="487D6475" w14:textId="77777777" w:rsidR="00E105B8" w:rsidRPr="00357901" w:rsidRDefault="00E105B8" w:rsidP="00472B53">
            <w:pPr>
              <w:pStyle w:val="Tabletext"/>
              <w:jc w:val="center"/>
            </w:pPr>
            <w:r w:rsidRPr="00357901">
              <w:t>Airborne</w:t>
            </w:r>
          </w:p>
        </w:tc>
        <w:tc>
          <w:tcPr>
            <w:tcW w:w="1145" w:type="pct"/>
            <w:vAlign w:val="center"/>
          </w:tcPr>
          <w:p w14:paraId="0D83C854" w14:textId="77777777" w:rsidR="00E105B8" w:rsidRPr="00357901" w:rsidRDefault="00E105B8" w:rsidP="00472B53">
            <w:pPr>
              <w:pStyle w:val="Tabletext"/>
              <w:jc w:val="center"/>
            </w:pPr>
            <w:r w:rsidRPr="00357901">
              <w:t>Airborne</w:t>
            </w:r>
          </w:p>
        </w:tc>
      </w:tr>
      <w:tr w:rsidR="00E105B8" w:rsidRPr="00357901" w14:paraId="3E0E7DFE" w14:textId="77777777" w:rsidTr="00503E08">
        <w:trPr>
          <w:cantSplit/>
          <w:trHeight w:val="18"/>
          <w:jc w:val="center"/>
        </w:trPr>
        <w:tc>
          <w:tcPr>
            <w:tcW w:w="2166" w:type="pct"/>
            <w:vAlign w:val="center"/>
          </w:tcPr>
          <w:p w14:paraId="5588F5BA" w14:textId="42FC91CF" w:rsidR="00E105B8" w:rsidRPr="00357901" w:rsidRDefault="00E105B8" w:rsidP="00472B53">
            <w:pPr>
              <w:pStyle w:val="Tabletext"/>
            </w:pPr>
          </w:p>
        </w:tc>
        <w:tc>
          <w:tcPr>
            <w:tcW w:w="543" w:type="pct"/>
            <w:vAlign w:val="center"/>
          </w:tcPr>
          <w:p w14:paraId="0247BBFD" w14:textId="6E72775B" w:rsidR="00E105B8" w:rsidRPr="00357901" w:rsidRDefault="00E105B8" w:rsidP="00472B53">
            <w:pPr>
              <w:pStyle w:val="Tabletext"/>
              <w:jc w:val="center"/>
            </w:pPr>
          </w:p>
        </w:tc>
        <w:tc>
          <w:tcPr>
            <w:tcW w:w="1146" w:type="pct"/>
            <w:vAlign w:val="center"/>
          </w:tcPr>
          <w:p w14:paraId="4127E077" w14:textId="3859D100" w:rsidR="00E105B8" w:rsidRPr="00357901" w:rsidRDefault="00E105B8" w:rsidP="00472B53">
            <w:pPr>
              <w:pStyle w:val="Tabletext"/>
              <w:jc w:val="center"/>
            </w:pPr>
          </w:p>
        </w:tc>
        <w:tc>
          <w:tcPr>
            <w:tcW w:w="1145" w:type="pct"/>
            <w:vAlign w:val="center"/>
          </w:tcPr>
          <w:p w14:paraId="31DB1DAF" w14:textId="68B3B90D" w:rsidR="00E105B8" w:rsidRPr="00357901" w:rsidRDefault="00E105B8" w:rsidP="00472B53">
            <w:pPr>
              <w:pStyle w:val="Tabletext"/>
              <w:jc w:val="center"/>
            </w:pPr>
          </w:p>
        </w:tc>
      </w:tr>
      <w:tr w:rsidR="00E105B8" w:rsidRPr="00357901" w14:paraId="2BE73806" w14:textId="77777777" w:rsidTr="00503E08">
        <w:trPr>
          <w:cantSplit/>
          <w:trHeight w:val="18"/>
          <w:jc w:val="center"/>
        </w:trPr>
        <w:tc>
          <w:tcPr>
            <w:tcW w:w="2166" w:type="pct"/>
            <w:vAlign w:val="center"/>
            <w:hideMark/>
          </w:tcPr>
          <w:p w14:paraId="4D0454AF" w14:textId="77777777" w:rsidR="00E105B8" w:rsidRPr="00357901" w:rsidRDefault="00E105B8" w:rsidP="00472B53">
            <w:pPr>
              <w:pStyle w:val="Tabletext"/>
            </w:pPr>
            <w:r w:rsidRPr="00357901">
              <w:t>Radar type</w:t>
            </w:r>
          </w:p>
        </w:tc>
        <w:tc>
          <w:tcPr>
            <w:tcW w:w="543" w:type="pct"/>
            <w:vAlign w:val="center"/>
          </w:tcPr>
          <w:p w14:paraId="3A31AE7E" w14:textId="77777777" w:rsidR="00E105B8" w:rsidRPr="00357901" w:rsidRDefault="00E105B8" w:rsidP="00472B53">
            <w:pPr>
              <w:pStyle w:val="Tabletext"/>
              <w:jc w:val="center"/>
            </w:pPr>
          </w:p>
        </w:tc>
        <w:tc>
          <w:tcPr>
            <w:tcW w:w="1146" w:type="pct"/>
            <w:vAlign w:val="center"/>
          </w:tcPr>
          <w:p w14:paraId="178B7966" w14:textId="77777777" w:rsidR="00E105B8" w:rsidRPr="00357901" w:rsidRDefault="00E105B8" w:rsidP="00472B53">
            <w:pPr>
              <w:pStyle w:val="Tabletext"/>
              <w:jc w:val="center"/>
            </w:pPr>
            <w:r w:rsidRPr="00357901">
              <w:t>Pulse Modulation</w:t>
            </w:r>
          </w:p>
        </w:tc>
        <w:tc>
          <w:tcPr>
            <w:tcW w:w="1145" w:type="pct"/>
            <w:vAlign w:val="center"/>
          </w:tcPr>
          <w:p w14:paraId="59DDC54E" w14:textId="77777777" w:rsidR="00E105B8" w:rsidRPr="00357901" w:rsidRDefault="00E105B8" w:rsidP="00472B53">
            <w:pPr>
              <w:pStyle w:val="Tabletext"/>
              <w:jc w:val="center"/>
            </w:pPr>
            <w:r w:rsidRPr="00357901">
              <w:t>Pulse Modulation</w:t>
            </w:r>
          </w:p>
        </w:tc>
      </w:tr>
      <w:tr w:rsidR="00E105B8" w:rsidRPr="00357901" w14:paraId="194C4EBA" w14:textId="77777777" w:rsidTr="00503E08">
        <w:trPr>
          <w:cantSplit/>
          <w:trHeight w:val="18"/>
          <w:jc w:val="center"/>
        </w:trPr>
        <w:tc>
          <w:tcPr>
            <w:tcW w:w="2166" w:type="pct"/>
            <w:vAlign w:val="center"/>
          </w:tcPr>
          <w:p w14:paraId="605D0D3A" w14:textId="6D63707D" w:rsidR="00E105B8" w:rsidRPr="00357901" w:rsidRDefault="00E105B8" w:rsidP="00472B53">
            <w:pPr>
              <w:pStyle w:val="Tabletext"/>
            </w:pPr>
            <w:r w:rsidRPr="00357901">
              <w:t>Operating range</w:t>
            </w:r>
            <w:r w:rsidRPr="00357901">
              <w:br/>
            </w:r>
          </w:p>
        </w:tc>
        <w:tc>
          <w:tcPr>
            <w:tcW w:w="543" w:type="pct"/>
            <w:vAlign w:val="center"/>
          </w:tcPr>
          <w:p w14:paraId="6CD15C1C" w14:textId="77777777" w:rsidR="00E105B8" w:rsidRPr="00357901" w:rsidRDefault="00E105B8" w:rsidP="00472B53">
            <w:pPr>
              <w:pStyle w:val="Tabletext"/>
              <w:jc w:val="center"/>
            </w:pPr>
            <w:r w:rsidRPr="00357901">
              <w:t>km</w:t>
            </w:r>
          </w:p>
        </w:tc>
        <w:tc>
          <w:tcPr>
            <w:tcW w:w="1146" w:type="pct"/>
            <w:vAlign w:val="center"/>
          </w:tcPr>
          <w:p w14:paraId="3E55A4FF" w14:textId="77777777" w:rsidR="00E105B8" w:rsidRPr="00472B53" w:rsidRDefault="00E105B8" w:rsidP="00472B53">
            <w:pPr>
              <w:pStyle w:val="Tabletext"/>
              <w:jc w:val="center"/>
            </w:pPr>
            <w:r w:rsidRPr="00472B53">
              <w:t>Up to 15</w:t>
            </w:r>
          </w:p>
        </w:tc>
        <w:tc>
          <w:tcPr>
            <w:tcW w:w="1145" w:type="pct"/>
            <w:vAlign w:val="center"/>
          </w:tcPr>
          <w:p w14:paraId="76A7AAB1" w14:textId="1ADF5955" w:rsidR="00E105B8" w:rsidRPr="00472B53" w:rsidRDefault="00E105B8" w:rsidP="00472B53">
            <w:pPr>
              <w:pStyle w:val="Tabletext"/>
              <w:jc w:val="center"/>
            </w:pPr>
            <w:r w:rsidRPr="00472B53">
              <w:t>Up to 15</w:t>
            </w:r>
          </w:p>
        </w:tc>
      </w:tr>
      <w:tr w:rsidR="00E105B8" w:rsidRPr="00357901" w14:paraId="044810A0" w14:textId="77777777" w:rsidTr="00503E08">
        <w:trPr>
          <w:cantSplit/>
          <w:trHeight w:val="18"/>
          <w:jc w:val="center"/>
        </w:trPr>
        <w:tc>
          <w:tcPr>
            <w:tcW w:w="2166" w:type="pct"/>
            <w:vAlign w:val="center"/>
          </w:tcPr>
          <w:p w14:paraId="1F74E3F4" w14:textId="408DF615" w:rsidR="00E105B8" w:rsidRPr="00357901" w:rsidRDefault="00E105B8" w:rsidP="00472B53">
            <w:pPr>
              <w:pStyle w:val="Tabletext"/>
            </w:pPr>
            <w:r w:rsidRPr="00357901">
              <w:t xml:space="preserve">Maximum number of </w:t>
            </w:r>
            <w:proofErr w:type="spellStart"/>
            <w:r>
              <w:t>airbornes</w:t>
            </w:r>
            <w:proofErr w:type="spellEnd"/>
            <w:r w:rsidRPr="00357901">
              <w:t xml:space="preserve"> within the same operating area</w:t>
            </w:r>
          </w:p>
        </w:tc>
        <w:tc>
          <w:tcPr>
            <w:tcW w:w="543" w:type="pct"/>
            <w:vAlign w:val="center"/>
          </w:tcPr>
          <w:p w14:paraId="6259CBD3" w14:textId="77777777" w:rsidR="00E105B8" w:rsidRPr="00357901" w:rsidRDefault="00E105B8" w:rsidP="00472B53">
            <w:pPr>
              <w:pStyle w:val="Tabletext"/>
              <w:jc w:val="center"/>
            </w:pPr>
          </w:p>
        </w:tc>
        <w:tc>
          <w:tcPr>
            <w:tcW w:w="1146" w:type="pct"/>
            <w:vAlign w:val="center"/>
          </w:tcPr>
          <w:p w14:paraId="0EBABF7B" w14:textId="77777777" w:rsidR="00E105B8" w:rsidRPr="00357901" w:rsidRDefault="00E105B8" w:rsidP="00472B53">
            <w:pPr>
              <w:pStyle w:val="Tabletext"/>
              <w:jc w:val="center"/>
            </w:pPr>
            <w:r w:rsidRPr="00357901">
              <w:t>Up to 10</w:t>
            </w:r>
          </w:p>
        </w:tc>
        <w:tc>
          <w:tcPr>
            <w:tcW w:w="1145" w:type="pct"/>
            <w:vAlign w:val="center"/>
          </w:tcPr>
          <w:p w14:paraId="2D507FEA" w14:textId="77777777" w:rsidR="00E105B8" w:rsidRPr="00357901" w:rsidRDefault="00E105B8" w:rsidP="00472B53">
            <w:pPr>
              <w:pStyle w:val="Tabletext"/>
              <w:jc w:val="center"/>
            </w:pPr>
            <w:r w:rsidRPr="00357901">
              <w:t>Up to 20</w:t>
            </w:r>
          </w:p>
        </w:tc>
      </w:tr>
      <w:tr w:rsidR="00E105B8" w:rsidRPr="00357901" w14:paraId="7BA15C60" w14:textId="77777777" w:rsidTr="00503E08">
        <w:trPr>
          <w:cantSplit/>
          <w:trHeight w:val="18"/>
          <w:jc w:val="center"/>
        </w:trPr>
        <w:tc>
          <w:tcPr>
            <w:tcW w:w="2166" w:type="pct"/>
            <w:vAlign w:val="center"/>
          </w:tcPr>
          <w:p w14:paraId="1EB8BCA9" w14:textId="6D754C2A" w:rsidR="00E105B8" w:rsidRPr="00357901" w:rsidDel="003A26B2" w:rsidRDefault="00503E08" w:rsidP="00472B53">
            <w:pPr>
              <w:pStyle w:val="Tabletext"/>
            </w:pPr>
            <w:r>
              <w:t>Ground speed</w:t>
            </w:r>
          </w:p>
        </w:tc>
        <w:tc>
          <w:tcPr>
            <w:tcW w:w="543" w:type="pct"/>
            <w:vAlign w:val="center"/>
          </w:tcPr>
          <w:p w14:paraId="302A58DE" w14:textId="77777777" w:rsidR="00E105B8" w:rsidRPr="00357901" w:rsidRDefault="00E105B8" w:rsidP="00472B53">
            <w:pPr>
              <w:pStyle w:val="Tabletext"/>
              <w:jc w:val="center"/>
            </w:pPr>
            <w:r w:rsidRPr="00357901">
              <w:t>m/s</w:t>
            </w:r>
          </w:p>
        </w:tc>
        <w:tc>
          <w:tcPr>
            <w:tcW w:w="1146" w:type="pct"/>
            <w:vAlign w:val="center"/>
          </w:tcPr>
          <w:p w14:paraId="3FDCFD47" w14:textId="0172F855" w:rsidR="00E105B8" w:rsidRPr="00357901" w:rsidRDefault="00E105B8" w:rsidP="00472B53">
            <w:pPr>
              <w:pStyle w:val="Tabletext"/>
              <w:jc w:val="center"/>
            </w:pPr>
            <w:r w:rsidRPr="00357901">
              <w:t>Up to 150</w:t>
            </w:r>
          </w:p>
        </w:tc>
        <w:tc>
          <w:tcPr>
            <w:tcW w:w="1145" w:type="pct"/>
            <w:vAlign w:val="center"/>
          </w:tcPr>
          <w:p w14:paraId="1BED59F9" w14:textId="484B07B1" w:rsidR="00E105B8" w:rsidRPr="00357901" w:rsidRDefault="00E105B8" w:rsidP="00472B53">
            <w:pPr>
              <w:pStyle w:val="Tabletext"/>
              <w:jc w:val="center"/>
            </w:pPr>
            <w:r w:rsidRPr="00357901">
              <w:t>Up to 150</w:t>
            </w:r>
          </w:p>
        </w:tc>
      </w:tr>
      <w:tr w:rsidR="00E105B8" w:rsidRPr="00357901" w14:paraId="366D4D12" w14:textId="77777777" w:rsidTr="00503E08">
        <w:trPr>
          <w:cantSplit/>
          <w:trHeight w:val="18"/>
          <w:jc w:val="center"/>
        </w:trPr>
        <w:tc>
          <w:tcPr>
            <w:tcW w:w="2166" w:type="pct"/>
            <w:vAlign w:val="center"/>
            <w:hideMark/>
          </w:tcPr>
          <w:p w14:paraId="668219AB" w14:textId="77777777" w:rsidR="00E105B8" w:rsidRPr="00357901" w:rsidRDefault="00E105B8" w:rsidP="00472B53">
            <w:pPr>
              <w:pStyle w:val="Tabletext"/>
            </w:pPr>
            <w:r w:rsidRPr="00357901">
              <w:t xml:space="preserve">Frequency tuning range </w:t>
            </w:r>
          </w:p>
        </w:tc>
        <w:tc>
          <w:tcPr>
            <w:tcW w:w="543" w:type="pct"/>
            <w:vAlign w:val="center"/>
            <w:hideMark/>
          </w:tcPr>
          <w:p w14:paraId="281FA5AA" w14:textId="77777777" w:rsidR="00E105B8" w:rsidRPr="00357901" w:rsidRDefault="00E105B8" w:rsidP="00472B53">
            <w:pPr>
              <w:pStyle w:val="Tabletext"/>
              <w:jc w:val="center"/>
            </w:pPr>
            <w:r w:rsidRPr="00357901">
              <w:t>GHz</w:t>
            </w:r>
          </w:p>
        </w:tc>
        <w:tc>
          <w:tcPr>
            <w:tcW w:w="1146" w:type="pct"/>
            <w:vAlign w:val="center"/>
          </w:tcPr>
          <w:p w14:paraId="56BBE857" w14:textId="77777777" w:rsidR="00E105B8" w:rsidRPr="00357901" w:rsidRDefault="00E105B8" w:rsidP="00472B53">
            <w:pPr>
              <w:pStyle w:val="Tabletext"/>
              <w:jc w:val="center"/>
            </w:pPr>
            <w:r w:rsidRPr="00357901">
              <w:t>15.4-15.7</w:t>
            </w:r>
          </w:p>
        </w:tc>
        <w:tc>
          <w:tcPr>
            <w:tcW w:w="1145" w:type="pct"/>
            <w:vAlign w:val="center"/>
          </w:tcPr>
          <w:p w14:paraId="01CD2767" w14:textId="77777777" w:rsidR="00E105B8" w:rsidRPr="00357901" w:rsidRDefault="00E105B8" w:rsidP="00472B53">
            <w:pPr>
              <w:pStyle w:val="Tabletext"/>
              <w:jc w:val="center"/>
            </w:pPr>
            <w:r w:rsidRPr="00357901">
              <w:t>15.4-15.7</w:t>
            </w:r>
          </w:p>
        </w:tc>
      </w:tr>
      <w:tr w:rsidR="00E105B8" w:rsidRPr="00357901" w14:paraId="400668F5" w14:textId="77777777" w:rsidTr="00503E08">
        <w:trPr>
          <w:cantSplit/>
          <w:trHeight w:val="18"/>
          <w:jc w:val="center"/>
        </w:trPr>
        <w:tc>
          <w:tcPr>
            <w:tcW w:w="2166" w:type="pct"/>
            <w:vAlign w:val="center"/>
          </w:tcPr>
          <w:p w14:paraId="1A327D4A" w14:textId="77777777" w:rsidR="00E105B8" w:rsidRPr="00357901" w:rsidRDefault="00E105B8" w:rsidP="00472B53">
            <w:pPr>
              <w:pStyle w:val="Tabletext"/>
            </w:pPr>
            <w:r w:rsidRPr="00357901">
              <w:t>Channel selection method between radars</w:t>
            </w:r>
          </w:p>
        </w:tc>
        <w:tc>
          <w:tcPr>
            <w:tcW w:w="543" w:type="pct"/>
            <w:vAlign w:val="center"/>
          </w:tcPr>
          <w:p w14:paraId="1DFD50E2" w14:textId="77777777" w:rsidR="00E105B8" w:rsidRPr="00357901" w:rsidRDefault="00E105B8" w:rsidP="00472B53">
            <w:pPr>
              <w:pStyle w:val="Tabletext"/>
              <w:jc w:val="center"/>
            </w:pPr>
          </w:p>
        </w:tc>
        <w:tc>
          <w:tcPr>
            <w:tcW w:w="1146" w:type="pct"/>
            <w:vAlign w:val="center"/>
          </w:tcPr>
          <w:p w14:paraId="68C0B830" w14:textId="221AAE41" w:rsidR="00E105B8" w:rsidRPr="00357901" w:rsidRDefault="00E105B8" w:rsidP="00472B53">
            <w:pPr>
              <w:pStyle w:val="Tabletext"/>
              <w:jc w:val="center"/>
            </w:pPr>
            <w:r w:rsidRPr="00357901">
              <w:t>SW selectable</w:t>
            </w:r>
          </w:p>
        </w:tc>
        <w:tc>
          <w:tcPr>
            <w:tcW w:w="1145" w:type="pct"/>
            <w:vAlign w:val="center"/>
          </w:tcPr>
          <w:p w14:paraId="44670A64" w14:textId="749BBEEA" w:rsidR="00E105B8" w:rsidRPr="00357901" w:rsidRDefault="00E105B8" w:rsidP="00472B53">
            <w:pPr>
              <w:pStyle w:val="Tabletext"/>
              <w:jc w:val="center"/>
            </w:pPr>
            <w:r w:rsidRPr="00357901">
              <w:t>SW selectable</w:t>
            </w:r>
          </w:p>
        </w:tc>
      </w:tr>
      <w:tr w:rsidR="00E105B8" w:rsidRPr="00357901" w14:paraId="7ED4A811" w14:textId="77777777" w:rsidTr="00503E08">
        <w:trPr>
          <w:cantSplit/>
          <w:trHeight w:val="18"/>
          <w:jc w:val="center"/>
        </w:trPr>
        <w:tc>
          <w:tcPr>
            <w:tcW w:w="2166" w:type="pct"/>
            <w:vAlign w:val="center"/>
            <w:hideMark/>
          </w:tcPr>
          <w:p w14:paraId="50F5558C" w14:textId="77777777" w:rsidR="00E105B8" w:rsidRPr="00357901" w:rsidRDefault="00E105B8" w:rsidP="00472B53">
            <w:pPr>
              <w:pStyle w:val="Tabletext"/>
            </w:pPr>
            <w:r w:rsidRPr="00357901">
              <w:t>Pulse width (1 meter range resolution)</w:t>
            </w:r>
          </w:p>
        </w:tc>
        <w:tc>
          <w:tcPr>
            <w:tcW w:w="543" w:type="pct"/>
            <w:vAlign w:val="center"/>
            <w:hideMark/>
          </w:tcPr>
          <w:p w14:paraId="6EDFADD4" w14:textId="77777777" w:rsidR="00E105B8" w:rsidRPr="00357901" w:rsidRDefault="00E105B8" w:rsidP="00472B53">
            <w:pPr>
              <w:pStyle w:val="Tabletext"/>
              <w:jc w:val="center"/>
            </w:pPr>
            <w:r w:rsidRPr="00357901">
              <w:sym w:font="Symbol" w:char="F06D"/>
            </w:r>
            <w:r w:rsidRPr="00357901">
              <w:t>s</w:t>
            </w:r>
          </w:p>
        </w:tc>
        <w:tc>
          <w:tcPr>
            <w:tcW w:w="1146" w:type="pct"/>
            <w:vAlign w:val="center"/>
          </w:tcPr>
          <w:p w14:paraId="0FEB7EC0" w14:textId="77777777" w:rsidR="00E105B8" w:rsidRPr="00357901" w:rsidRDefault="00E105B8" w:rsidP="00472B53">
            <w:pPr>
              <w:pStyle w:val="Tabletext"/>
              <w:jc w:val="center"/>
            </w:pPr>
            <w:r w:rsidRPr="00357901">
              <w:t>1 to 20</w:t>
            </w:r>
          </w:p>
        </w:tc>
        <w:tc>
          <w:tcPr>
            <w:tcW w:w="1145" w:type="pct"/>
            <w:vAlign w:val="center"/>
          </w:tcPr>
          <w:p w14:paraId="586A3DE0" w14:textId="77777777" w:rsidR="00E105B8" w:rsidRPr="00357901" w:rsidRDefault="00E105B8" w:rsidP="00472B53">
            <w:pPr>
              <w:pStyle w:val="Tabletext"/>
              <w:jc w:val="center"/>
            </w:pPr>
            <w:r w:rsidRPr="00357901">
              <w:t>1 to 20</w:t>
            </w:r>
          </w:p>
        </w:tc>
      </w:tr>
      <w:tr w:rsidR="00E105B8" w:rsidRPr="00357901" w14:paraId="72280397" w14:textId="77777777" w:rsidTr="00503E08">
        <w:trPr>
          <w:cantSplit/>
          <w:trHeight w:val="18"/>
          <w:jc w:val="center"/>
        </w:trPr>
        <w:tc>
          <w:tcPr>
            <w:tcW w:w="2166" w:type="pct"/>
            <w:vAlign w:val="center"/>
            <w:hideMark/>
          </w:tcPr>
          <w:p w14:paraId="3F409162" w14:textId="77777777" w:rsidR="00E105B8" w:rsidRPr="00357901" w:rsidRDefault="00E105B8" w:rsidP="00472B53">
            <w:pPr>
              <w:pStyle w:val="Tabletext"/>
            </w:pPr>
            <w:r w:rsidRPr="00357901">
              <w:t xml:space="preserve">Pulse rise and fall times </w:t>
            </w:r>
          </w:p>
        </w:tc>
        <w:tc>
          <w:tcPr>
            <w:tcW w:w="543" w:type="pct"/>
            <w:vAlign w:val="center"/>
            <w:hideMark/>
          </w:tcPr>
          <w:p w14:paraId="2B162429" w14:textId="77777777" w:rsidR="00E105B8" w:rsidRPr="00357901" w:rsidRDefault="00E105B8" w:rsidP="00472B53">
            <w:pPr>
              <w:pStyle w:val="Tabletext"/>
              <w:jc w:val="center"/>
            </w:pPr>
            <w:r w:rsidRPr="00357901">
              <w:sym w:font="Symbol" w:char="F06D"/>
            </w:r>
            <w:r w:rsidRPr="00357901">
              <w:t>s</w:t>
            </w:r>
          </w:p>
        </w:tc>
        <w:tc>
          <w:tcPr>
            <w:tcW w:w="1146" w:type="pct"/>
            <w:vAlign w:val="center"/>
          </w:tcPr>
          <w:p w14:paraId="0AB0F1EC" w14:textId="05370FA3" w:rsidR="00E105B8" w:rsidRPr="00357901" w:rsidRDefault="00E105B8" w:rsidP="00472B53">
            <w:pPr>
              <w:pStyle w:val="Tabletext"/>
              <w:jc w:val="center"/>
            </w:pPr>
            <w:r w:rsidRPr="00357901">
              <w:t>&lt; 0.1</w:t>
            </w:r>
          </w:p>
        </w:tc>
        <w:tc>
          <w:tcPr>
            <w:tcW w:w="1145" w:type="pct"/>
            <w:vAlign w:val="center"/>
          </w:tcPr>
          <w:p w14:paraId="413D9272" w14:textId="2C5FA6A6" w:rsidR="00E105B8" w:rsidRPr="00357901" w:rsidRDefault="00E105B8" w:rsidP="00472B53">
            <w:pPr>
              <w:pStyle w:val="Tabletext"/>
              <w:jc w:val="center"/>
            </w:pPr>
            <w:r w:rsidRPr="00357901">
              <w:t>&lt; 0.1</w:t>
            </w:r>
          </w:p>
        </w:tc>
      </w:tr>
      <w:tr w:rsidR="00E105B8" w:rsidRPr="00357901" w14:paraId="46DB1432" w14:textId="77777777" w:rsidTr="00503E08">
        <w:trPr>
          <w:cantSplit/>
          <w:trHeight w:val="18"/>
          <w:jc w:val="center"/>
        </w:trPr>
        <w:tc>
          <w:tcPr>
            <w:tcW w:w="2166" w:type="pct"/>
            <w:vAlign w:val="center"/>
            <w:hideMark/>
          </w:tcPr>
          <w:p w14:paraId="041EB271" w14:textId="77777777" w:rsidR="00E105B8" w:rsidRPr="00357901" w:rsidRDefault="00E105B8" w:rsidP="00472B53">
            <w:pPr>
              <w:pStyle w:val="Tabletext"/>
            </w:pPr>
            <w:r w:rsidRPr="00357901">
              <w:t xml:space="preserve">RF emission bandwidth </w:t>
            </w:r>
            <w:r w:rsidRPr="00357901">
              <w:br/>
            </w:r>
            <w:r w:rsidRPr="00357901">
              <w:tab/>
              <w:t xml:space="preserve">  −3 dB</w:t>
            </w:r>
          </w:p>
          <w:p w14:paraId="28B052D2" w14:textId="77777777" w:rsidR="00E105B8" w:rsidRPr="00357901" w:rsidRDefault="00E105B8" w:rsidP="00472B53">
            <w:pPr>
              <w:pStyle w:val="Tabletext"/>
            </w:pPr>
            <w:r w:rsidRPr="00357901">
              <w:tab/>
              <w:t>−20 dB</w:t>
            </w:r>
          </w:p>
          <w:p w14:paraId="0F661DDB" w14:textId="77777777" w:rsidR="00E105B8" w:rsidRPr="00357901" w:rsidRDefault="00E105B8" w:rsidP="00472B53">
            <w:pPr>
              <w:pStyle w:val="Tabletext"/>
            </w:pPr>
            <w:r w:rsidRPr="00357901">
              <w:tab/>
              <w:t>−40 dB</w:t>
            </w:r>
          </w:p>
        </w:tc>
        <w:tc>
          <w:tcPr>
            <w:tcW w:w="543" w:type="pct"/>
            <w:vAlign w:val="center"/>
            <w:hideMark/>
          </w:tcPr>
          <w:p w14:paraId="5B940CAF" w14:textId="77777777" w:rsidR="00E105B8" w:rsidRPr="00357901" w:rsidRDefault="00E105B8" w:rsidP="00472B53">
            <w:pPr>
              <w:pStyle w:val="Tabletext"/>
              <w:jc w:val="center"/>
            </w:pPr>
            <w:r w:rsidRPr="00357901">
              <w:t>MHz</w:t>
            </w:r>
          </w:p>
        </w:tc>
        <w:tc>
          <w:tcPr>
            <w:tcW w:w="1146" w:type="pct"/>
            <w:vAlign w:val="center"/>
          </w:tcPr>
          <w:p w14:paraId="5ED817DC" w14:textId="77777777" w:rsidR="00E105B8" w:rsidRDefault="00E105B8" w:rsidP="00472B53">
            <w:pPr>
              <w:pStyle w:val="Tabletext"/>
              <w:jc w:val="center"/>
            </w:pPr>
            <w:r>
              <w:t>80</w:t>
            </w:r>
          </w:p>
          <w:p w14:paraId="2318444A" w14:textId="77777777" w:rsidR="00E105B8" w:rsidRDefault="00E105B8" w:rsidP="00472B53">
            <w:pPr>
              <w:pStyle w:val="Tabletext"/>
              <w:jc w:val="center"/>
            </w:pPr>
            <w:r>
              <w:t>90</w:t>
            </w:r>
          </w:p>
          <w:p w14:paraId="75009DE7" w14:textId="6C88FE40" w:rsidR="00E105B8" w:rsidRPr="00357901" w:rsidRDefault="00E105B8" w:rsidP="00472B53">
            <w:pPr>
              <w:pStyle w:val="Tabletext"/>
              <w:jc w:val="center"/>
            </w:pPr>
            <w:r>
              <w:t>110</w:t>
            </w:r>
          </w:p>
        </w:tc>
        <w:tc>
          <w:tcPr>
            <w:tcW w:w="1145" w:type="pct"/>
            <w:vAlign w:val="center"/>
          </w:tcPr>
          <w:p w14:paraId="33B68AA6" w14:textId="77777777" w:rsidR="00E105B8" w:rsidRDefault="00E105B8" w:rsidP="00472B53">
            <w:pPr>
              <w:pStyle w:val="Tabletext"/>
              <w:jc w:val="center"/>
            </w:pPr>
            <w:r>
              <w:t>80</w:t>
            </w:r>
          </w:p>
          <w:p w14:paraId="7CF1D326" w14:textId="77777777" w:rsidR="00E105B8" w:rsidRDefault="00E105B8" w:rsidP="00472B53">
            <w:pPr>
              <w:pStyle w:val="Tabletext"/>
              <w:jc w:val="center"/>
            </w:pPr>
            <w:r>
              <w:t>90</w:t>
            </w:r>
          </w:p>
          <w:p w14:paraId="643E58A1" w14:textId="5E8ED62F" w:rsidR="00E105B8" w:rsidRPr="00357901" w:rsidRDefault="00E105B8" w:rsidP="00472B53">
            <w:pPr>
              <w:pStyle w:val="Tabletext"/>
              <w:jc w:val="center"/>
            </w:pPr>
            <w:r>
              <w:t>110</w:t>
            </w:r>
          </w:p>
        </w:tc>
      </w:tr>
      <w:tr w:rsidR="00E105B8" w:rsidRPr="00357901" w14:paraId="296DC7DF" w14:textId="77777777" w:rsidTr="00503E08">
        <w:trPr>
          <w:cantSplit/>
          <w:trHeight w:val="18"/>
          <w:jc w:val="center"/>
        </w:trPr>
        <w:tc>
          <w:tcPr>
            <w:tcW w:w="2166" w:type="pct"/>
            <w:vAlign w:val="center"/>
            <w:hideMark/>
          </w:tcPr>
          <w:p w14:paraId="5DA297BB" w14:textId="77777777" w:rsidR="00E105B8" w:rsidRPr="00357901" w:rsidRDefault="00E105B8" w:rsidP="00472B53">
            <w:pPr>
              <w:pStyle w:val="Tabletext"/>
            </w:pPr>
            <w:r w:rsidRPr="00357901">
              <w:t>Pulse repetition frequency</w:t>
            </w:r>
          </w:p>
        </w:tc>
        <w:tc>
          <w:tcPr>
            <w:tcW w:w="543" w:type="pct"/>
            <w:vAlign w:val="center"/>
            <w:hideMark/>
          </w:tcPr>
          <w:p w14:paraId="41A3CB68" w14:textId="28BBA982" w:rsidR="00E105B8" w:rsidRPr="00357901" w:rsidRDefault="00E105B8" w:rsidP="00472B53">
            <w:pPr>
              <w:pStyle w:val="Tabletext"/>
              <w:jc w:val="center"/>
            </w:pPr>
            <w:r>
              <w:t>Hz</w:t>
            </w:r>
          </w:p>
        </w:tc>
        <w:tc>
          <w:tcPr>
            <w:tcW w:w="1146" w:type="pct"/>
            <w:vAlign w:val="center"/>
          </w:tcPr>
          <w:p w14:paraId="22603844" w14:textId="77777777" w:rsidR="00E105B8" w:rsidRPr="00357901" w:rsidRDefault="00E105B8" w:rsidP="00472B53">
            <w:pPr>
              <w:pStyle w:val="Tabletext"/>
              <w:jc w:val="center"/>
            </w:pPr>
            <w:r w:rsidRPr="00357901">
              <w:t>-</w:t>
            </w:r>
          </w:p>
        </w:tc>
        <w:tc>
          <w:tcPr>
            <w:tcW w:w="1145" w:type="pct"/>
            <w:vAlign w:val="center"/>
          </w:tcPr>
          <w:p w14:paraId="605B4B8A" w14:textId="77777777" w:rsidR="00E105B8" w:rsidRPr="00357901" w:rsidRDefault="00E105B8" w:rsidP="00472B53">
            <w:pPr>
              <w:pStyle w:val="Tabletext"/>
              <w:jc w:val="center"/>
            </w:pPr>
            <w:r w:rsidRPr="00357901">
              <w:t>-</w:t>
            </w:r>
          </w:p>
        </w:tc>
      </w:tr>
      <w:tr w:rsidR="00E105B8" w:rsidRPr="00357901" w14:paraId="5C490793" w14:textId="77777777" w:rsidTr="00503E08">
        <w:trPr>
          <w:cantSplit/>
          <w:trHeight w:val="18"/>
          <w:jc w:val="center"/>
        </w:trPr>
        <w:tc>
          <w:tcPr>
            <w:tcW w:w="2166" w:type="pct"/>
            <w:vAlign w:val="center"/>
          </w:tcPr>
          <w:p w14:paraId="73998E93" w14:textId="77777777" w:rsidR="00E105B8" w:rsidRPr="00357901" w:rsidRDefault="00E105B8" w:rsidP="00472B53">
            <w:pPr>
              <w:pStyle w:val="Tabletext"/>
            </w:pPr>
            <w:r w:rsidRPr="00357901">
              <w:t>Pulse repetition interval</w:t>
            </w:r>
          </w:p>
        </w:tc>
        <w:tc>
          <w:tcPr>
            <w:tcW w:w="543" w:type="pct"/>
            <w:vAlign w:val="center"/>
          </w:tcPr>
          <w:p w14:paraId="64FF9210" w14:textId="77777777" w:rsidR="00E105B8" w:rsidRPr="00357901" w:rsidRDefault="00E105B8" w:rsidP="00472B53">
            <w:pPr>
              <w:pStyle w:val="Tabletext"/>
              <w:jc w:val="center"/>
            </w:pPr>
            <w:r w:rsidRPr="00357901">
              <w:sym w:font="Symbol" w:char="F06D"/>
            </w:r>
            <w:r w:rsidRPr="00357901">
              <w:t>s</w:t>
            </w:r>
          </w:p>
        </w:tc>
        <w:tc>
          <w:tcPr>
            <w:tcW w:w="1146" w:type="pct"/>
            <w:vAlign w:val="center"/>
          </w:tcPr>
          <w:p w14:paraId="7CD8189D" w14:textId="77777777" w:rsidR="00E105B8" w:rsidRPr="00357901" w:rsidRDefault="00E105B8" w:rsidP="00472B53">
            <w:pPr>
              <w:pStyle w:val="Tabletext"/>
              <w:jc w:val="center"/>
            </w:pPr>
            <w:r w:rsidRPr="00357901">
              <w:t>30 to 80</w:t>
            </w:r>
          </w:p>
        </w:tc>
        <w:tc>
          <w:tcPr>
            <w:tcW w:w="1145" w:type="pct"/>
            <w:vAlign w:val="center"/>
          </w:tcPr>
          <w:p w14:paraId="09354948" w14:textId="77777777" w:rsidR="00E105B8" w:rsidRPr="00357901" w:rsidRDefault="00E105B8" w:rsidP="00472B53">
            <w:pPr>
              <w:pStyle w:val="Tabletext"/>
              <w:jc w:val="center"/>
            </w:pPr>
            <w:r w:rsidRPr="00357901">
              <w:t>30 to 80</w:t>
            </w:r>
          </w:p>
        </w:tc>
      </w:tr>
      <w:tr w:rsidR="00E105B8" w:rsidRPr="00357901" w14:paraId="2AD99DDF" w14:textId="77777777" w:rsidTr="00503E08">
        <w:trPr>
          <w:cantSplit/>
          <w:trHeight w:val="18"/>
          <w:jc w:val="center"/>
        </w:trPr>
        <w:tc>
          <w:tcPr>
            <w:tcW w:w="2166" w:type="pct"/>
            <w:vAlign w:val="center"/>
            <w:hideMark/>
          </w:tcPr>
          <w:p w14:paraId="78B489FC" w14:textId="77777777" w:rsidR="00E105B8" w:rsidRPr="00357901" w:rsidRDefault="00E105B8" w:rsidP="00472B53">
            <w:pPr>
              <w:pStyle w:val="Tabletext"/>
            </w:pPr>
            <w:r w:rsidRPr="00357901">
              <w:t>Average transmitter power (conducted)</w:t>
            </w:r>
            <w:r>
              <w:t xml:space="preserve"> during emission time</w:t>
            </w:r>
          </w:p>
        </w:tc>
        <w:tc>
          <w:tcPr>
            <w:tcW w:w="543" w:type="pct"/>
            <w:vAlign w:val="center"/>
            <w:hideMark/>
          </w:tcPr>
          <w:p w14:paraId="411E84DA" w14:textId="77777777" w:rsidR="00E105B8" w:rsidRPr="00357901" w:rsidRDefault="00E105B8" w:rsidP="00472B53">
            <w:pPr>
              <w:pStyle w:val="Tabletext"/>
              <w:jc w:val="center"/>
            </w:pPr>
            <w:r w:rsidRPr="00357901">
              <w:t>W</w:t>
            </w:r>
          </w:p>
        </w:tc>
        <w:tc>
          <w:tcPr>
            <w:tcW w:w="1146" w:type="pct"/>
            <w:vAlign w:val="center"/>
          </w:tcPr>
          <w:p w14:paraId="35E7C477" w14:textId="77777777" w:rsidR="00E105B8" w:rsidRPr="00357901" w:rsidRDefault="00E105B8" w:rsidP="00472B53">
            <w:pPr>
              <w:pStyle w:val="Tabletext"/>
              <w:jc w:val="center"/>
            </w:pPr>
            <w:r w:rsidRPr="00357901">
              <w:t>70</w:t>
            </w:r>
          </w:p>
        </w:tc>
        <w:tc>
          <w:tcPr>
            <w:tcW w:w="1145" w:type="pct"/>
            <w:vAlign w:val="center"/>
          </w:tcPr>
          <w:p w14:paraId="1768CEFE" w14:textId="77777777" w:rsidR="00E105B8" w:rsidRPr="00357901" w:rsidRDefault="00E105B8" w:rsidP="00472B53">
            <w:pPr>
              <w:pStyle w:val="Tabletext"/>
              <w:jc w:val="center"/>
            </w:pPr>
            <w:r w:rsidRPr="00357901">
              <w:t>100</w:t>
            </w:r>
          </w:p>
        </w:tc>
      </w:tr>
      <w:tr w:rsidR="00E105B8" w:rsidRPr="00357901" w14:paraId="4DC7F4F4" w14:textId="77777777" w:rsidTr="00503E08">
        <w:trPr>
          <w:cantSplit/>
          <w:trHeight w:val="18"/>
          <w:jc w:val="center"/>
        </w:trPr>
        <w:tc>
          <w:tcPr>
            <w:tcW w:w="2166" w:type="pct"/>
            <w:vAlign w:val="center"/>
          </w:tcPr>
          <w:p w14:paraId="2D243572" w14:textId="77777777" w:rsidR="00E105B8" w:rsidRPr="00357901" w:rsidRDefault="00E105B8" w:rsidP="00472B53">
            <w:pPr>
              <w:pStyle w:val="Tabletext"/>
            </w:pPr>
            <w:r w:rsidRPr="00357901">
              <w:t>Spurious emission characteristics (conducted)</w:t>
            </w:r>
          </w:p>
        </w:tc>
        <w:tc>
          <w:tcPr>
            <w:tcW w:w="543" w:type="pct"/>
            <w:vAlign w:val="center"/>
          </w:tcPr>
          <w:p w14:paraId="612323D0" w14:textId="77777777" w:rsidR="00E105B8" w:rsidRPr="00357901" w:rsidRDefault="00E105B8" w:rsidP="00472B53">
            <w:pPr>
              <w:pStyle w:val="Tabletext"/>
              <w:jc w:val="center"/>
            </w:pPr>
            <w:proofErr w:type="spellStart"/>
            <w:r w:rsidRPr="00357901">
              <w:t>dBc</w:t>
            </w:r>
            <w:proofErr w:type="spellEnd"/>
          </w:p>
        </w:tc>
        <w:tc>
          <w:tcPr>
            <w:tcW w:w="1146" w:type="pct"/>
            <w:vAlign w:val="center"/>
          </w:tcPr>
          <w:p w14:paraId="0ACD3384" w14:textId="4262B14D" w:rsidR="00E105B8" w:rsidRPr="00357901" w:rsidRDefault="00E105B8" w:rsidP="00472B53">
            <w:pPr>
              <w:pStyle w:val="Tabletext"/>
              <w:jc w:val="center"/>
            </w:pPr>
            <w:r>
              <w:t>SM.329</w:t>
            </w:r>
          </w:p>
        </w:tc>
        <w:tc>
          <w:tcPr>
            <w:tcW w:w="1145" w:type="pct"/>
            <w:vAlign w:val="center"/>
          </w:tcPr>
          <w:p w14:paraId="7D3DFAB5" w14:textId="5F389EFA" w:rsidR="00E105B8" w:rsidRPr="00357901" w:rsidRDefault="00E105B8" w:rsidP="00472B53">
            <w:pPr>
              <w:pStyle w:val="Tabletext"/>
              <w:jc w:val="center"/>
            </w:pPr>
            <w:r>
              <w:t>SM.329</w:t>
            </w:r>
          </w:p>
        </w:tc>
      </w:tr>
      <w:tr w:rsidR="00E105B8" w:rsidRPr="00357901" w14:paraId="1AC98C1C" w14:textId="77777777" w:rsidTr="00503E08">
        <w:trPr>
          <w:cantSplit/>
          <w:trHeight w:val="18"/>
          <w:jc w:val="center"/>
        </w:trPr>
        <w:tc>
          <w:tcPr>
            <w:tcW w:w="2166" w:type="pct"/>
            <w:vAlign w:val="center"/>
            <w:hideMark/>
          </w:tcPr>
          <w:p w14:paraId="6B3E4F62" w14:textId="146D507B" w:rsidR="00E105B8" w:rsidRDefault="00E105B8" w:rsidP="00472B53">
            <w:pPr>
              <w:pStyle w:val="Tabletext"/>
            </w:pPr>
            <w:r w:rsidRPr="00357901">
              <w:t>Receiver bandwidth</w:t>
            </w:r>
            <w:r w:rsidRPr="00357901">
              <w:br/>
            </w:r>
            <w:r w:rsidRPr="00357901">
              <w:tab/>
              <w:t>−3 dB</w:t>
            </w:r>
          </w:p>
          <w:p w14:paraId="2D0CBC99" w14:textId="340A6313" w:rsidR="00E91D85" w:rsidRPr="00357901" w:rsidRDefault="00E91D85" w:rsidP="00472B53">
            <w:pPr>
              <w:pStyle w:val="Tabletext"/>
            </w:pPr>
            <w:r>
              <w:t>Receiver selectivity</w:t>
            </w:r>
          </w:p>
          <w:p w14:paraId="507861AE" w14:textId="77777777" w:rsidR="00E105B8" w:rsidRPr="00357901" w:rsidRDefault="00E105B8" w:rsidP="00472B53">
            <w:pPr>
              <w:pStyle w:val="Tabletext"/>
            </w:pPr>
            <w:r w:rsidRPr="00357901">
              <w:tab/>
              <w:t>−20 dB</w:t>
            </w:r>
          </w:p>
          <w:p w14:paraId="35482C73" w14:textId="77777777" w:rsidR="00E105B8" w:rsidRPr="00357901" w:rsidRDefault="00E105B8" w:rsidP="00472B53">
            <w:pPr>
              <w:pStyle w:val="Tabletext"/>
            </w:pPr>
            <w:r w:rsidRPr="00357901">
              <w:tab/>
              <w:t>−60 dB</w:t>
            </w:r>
          </w:p>
        </w:tc>
        <w:tc>
          <w:tcPr>
            <w:tcW w:w="543" w:type="pct"/>
            <w:vAlign w:val="center"/>
            <w:hideMark/>
          </w:tcPr>
          <w:p w14:paraId="2CDE0242" w14:textId="77777777" w:rsidR="00E105B8" w:rsidRPr="00357901" w:rsidRDefault="00E105B8" w:rsidP="00472B53">
            <w:pPr>
              <w:pStyle w:val="Tabletext"/>
              <w:jc w:val="center"/>
            </w:pPr>
            <w:r w:rsidRPr="00357901">
              <w:t>MHz</w:t>
            </w:r>
          </w:p>
        </w:tc>
        <w:tc>
          <w:tcPr>
            <w:tcW w:w="1146" w:type="pct"/>
            <w:vAlign w:val="center"/>
          </w:tcPr>
          <w:p w14:paraId="559E5272" w14:textId="77777777" w:rsidR="00E105B8" w:rsidRPr="00C25863" w:rsidRDefault="00E105B8" w:rsidP="00472B53">
            <w:pPr>
              <w:pStyle w:val="Tabletext"/>
              <w:jc w:val="center"/>
            </w:pPr>
            <w:r w:rsidRPr="00C25863">
              <w:t>20</w:t>
            </w:r>
          </w:p>
          <w:p w14:paraId="35CDC086" w14:textId="77777777" w:rsidR="00E105B8" w:rsidRPr="00C25863" w:rsidRDefault="00E105B8" w:rsidP="00472B53">
            <w:pPr>
              <w:pStyle w:val="Tabletext"/>
              <w:jc w:val="center"/>
            </w:pPr>
            <w:r w:rsidRPr="00C25863">
              <w:t>40</w:t>
            </w:r>
          </w:p>
          <w:p w14:paraId="315F97BE" w14:textId="1A37CC04" w:rsidR="00E105B8" w:rsidRPr="00357901" w:rsidRDefault="00E105B8" w:rsidP="00472B53">
            <w:pPr>
              <w:pStyle w:val="Tabletext"/>
              <w:jc w:val="center"/>
            </w:pPr>
            <w:r w:rsidRPr="00C25863">
              <w:t>80</w:t>
            </w:r>
          </w:p>
        </w:tc>
        <w:tc>
          <w:tcPr>
            <w:tcW w:w="1145" w:type="pct"/>
            <w:vAlign w:val="center"/>
          </w:tcPr>
          <w:p w14:paraId="3B4D1D4E" w14:textId="77777777" w:rsidR="00E105B8" w:rsidRPr="00C25863" w:rsidRDefault="00E105B8" w:rsidP="00472B53">
            <w:pPr>
              <w:pStyle w:val="Tabletext"/>
              <w:jc w:val="center"/>
            </w:pPr>
            <w:r w:rsidRPr="00C25863">
              <w:t>20</w:t>
            </w:r>
          </w:p>
          <w:p w14:paraId="186A058A" w14:textId="77777777" w:rsidR="00E105B8" w:rsidRPr="00C25863" w:rsidRDefault="00E105B8" w:rsidP="00472B53">
            <w:pPr>
              <w:pStyle w:val="Tabletext"/>
              <w:jc w:val="center"/>
            </w:pPr>
            <w:r w:rsidRPr="00C25863">
              <w:t>40</w:t>
            </w:r>
          </w:p>
          <w:p w14:paraId="36634E8F" w14:textId="699A7E35" w:rsidR="00E105B8" w:rsidRPr="00357901" w:rsidRDefault="00E105B8" w:rsidP="00472B53">
            <w:pPr>
              <w:pStyle w:val="Tabletext"/>
              <w:jc w:val="center"/>
            </w:pPr>
            <w:r w:rsidRPr="00C25863">
              <w:t>80</w:t>
            </w:r>
          </w:p>
        </w:tc>
      </w:tr>
      <w:tr w:rsidR="00E105B8" w:rsidRPr="00357901" w14:paraId="3F8F982D" w14:textId="77777777" w:rsidTr="00503E08">
        <w:trPr>
          <w:cantSplit/>
          <w:trHeight w:val="18"/>
          <w:jc w:val="center"/>
        </w:trPr>
        <w:tc>
          <w:tcPr>
            <w:tcW w:w="2166" w:type="pct"/>
            <w:vAlign w:val="center"/>
          </w:tcPr>
          <w:p w14:paraId="4110BE93" w14:textId="66E89F67" w:rsidR="00E105B8" w:rsidRPr="00357901" w:rsidRDefault="00E105B8" w:rsidP="00472B53">
            <w:pPr>
              <w:pStyle w:val="Tabletext"/>
            </w:pPr>
          </w:p>
        </w:tc>
        <w:tc>
          <w:tcPr>
            <w:tcW w:w="543" w:type="pct"/>
            <w:vAlign w:val="center"/>
          </w:tcPr>
          <w:p w14:paraId="3A6BF448" w14:textId="05381EB1" w:rsidR="00E105B8" w:rsidRPr="00357901" w:rsidRDefault="00E105B8" w:rsidP="00472B53">
            <w:pPr>
              <w:pStyle w:val="Tabletext"/>
              <w:jc w:val="center"/>
            </w:pPr>
          </w:p>
        </w:tc>
        <w:tc>
          <w:tcPr>
            <w:tcW w:w="1146" w:type="pct"/>
            <w:vAlign w:val="center"/>
          </w:tcPr>
          <w:p w14:paraId="14886C86" w14:textId="54FE31D5" w:rsidR="00E105B8" w:rsidRPr="00357901" w:rsidRDefault="00E105B8" w:rsidP="00472B53">
            <w:pPr>
              <w:pStyle w:val="Tabletext"/>
              <w:jc w:val="center"/>
            </w:pPr>
          </w:p>
        </w:tc>
        <w:tc>
          <w:tcPr>
            <w:tcW w:w="1145" w:type="pct"/>
            <w:vAlign w:val="center"/>
          </w:tcPr>
          <w:p w14:paraId="50B80B20" w14:textId="36CAA7CC" w:rsidR="00E105B8" w:rsidRPr="00357901" w:rsidRDefault="00E105B8" w:rsidP="00472B53">
            <w:pPr>
              <w:pStyle w:val="Tabletext"/>
              <w:jc w:val="center"/>
            </w:pPr>
          </w:p>
        </w:tc>
      </w:tr>
      <w:tr w:rsidR="00E105B8" w:rsidRPr="00357901" w14:paraId="0B562301" w14:textId="77777777" w:rsidTr="00503E08">
        <w:trPr>
          <w:cantSplit/>
          <w:trHeight w:val="18"/>
          <w:jc w:val="center"/>
        </w:trPr>
        <w:tc>
          <w:tcPr>
            <w:tcW w:w="2166" w:type="pct"/>
            <w:vAlign w:val="center"/>
            <w:hideMark/>
          </w:tcPr>
          <w:p w14:paraId="02CDD01E" w14:textId="77777777" w:rsidR="00E105B8" w:rsidRPr="00357901" w:rsidRDefault="00E105B8" w:rsidP="00472B53">
            <w:pPr>
              <w:pStyle w:val="Tabletext"/>
            </w:pPr>
            <w:r w:rsidRPr="00357901">
              <w:t>Receiver noise figure</w:t>
            </w:r>
          </w:p>
        </w:tc>
        <w:tc>
          <w:tcPr>
            <w:tcW w:w="543" w:type="pct"/>
            <w:vAlign w:val="center"/>
            <w:hideMark/>
          </w:tcPr>
          <w:p w14:paraId="2CB5B33D" w14:textId="77777777" w:rsidR="00E105B8" w:rsidRPr="00357901" w:rsidRDefault="00E105B8" w:rsidP="00472B53">
            <w:pPr>
              <w:pStyle w:val="Tabletext"/>
              <w:jc w:val="center"/>
            </w:pPr>
            <w:r w:rsidRPr="00357901">
              <w:t>dB</w:t>
            </w:r>
          </w:p>
        </w:tc>
        <w:tc>
          <w:tcPr>
            <w:tcW w:w="1146" w:type="pct"/>
            <w:vAlign w:val="center"/>
          </w:tcPr>
          <w:p w14:paraId="4173AAF9" w14:textId="17941AC6" w:rsidR="00E105B8" w:rsidRPr="00357901" w:rsidRDefault="00E105B8" w:rsidP="00472B53">
            <w:pPr>
              <w:pStyle w:val="Tabletext"/>
              <w:jc w:val="center"/>
            </w:pPr>
            <w:r>
              <w:t>3</w:t>
            </w:r>
          </w:p>
        </w:tc>
        <w:tc>
          <w:tcPr>
            <w:tcW w:w="1145" w:type="pct"/>
            <w:vAlign w:val="center"/>
          </w:tcPr>
          <w:p w14:paraId="0D72E209" w14:textId="77777777" w:rsidR="00E105B8" w:rsidRPr="00357901" w:rsidRDefault="00E105B8" w:rsidP="00472B53">
            <w:pPr>
              <w:pStyle w:val="Tabletext"/>
              <w:jc w:val="center"/>
            </w:pPr>
            <w:r w:rsidRPr="00357901">
              <w:t>3</w:t>
            </w:r>
          </w:p>
        </w:tc>
      </w:tr>
      <w:tr w:rsidR="00E105B8" w:rsidRPr="00357901" w14:paraId="371486AF" w14:textId="77777777" w:rsidTr="00503E08">
        <w:trPr>
          <w:cantSplit/>
          <w:trHeight w:val="18"/>
          <w:jc w:val="center"/>
        </w:trPr>
        <w:tc>
          <w:tcPr>
            <w:tcW w:w="2166" w:type="pct"/>
            <w:tcBorders>
              <w:bottom w:val="single" w:sz="4" w:space="0" w:color="auto"/>
            </w:tcBorders>
            <w:vAlign w:val="center"/>
          </w:tcPr>
          <w:p w14:paraId="470B24D8" w14:textId="77777777" w:rsidR="00E105B8" w:rsidRPr="00357901" w:rsidRDefault="00E105B8" w:rsidP="00472B53">
            <w:pPr>
              <w:pStyle w:val="Tabletext"/>
            </w:pPr>
            <w:r w:rsidRPr="00357901">
              <w:t>Protection criteria</w:t>
            </w:r>
            <w:r w:rsidRPr="00357901">
              <w:br/>
              <w:t xml:space="preserve">(aggregate) </w:t>
            </w:r>
            <w:r w:rsidRPr="00357901">
              <w:rPr>
                <w:i/>
                <w:iCs/>
              </w:rPr>
              <w:t>I/N</w:t>
            </w:r>
          </w:p>
        </w:tc>
        <w:tc>
          <w:tcPr>
            <w:tcW w:w="543" w:type="pct"/>
            <w:tcBorders>
              <w:bottom w:val="single" w:sz="4" w:space="0" w:color="auto"/>
            </w:tcBorders>
            <w:vAlign w:val="center"/>
          </w:tcPr>
          <w:p w14:paraId="11915946" w14:textId="77777777" w:rsidR="00E105B8" w:rsidRPr="00357901" w:rsidRDefault="00E105B8" w:rsidP="00472B53">
            <w:pPr>
              <w:pStyle w:val="Tabletext"/>
              <w:jc w:val="center"/>
            </w:pPr>
            <w:r w:rsidRPr="00357901">
              <w:t>dB</w:t>
            </w:r>
          </w:p>
        </w:tc>
        <w:tc>
          <w:tcPr>
            <w:tcW w:w="1146" w:type="pct"/>
            <w:tcBorders>
              <w:bottom w:val="single" w:sz="4" w:space="0" w:color="auto"/>
            </w:tcBorders>
            <w:vAlign w:val="center"/>
          </w:tcPr>
          <w:p w14:paraId="01B8EF09" w14:textId="77777777" w:rsidR="00E105B8" w:rsidRPr="00357901" w:rsidRDefault="00E105B8" w:rsidP="00472B53">
            <w:pPr>
              <w:pStyle w:val="Tabletext"/>
              <w:jc w:val="center"/>
            </w:pPr>
            <w:r>
              <w:t>−</w:t>
            </w:r>
            <w:r w:rsidRPr="00357901">
              <w:t>6</w:t>
            </w:r>
          </w:p>
        </w:tc>
        <w:tc>
          <w:tcPr>
            <w:tcW w:w="1145" w:type="pct"/>
            <w:tcBorders>
              <w:bottom w:val="single" w:sz="4" w:space="0" w:color="auto"/>
            </w:tcBorders>
            <w:vAlign w:val="center"/>
          </w:tcPr>
          <w:p w14:paraId="2EB6D4F5" w14:textId="77777777" w:rsidR="00E105B8" w:rsidRPr="00357901" w:rsidRDefault="00E105B8" w:rsidP="00472B53">
            <w:pPr>
              <w:pStyle w:val="Tabletext"/>
              <w:jc w:val="center"/>
            </w:pPr>
            <w:r>
              <w:t>−</w:t>
            </w:r>
            <w:r w:rsidRPr="00357901">
              <w:t>6</w:t>
            </w:r>
          </w:p>
        </w:tc>
      </w:tr>
      <w:tr w:rsidR="00E105B8" w:rsidRPr="00357901" w14:paraId="589CEF2A" w14:textId="77777777" w:rsidTr="00503E08">
        <w:trPr>
          <w:cantSplit/>
          <w:trHeight w:val="18"/>
          <w:jc w:val="center"/>
        </w:trPr>
        <w:tc>
          <w:tcPr>
            <w:tcW w:w="2166" w:type="pct"/>
            <w:vAlign w:val="center"/>
          </w:tcPr>
          <w:p w14:paraId="1AFEA9EF" w14:textId="27D3D35B" w:rsidR="00E105B8" w:rsidRPr="00357901" w:rsidRDefault="00E105B8" w:rsidP="00472B53">
            <w:pPr>
              <w:pStyle w:val="Tabletext"/>
            </w:pPr>
          </w:p>
        </w:tc>
        <w:tc>
          <w:tcPr>
            <w:tcW w:w="543" w:type="pct"/>
            <w:vAlign w:val="center"/>
          </w:tcPr>
          <w:p w14:paraId="36C9E88D" w14:textId="77777777" w:rsidR="00E105B8" w:rsidRPr="00357901" w:rsidRDefault="00E105B8" w:rsidP="00472B53">
            <w:pPr>
              <w:pStyle w:val="Tabletext"/>
              <w:jc w:val="center"/>
            </w:pPr>
          </w:p>
        </w:tc>
        <w:tc>
          <w:tcPr>
            <w:tcW w:w="1146" w:type="pct"/>
          </w:tcPr>
          <w:p w14:paraId="5DE437BE" w14:textId="04601118" w:rsidR="00E105B8" w:rsidRPr="00357901" w:rsidRDefault="00E105B8" w:rsidP="00472B53">
            <w:pPr>
              <w:pStyle w:val="Tabletext"/>
              <w:jc w:val="center"/>
            </w:pPr>
          </w:p>
        </w:tc>
        <w:tc>
          <w:tcPr>
            <w:tcW w:w="1145" w:type="pct"/>
          </w:tcPr>
          <w:p w14:paraId="173B4A45" w14:textId="747C80AF" w:rsidR="00E105B8" w:rsidRPr="00357901" w:rsidRDefault="00E105B8" w:rsidP="00472B53">
            <w:pPr>
              <w:pStyle w:val="Tabletext"/>
              <w:jc w:val="center"/>
            </w:pPr>
          </w:p>
        </w:tc>
      </w:tr>
      <w:tr w:rsidR="00E105B8" w:rsidRPr="00357901" w14:paraId="76573AC3" w14:textId="77777777" w:rsidTr="00503E08">
        <w:trPr>
          <w:cantSplit/>
          <w:trHeight w:val="18"/>
          <w:jc w:val="center"/>
        </w:trPr>
        <w:tc>
          <w:tcPr>
            <w:tcW w:w="2166" w:type="pct"/>
            <w:vAlign w:val="center"/>
          </w:tcPr>
          <w:p w14:paraId="178FFDA5" w14:textId="77777777" w:rsidR="00E105B8" w:rsidRPr="00357901" w:rsidRDefault="00E105B8" w:rsidP="00472B53">
            <w:pPr>
              <w:pStyle w:val="Tabletext"/>
            </w:pPr>
            <w:r>
              <w:t>Antenna pattern</w:t>
            </w:r>
          </w:p>
        </w:tc>
        <w:tc>
          <w:tcPr>
            <w:tcW w:w="543" w:type="pct"/>
            <w:vAlign w:val="center"/>
          </w:tcPr>
          <w:p w14:paraId="0A025F30" w14:textId="77777777" w:rsidR="00E105B8" w:rsidRPr="00357901" w:rsidRDefault="00E105B8" w:rsidP="00472B53">
            <w:pPr>
              <w:pStyle w:val="Tabletext"/>
              <w:jc w:val="center"/>
            </w:pPr>
            <w:r>
              <w:t>N.A.</w:t>
            </w:r>
          </w:p>
        </w:tc>
        <w:tc>
          <w:tcPr>
            <w:tcW w:w="1146" w:type="pct"/>
          </w:tcPr>
          <w:p w14:paraId="4F64573A" w14:textId="55AB91A2" w:rsidR="00E105B8" w:rsidRPr="00A205ED" w:rsidRDefault="00E105B8" w:rsidP="00472B53">
            <w:pPr>
              <w:pStyle w:val="Tabletext"/>
              <w:jc w:val="center"/>
            </w:pPr>
            <w:r w:rsidRPr="00A205ED">
              <w:t>See Annex</w:t>
            </w:r>
          </w:p>
        </w:tc>
        <w:tc>
          <w:tcPr>
            <w:tcW w:w="1145" w:type="pct"/>
          </w:tcPr>
          <w:p w14:paraId="57731E1E" w14:textId="1625FC7C" w:rsidR="00E105B8" w:rsidRPr="00A205ED" w:rsidRDefault="00E105B8" w:rsidP="00472B53">
            <w:pPr>
              <w:pStyle w:val="Tabletext"/>
              <w:jc w:val="center"/>
            </w:pPr>
            <w:r w:rsidRPr="00A205ED">
              <w:t>See Annex</w:t>
            </w:r>
          </w:p>
        </w:tc>
      </w:tr>
      <w:tr w:rsidR="00E105B8" w:rsidRPr="00357901" w14:paraId="1A66DE29" w14:textId="77777777" w:rsidTr="00503E08">
        <w:trPr>
          <w:cantSplit/>
          <w:trHeight w:val="18"/>
          <w:jc w:val="center"/>
        </w:trPr>
        <w:tc>
          <w:tcPr>
            <w:tcW w:w="2166" w:type="pct"/>
            <w:vAlign w:val="center"/>
            <w:hideMark/>
          </w:tcPr>
          <w:p w14:paraId="0B765131" w14:textId="77777777" w:rsidR="00E105B8" w:rsidRPr="00357901" w:rsidRDefault="00E105B8" w:rsidP="00472B53">
            <w:pPr>
              <w:pStyle w:val="Tabletext"/>
            </w:pPr>
            <w:r w:rsidRPr="00357901">
              <w:t>Antenna placement</w:t>
            </w:r>
          </w:p>
        </w:tc>
        <w:tc>
          <w:tcPr>
            <w:tcW w:w="543" w:type="pct"/>
            <w:vAlign w:val="center"/>
          </w:tcPr>
          <w:p w14:paraId="55156C23" w14:textId="77777777" w:rsidR="00E105B8" w:rsidRPr="00357901" w:rsidRDefault="00E105B8" w:rsidP="00472B53">
            <w:pPr>
              <w:pStyle w:val="Tabletext"/>
              <w:jc w:val="center"/>
            </w:pPr>
          </w:p>
        </w:tc>
        <w:tc>
          <w:tcPr>
            <w:tcW w:w="1146" w:type="pct"/>
          </w:tcPr>
          <w:p w14:paraId="5CD7C7E2" w14:textId="6761B7E7" w:rsidR="00E105B8" w:rsidRPr="00357901" w:rsidRDefault="00E105B8" w:rsidP="00472B53">
            <w:pPr>
              <w:pStyle w:val="Tabletext"/>
              <w:jc w:val="center"/>
            </w:pPr>
            <w:r w:rsidRPr="00357901">
              <w:t>Aircraft</w:t>
            </w:r>
          </w:p>
        </w:tc>
        <w:tc>
          <w:tcPr>
            <w:tcW w:w="1145" w:type="pct"/>
          </w:tcPr>
          <w:p w14:paraId="5D1C1BE4" w14:textId="2AD8FC59" w:rsidR="00E105B8" w:rsidRPr="00357901" w:rsidRDefault="00E105B8" w:rsidP="00472B53">
            <w:pPr>
              <w:pStyle w:val="Tabletext"/>
              <w:jc w:val="center"/>
            </w:pPr>
            <w:r w:rsidRPr="00357901">
              <w:t>Aircraft</w:t>
            </w:r>
          </w:p>
        </w:tc>
      </w:tr>
      <w:tr w:rsidR="00E105B8" w:rsidRPr="00357901" w14:paraId="341D00BD" w14:textId="77777777" w:rsidTr="00503E08">
        <w:trPr>
          <w:cantSplit/>
          <w:trHeight w:val="18"/>
          <w:jc w:val="center"/>
        </w:trPr>
        <w:tc>
          <w:tcPr>
            <w:tcW w:w="2166" w:type="pct"/>
            <w:vAlign w:val="center"/>
          </w:tcPr>
          <w:p w14:paraId="776586AF" w14:textId="6155BD98" w:rsidR="00E105B8" w:rsidRPr="00357901" w:rsidRDefault="00E105B8" w:rsidP="00472B53">
            <w:pPr>
              <w:pStyle w:val="Tabletext"/>
            </w:pPr>
          </w:p>
        </w:tc>
        <w:tc>
          <w:tcPr>
            <w:tcW w:w="543" w:type="pct"/>
            <w:vAlign w:val="center"/>
          </w:tcPr>
          <w:p w14:paraId="0CECE5D5" w14:textId="31575333" w:rsidR="00E105B8" w:rsidRPr="00357901" w:rsidRDefault="00E105B8" w:rsidP="00472B53">
            <w:pPr>
              <w:pStyle w:val="Tabletext"/>
              <w:jc w:val="center"/>
            </w:pPr>
          </w:p>
        </w:tc>
        <w:tc>
          <w:tcPr>
            <w:tcW w:w="1146" w:type="pct"/>
            <w:vAlign w:val="center"/>
          </w:tcPr>
          <w:p w14:paraId="5A5509C6" w14:textId="7E1FA357" w:rsidR="00E105B8" w:rsidRPr="00357901" w:rsidRDefault="00E105B8" w:rsidP="00472B53">
            <w:pPr>
              <w:pStyle w:val="Tabletext"/>
              <w:jc w:val="center"/>
            </w:pPr>
          </w:p>
        </w:tc>
        <w:tc>
          <w:tcPr>
            <w:tcW w:w="1145" w:type="pct"/>
            <w:vAlign w:val="center"/>
          </w:tcPr>
          <w:p w14:paraId="0B64C66D" w14:textId="1ECA3C50" w:rsidR="00E105B8" w:rsidRPr="00357901" w:rsidRDefault="00E105B8" w:rsidP="00472B53">
            <w:pPr>
              <w:pStyle w:val="Tabletext"/>
              <w:jc w:val="center"/>
            </w:pPr>
          </w:p>
        </w:tc>
      </w:tr>
      <w:tr w:rsidR="00E105B8" w:rsidRPr="00357901" w14:paraId="1E24FB4C" w14:textId="77777777" w:rsidTr="00503E08">
        <w:trPr>
          <w:cantSplit/>
          <w:trHeight w:val="18"/>
          <w:jc w:val="center"/>
        </w:trPr>
        <w:tc>
          <w:tcPr>
            <w:tcW w:w="2166" w:type="pct"/>
            <w:vAlign w:val="center"/>
            <w:hideMark/>
          </w:tcPr>
          <w:p w14:paraId="57B234E4" w14:textId="4F789EB4" w:rsidR="00E105B8" w:rsidRPr="00357901" w:rsidRDefault="00E105B8" w:rsidP="00472B53">
            <w:pPr>
              <w:pStyle w:val="Tabletext"/>
            </w:pPr>
            <w:r>
              <w:t>Maximum a</w:t>
            </w:r>
            <w:r w:rsidRPr="00357901">
              <w:t>ntenna gain</w:t>
            </w:r>
          </w:p>
        </w:tc>
        <w:tc>
          <w:tcPr>
            <w:tcW w:w="543" w:type="pct"/>
            <w:vAlign w:val="center"/>
            <w:hideMark/>
          </w:tcPr>
          <w:p w14:paraId="6AA3EDAF" w14:textId="77777777" w:rsidR="00E105B8" w:rsidRPr="00357901" w:rsidRDefault="00E105B8" w:rsidP="00472B53">
            <w:pPr>
              <w:pStyle w:val="Tabletext"/>
              <w:jc w:val="center"/>
            </w:pPr>
            <w:proofErr w:type="spellStart"/>
            <w:r w:rsidRPr="00357901">
              <w:t>dBi</w:t>
            </w:r>
            <w:proofErr w:type="spellEnd"/>
          </w:p>
        </w:tc>
        <w:tc>
          <w:tcPr>
            <w:tcW w:w="1146" w:type="pct"/>
            <w:vAlign w:val="center"/>
          </w:tcPr>
          <w:p w14:paraId="51BA6D06" w14:textId="77777777" w:rsidR="00E105B8" w:rsidRPr="00357901" w:rsidRDefault="00E105B8" w:rsidP="00472B53">
            <w:pPr>
              <w:pStyle w:val="Tabletext"/>
              <w:jc w:val="center"/>
            </w:pPr>
            <w:r w:rsidRPr="00357901">
              <w:t>9</w:t>
            </w:r>
          </w:p>
        </w:tc>
        <w:tc>
          <w:tcPr>
            <w:tcW w:w="1145" w:type="pct"/>
            <w:vAlign w:val="center"/>
          </w:tcPr>
          <w:p w14:paraId="77F5720B" w14:textId="77777777" w:rsidR="00E105B8" w:rsidRPr="00357901" w:rsidRDefault="00E105B8" w:rsidP="00472B53">
            <w:pPr>
              <w:pStyle w:val="Tabletext"/>
              <w:jc w:val="center"/>
            </w:pPr>
            <w:r w:rsidRPr="00357901">
              <w:t>9</w:t>
            </w:r>
          </w:p>
        </w:tc>
      </w:tr>
      <w:tr w:rsidR="00E105B8" w:rsidRPr="00357901" w14:paraId="6A818AE7" w14:textId="77777777" w:rsidTr="00503E08">
        <w:trPr>
          <w:cantSplit/>
          <w:trHeight w:val="18"/>
          <w:jc w:val="center"/>
        </w:trPr>
        <w:tc>
          <w:tcPr>
            <w:tcW w:w="2166" w:type="pct"/>
            <w:vAlign w:val="center"/>
          </w:tcPr>
          <w:p w14:paraId="0BC94A49" w14:textId="77777777" w:rsidR="00E105B8" w:rsidRDefault="00E105B8" w:rsidP="00472B53">
            <w:pPr>
              <w:pStyle w:val="Tabletext"/>
            </w:pPr>
            <w:r>
              <w:t>Antenna pointing</w:t>
            </w:r>
          </w:p>
        </w:tc>
        <w:tc>
          <w:tcPr>
            <w:tcW w:w="543" w:type="pct"/>
            <w:vAlign w:val="center"/>
          </w:tcPr>
          <w:p w14:paraId="4433846C" w14:textId="40B5415F" w:rsidR="00E105B8" w:rsidRPr="00357901" w:rsidRDefault="00E105B8" w:rsidP="00472B53">
            <w:pPr>
              <w:pStyle w:val="Tabletext"/>
              <w:jc w:val="center"/>
            </w:pPr>
          </w:p>
        </w:tc>
        <w:tc>
          <w:tcPr>
            <w:tcW w:w="1146" w:type="pct"/>
            <w:vAlign w:val="center"/>
          </w:tcPr>
          <w:p w14:paraId="257CA222" w14:textId="0499A651" w:rsidR="00E105B8" w:rsidRPr="00357901" w:rsidRDefault="00C75945" w:rsidP="00472B53">
            <w:pPr>
              <w:pStyle w:val="Tabletext"/>
              <w:jc w:val="center"/>
            </w:pPr>
            <w:r>
              <w:t>Per sector</w:t>
            </w:r>
          </w:p>
        </w:tc>
        <w:tc>
          <w:tcPr>
            <w:tcW w:w="1145" w:type="pct"/>
            <w:vAlign w:val="center"/>
          </w:tcPr>
          <w:p w14:paraId="3964C90B" w14:textId="158E2BDF" w:rsidR="00E105B8" w:rsidRPr="00357901" w:rsidRDefault="00C75945" w:rsidP="00472B53">
            <w:pPr>
              <w:pStyle w:val="Tabletext"/>
              <w:jc w:val="center"/>
            </w:pPr>
            <w:r>
              <w:t>Per sector</w:t>
            </w:r>
          </w:p>
        </w:tc>
      </w:tr>
      <w:tr w:rsidR="00E105B8" w:rsidRPr="00357901" w14:paraId="2BC9AFE7" w14:textId="77777777" w:rsidTr="00503E08">
        <w:trPr>
          <w:cantSplit/>
          <w:trHeight w:val="18"/>
          <w:jc w:val="center"/>
        </w:trPr>
        <w:tc>
          <w:tcPr>
            <w:tcW w:w="2166" w:type="pct"/>
            <w:vAlign w:val="center"/>
            <w:hideMark/>
          </w:tcPr>
          <w:p w14:paraId="4E0F0C93" w14:textId="77777777" w:rsidR="00E105B8" w:rsidRPr="00357901" w:rsidRDefault="00E105B8" w:rsidP="00472B53">
            <w:pPr>
              <w:pStyle w:val="Tabletext"/>
            </w:pPr>
            <w:r w:rsidRPr="00357901">
              <w:t>Polarization</w:t>
            </w:r>
          </w:p>
        </w:tc>
        <w:tc>
          <w:tcPr>
            <w:tcW w:w="543" w:type="pct"/>
            <w:vAlign w:val="center"/>
          </w:tcPr>
          <w:p w14:paraId="32624D81" w14:textId="77777777" w:rsidR="00E105B8" w:rsidRPr="00357901" w:rsidRDefault="00E105B8" w:rsidP="00472B53">
            <w:pPr>
              <w:pStyle w:val="Tabletext"/>
              <w:jc w:val="center"/>
            </w:pPr>
          </w:p>
        </w:tc>
        <w:tc>
          <w:tcPr>
            <w:tcW w:w="1146" w:type="pct"/>
            <w:vAlign w:val="center"/>
          </w:tcPr>
          <w:p w14:paraId="7E42DDC5" w14:textId="77777777" w:rsidR="00E105B8" w:rsidRPr="00357901" w:rsidRDefault="00E105B8" w:rsidP="00472B53">
            <w:pPr>
              <w:pStyle w:val="Tabletext"/>
              <w:jc w:val="center"/>
            </w:pPr>
            <w:r w:rsidRPr="00357901">
              <w:t>Vertical</w:t>
            </w:r>
          </w:p>
        </w:tc>
        <w:tc>
          <w:tcPr>
            <w:tcW w:w="1145" w:type="pct"/>
            <w:vAlign w:val="center"/>
          </w:tcPr>
          <w:p w14:paraId="6642CD45" w14:textId="77777777" w:rsidR="00E105B8" w:rsidRPr="00357901" w:rsidRDefault="00E105B8" w:rsidP="00472B53">
            <w:pPr>
              <w:pStyle w:val="Tabletext"/>
              <w:jc w:val="center"/>
            </w:pPr>
            <w:r w:rsidRPr="00357901">
              <w:t>Vertical</w:t>
            </w:r>
          </w:p>
        </w:tc>
      </w:tr>
      <w:tr w:rsidR="00E105B8" w:rsidRPr="00357901" w14:paraId="2E5631E2" w14:textId="77777777" w:rsidTr="00503E08">
        <w:trPr>
          <w:cantSplit/>
          <w:trHeight w:val="18"/>
          <w:jc w:val="center"/>
        </w:trPr>
        <w:tc>
          <w:tcPr>
            <w:tcW w:w="2166" w:type="pct"/>
            <w:vAlign w:val="center"/>
          </w:tcPr>
          <w:p w14:paraId="736DF09B" w14:textId="364B1D58" w:rsidR="00E105B8" w:rsidRPr="00357901" w:rsidRDefault="00E105B8" w:rsidP="00472B53">
            <w:pPr>
              <w:pStyle w:val="Tabletext"/>
            </w:pPr>
            <w:r w:rsidRPr="00357901">
              <w:t>Field of Regard</w:t>
            </w:r>
            <w:r w:rsidR="00793189">
              <w:t xml:space="preserve"> (</w:t>
            </w:r>
            <w:proofErr w:type="spellStart"/>
            <w:r w:rsidR="00793189">
              <w:t>FoR</w:t>
            </w:r>
            <w:proofErr w:type="spellEnd"/>
            <w:r w:rsidR="00793189">
              <w:t>)</w:t>
            </w:r>
          </w:p>
        </w:tc>
        <w:tc>
          <w:tcPr>
            <w:tcW w:w="543" w:type="pct"/>
            <w:vAlign w:val="center"/>
          </w:tcPr>
          <w:p w14:paraId="5BB45348" w14:textId="77777777" w:rsidR="00E105B8" w:rsidRPr="00357901" w:rsidRDefault="00E105B8" w:rsidP="00472B53">
            <w:pPr>
              <w:pStyle w:val="Tabletext"/>
              <w:jc w:val="center"/>
            </w:pPr>
            <w:r w:rsidRPr="00357901">
              <w:t>degrees</w:t>
            </w:r>
          </w:p>
        </w:tc>
        <w:tc>
          <w:tcPr>
            <w:tcW w:w="1146" w:type="pct"/>
            <w:vAlign w:val="center"/>
          </w:tcPr>
          <w:p w14:paraId="6BE17C75" w14:textId="5D256EFB" w:rsidR="00E105B8" w:rsidRPr="00357901" w:rsidRDefault="00E105B8" w:rsidP="00472B53">
            <w:pPr>
              <w:pStyle w:val="Tabletext"/>
              <w:jc w:val="center"/>
            </w:pPr>
            <w:r w:rsidRPr="00357901">
              <w:t>+/-110°</w:t>
            </w:r>
            <w:r w:rsidR="00793189">
              <w:t xml:space="preserve"> (typical)</w:t>
            </w:r>
            <w:r w:rsidRPr="00357901">
              <w:t xml:space="preserve"> </w:t>
            </w:r>
            <w:r w:rsidR="00793189">
              <w:t xml:space="preserve">up </w:t>
            </w:r>
            <w:r w:rsidRPr="00357901">
              <w:t>to +/-180°</w:t>
            </w:r>
          </w:p>
        </w:tc>
        <w:tc>
          <w:tcPr>
            <w:tcW w:w="1145" w:type="pct"/>
            <w:vAlign w:val="center"/>
          </w:tcPr>
          <w:p w14:paraId="447096CE" w14:textId="425A57A6" w:rsidR="00E105B8" w:rsidRPr="00357901" w:rsidRDefault="00E105B8" w:rsidP="00472B53">
            <w:pPr>
              <w:pStyle w:val="Tabletext"/>
              <w:jc w:val="center"/>
            </w:pPr>
            <w:r w:rsidRPr="00357901">
              <w:t>+/-110°</w:t>
            </w:r>
            <w:r w:rsidR="00793189">
              <w:t xml:space="preserve"> (typical)</w:t>
            </w:r>
            <w:r w:rsidRPr="00357901">
              <w:t xml:space="preserve"> </w:t>
            </w:r>
            <w:r w:rsidR="00793189">
              <w:t xml:space="preserve">up </w:t>
            </w:r>
            <w:r w:rsidRPr="00357901">
              <w:t>to +/-180°</w:t>
            </w:r>
          </w:p>
        </w:tc>
      </w:tr>
    </w:tbl>
    <w:p w14:paraId="5780A3EE" w14:textId="750DB2A9" w:rsidR="00E105B8" w:rsidRDefault="00503E08" w:rsidP="00503E08">
      <w:bookmarkStart w:id="2" w:name="_Ref187418004"/>
      <w:r>
        <w:t xml:space="preserve">Table </w:t>
      </w:r>
      <w:r>
        <w:fldChar w:fldCharType="begin"/>
      </w:r>
      <w:r>
        <w:instrText xml:space="preserve"> SEQ Table \* ARABIC </w:instrText>
      </w:r>
      <w:r>
        <w:fldChar w:fldCharType="separate"/>
      </w:r>
      <w:r>
        <w:rPr>
          <w:noProof/>
        </w:rPr>
        <w:t>2</w:t>
      </w:r>
      <w:r>
        <w:fldChar w:fldCharType="end"/>
      </w:r>
      <w:bookmarkEnd w:id="2"/>
      <w:r>
        <w:t>: Technical characteristics of DAA</w:t>
      </w:r>
    </w:p>
    <w:p w14:paraId="70BFCCA8" w14:textId="77777777" w:rsidR="00503E08" w:rsidRDefault="00503E08" w:rsidP="00503E08"/>
    <w:p w14:paraId="3849C248" w14:textId="77777777" w:rsidR="00E105B8" w:rsidRDefault="00E105B8" w:rsidP="00D06F3B">
      <w:pPr>
        <w:pStyle w:val="3para"/>
        <w:numPr>
          <w:ilvl w:val="0"/>
          <w:numId w:val="0"/>
        </w:numPr>
      </w:pPr>
    </w:p>
    <w:p w14:paraId="7354CB9E" w14:textId="77777777" w:rsidR="00D06F3B" w:rsidRPr="00547BFD" w:rsidRDefault="00F84E31" w:rsidP="00D06F3B">
      <w:pPr>
        <w:pStyle w:val="2para"/>
        <w:rPr>
          <w:b/>
          <w:bCs/>
        </w:rPr>
      </w:pPr>
      <w:r w:rsidRPr="00547BFD">
        <w:rPr>
          <w:b/>
          <w:bCs/>
        </w:rPr>
        <w:t>Solutions for sharing of the 15.4 – 15.7 GHz band between ASDE and DAA</w:t>
      </w:r>
    </w:p>
    <w:p w14:paraId="22090D25" w14:textId="61CF935A" w:rsidR="00D06F3B" w:rsidRDefault="00D06F3B" w:rsidP="00D06F3B">
      <w:pPr>
        <w:pStyle w:val="3para"/>
      </w:pPr>
      <w:r>
        <w:t xml:space="preserve">DO-366B (Air-to-air DAA radar) contains the following requirement: </w:t>
      </w:r>
    </w:p>
    <w:p w14:paraId="430BC946" w14:textId="29F0CE46" w:rsidR="00D06F3B" w:rsidRPr="00D06F3B" w:rsidRDefault="00D06F3B" w:rsidP="00D06F3B">
      <w:pPr>
        <w:pStyle w:val="Default"/>
        <w:rPr>
          <w:i/>
          <w:iCs/>
          <w:color w:val="auto"/>
          <w:sz w:val="22"/>
          <w:szCs w:val="22"/>
          <w:lang w:val="en-US"/>
        </w:rPr>
      </w:pPr>
      <w:r w:rsidRPr="00D06F3B">
        <w:rPr>
          <w:i/>
          <w:iCs/>
          <w:color w:val="auto"/>
          <w:sz w:val="22"/>
          <w:szCs w:val="22"/>
          <w:lang w:val="en-US"/>
        </w:rPr>
        <w:t xml:space="preserve">The radar </w:t>
      </w:r>
      <w:r w:rsidRPr="00D06F3B">
        <w:rPr>
          <w:b/>
          <w:bCs/>
          <w:i/>
          <w:iCs/>
          <w:color w:val="auto"/>
          <w:sz w:val="22"/>
          <w:szCs w:val="22"/>
          <w:lang w:val="en-US"/>
        </w:rPr>
        <w:t xml:space="preserve">shall (REQ:022) </w:t>
      </w:r>
      <w:r w:rsidRPr="00D06F3B">
        <w:rPr>
          <w:i/>
          <w:iCs/>
          <w:color w:val="auto"/>
          <w:sz w:val="22"/>
          <w:szCs w:val="22"/>
          <w:lang w:val="en-US"/>
        </w:rPr>
        <w:t xml:space="preserve">be capable of switching automatically between three frequency channels within the utilized band based on interference in the channel and have a minimum of three non-overlapping channels within the band. </w:t>
      </w:r>
    </w:p>
    <w:p w14:paraId="3F6AD1C8" w14:textId="77777777" w:rsidR="00D06F3B" w:rsidRPr="00D06F3B" w:rsidRDefault="00D06F3B" w:rsidP="00D06F3B">
      <w:pPr>
        <w:pStyle w:val="Default"/>
        <w:rPr>
          <w:color w:val="auto"/>
          <w:sz w:val="22"/>
          <w:szCs w:val="22"/>
          <w:lang w:val="en-US"/>
        </w:rPr>
      </w:pPr>
    </w:p>
    <w:p w14:paraId="15FB4571" w14:textId="0A7E79F6" w:rsidR="00D06F3B" w:rsidRDefault="00D06F3B" w:rsidP="00D06F3B">
      <w:pPr>
        <w:pStyle w:val="3para"/>
      </w:pPr>
      <w:r>
        <w:t>In the 300 MHz of the 15.4 – 15.7 GHz, considering that the bandwidth for ASDE is maximum 50 MHz, there is still room for</w:t>
      </w:r>
      <w:r w:rsidR="00C7695C">
        <w:t xml:space="preserve"> enough</w:t>
      </w:r>
      <w:r>
        <w:t xml:space="preserve"> DAA channels in order to respect DO-366B requirements.</w:t>
      </w:r>
    </w:p>
    <w:p w14:paraId="2848D9DF" w14:textId="5B3FDF7F" w:rsidR="00D06F3B" w:rsidRDefault="00D06F3B" w:rsidP="00D06F3B">
      <w:pPr>
        <w:pStyle w:val="3para"/>
      </w:pPr>
      <w:r>
        <w:t xml:space="preserve">The accommodation of the requirement on the number of channel would be facilitated with a dynamic and location dependent choice of the </w:t>
      </w:r>
      <w:r w:rsidR="00547BFD">
        <w:t xml:space="preserve">usable </w:t>
      </w:r>
      <w:r>
        <w:t>channel by on-board DAA.</w:t>
      </w:r>
    </w:p>
    <w:p w14:paraId="25DCFD5E" w14:textId="191D778B" w:rsidR="00547BFD" w:rsidRDefault="00547BFD" w:rsidP="00D06F3B">
      <w:pPr>
        <w:pStyle w:val="3para"/>
      </w:pPr>
      <w:r>
        <w:t>Conditions for the selection of channels to be used by DAA needs to be define</w:t>
      </w:r>
      <w:r w:rsidR="0060363A">
        <w:t>d</w:t>
      </w:r>
      <w:r>
        <w:t>, from the constraints to ensure coexistence between the different applications in this band.</w:t>
      </w:r>
      <w:r w:rsidR="001414A9">
        <w:t xml:space="preserve"> This will be done at next </w:t>
      </w:r>
      <w:r w:rsidR="00035936">
        <w:t>step</w:t>
      </w:r>
      <w:r w:rsidR="001414A9">
        <w:t>.</w:t>
      </w:r>
    </w:p>
    <w:p w14:paraId="088E2035" w14:textId="77777777" w:rsidR="00770160" w:rsidRDefault="00770160">
      <w:pPr>
        <w:pStyle w:val="1Heading"/>
      </w:pPr>
      <w:r>
        <w:t>ACTION BY THE MEETING</w:t>
      </w:r>
    </w:p>
    <w:p w14:paraId="508F8E27" w14:textId="1F69D448" w:rsidR="00547BFD" w:rsidRDefault="00547BFD">
      <w:pPr>
        <w:pStyle w:val="2para"/>
      </w:pPr>
      <w:r>
        <w:t xml:space="preserve">It is believed that the 15.4 – 15.7 GHz frequency band is a good candidate to accommodate DAA needs, in particular regarding its capacity to support worldwide operations. Coexistence between the different services seems to be achievable. Civil aviation would benefit from </w:t>
      </w:r>
      <w:r w:rsidR="00273838">
        <w:t>optimizing its spectrum usage by sharing the aeronautical bands between several aeronautical systems.</w:t>
      </w:r>
    </w:p>
    <w:p w14:paraId="4F7652E4" w14:textId="16262614" w:rsidR="00770160" w:rsidRDefault="00770160">
      <w:pPr>
        <w:pStyle w:val="2para"/>
      </w:pPr>
      <w:r>
        <w:t>The meeting is invited to:</w:t>
      </w:r>
    </w:p>
    <w:p w14:paraId="0956D32B" w14:textId="77777777" w:rsidR="00770160" w:rsidRDefault="00770160">
      <w:pPr>
        <w:pStyle w:val="Listabc"/>
      </w:pPr>
      <w:r>
        <w:rPr>
          <w:lang w:val="en-GB"/>
        </w:rPr>
        <w:t>n</w:t>
      </w:r>
      <w:r>
        <w:t>ote and review the contents of this working paper;</w:t>
      </w:r>
    </w:p>
    <w:p w14:paraId="3C870906" w14:textId="35153A3D" w:rsidR="00273838" w:rsidRDefault="00547BFD">
      <w:pPr>
        <w:pStyle w:val="Listabc"/>
      </w:pPr>
      <w:r>
        <w:t>continue the identification of constraints and the definition of solution</w:t>
      </w:r>
      <w:r w:rsidR="00273838">
        <w:t xml:space="preserve"> to ensure coexistence between the different systems.</w:t>
      </w:r>
    </w:p>
    <w:p w14:paraId="235728C1" w14:textId="778E4C98" w:rsidR="00892C90" w:rsidRDefault="00892C90">
      <w:pPr>
        <w:pStyle w:val="Listabc"/>
      </w:pPr>
      <w:r>
        <w:t xml:space="preserve">Include the technical parameters of </w:t>
      </w:r>
      <w:r w:rsidR="00C7695C">
        <w:t>on-board DAA radar into the RF handbook Vol C, as part of the long term maintenance of ICAO Doc 9718.</w:t>
      </w:r>
    </w:p>
    <w:p w14:paraId="4E14BCEB" w14:textId="05FB6420" w:rsidR="00273838" w:rsidRDefault="00273838">
      <w:pPr>
        <w:pStyle w:val="Listabc"/>
      </w:pPr>
      <w:r>
        <w:t>Prioritize the accomodation of on-board DAA needs in this band, considering that this band would be suitable to fulfill the need for worldwide RPAS operation</w:t>
      </w:r>
    </w:p>
    <w:p w14:paraId="67A7A8F4" w14:textId="7B220C61" w:rsidR="00273838" w:rsidRDefault="00273838">
      <w:pPr>
        <w:pStyle w:val="Listabc"/>
      </w:pPr>
      <w:r>
        <w:t>Limit the deployment of ASDE in this frequency band</w:t>
      </w:r>
    </w:p>
    <w:p w14:paraId="22A6E194" w14:textId="1408F125" w:rsidR="00423C6F" w:rsidRDefault="00273838" w:rsidP="00273838">
      <w:pPr>
        <w:pStyle w:val="Listabc"/>
      </w:pPr>
      <w:r>
        <w:t>Coordinate FSMP work with RPAS Panel which has taken the initiative to set up a DAA frequency sub-group without any coordination with FSMP at this stage.</w:t>
      </w:r>
    </w:p>
    <w:p w14:paraId="6DEC4F71" w14:textId="77777777" w:rsidR="00A12CBA" w:rsidRDefault="00770160" w:rsidP="00E91DF2">
      <w:pPr>
        <w:spacing w:before="600"/>
        <w:jc w:val="center"/>
      </w:pPr>
      <w:r>
        <w:t>— END —</w:t>
      </w:r>
    </w:p>
    <w:p w14:paraId="46AA34FE" w14:textId="77777777" w:rsidR="00196315" w:rsidRDefault="00196315">
      <w:pPr>
        <w:jc w:val="left"/>
      </w:pPr>
      <w:r>
        <w:br w:type="page"/>
      </w:r>
    </w:p>
    <w:p w14:paraId="269B51B2" w14:textId="1C716E89" w:rsidR="00196315" w:rsidRDefault="00196315" w:rsidP="00E91DF2">
      <w:pPr>
        <w:spacing w:before="600"/>
        <w:jc w:val="center"/>
      </w:pPr>
      <w:r>
        <w:lastRenderedPageBreak/>
        <w:t>ANNEX</w:t>
      </w:r>
    </w:p>
    <w:p w14:paraId="5A33BC9D" w14:textId="0DDAD7D6" w:rsidR="00196315" w:rsidRPr="00196315" w:rsidRDefault="00196315" w:rsidP="00196315">
      <w:pPr>
        <w:keepNext/>
        <w:jc w:val="center"/>
        <w:outlineLvl w:val="0"/>
        <w:rPr>
          <w:b/>
        </w:rPr>
      </w:pPr>
      <w:r>
        <w:rPr>
          <w:b/>
        </w:rPr>
        <w:t>On-board Detect and Avoid Radar</w:t>
      </w:r>
      <w:r w:rsidRPr="00196315">
        <w:rPr>
          <w:b/>
        </w:rPr>
        <w:t xml:space="preserve"> (</w:t>
      </w:r>
      <w:r>
        <w:rPr>
          <w:b/>
          <w:i/>
          <w:iCs/>
        </w:rPr>
        <w:t>15.4 – 15.7 GHz</w:t>
      </w:r>
      <w:r w:rsidRPr="00196315">
        <w:rPr>
          <w:rFonts w:eastAsia="Calibri"/>
          <w:b/>
        </w:rPr>
        <w:t>)</w:t>
      </w:r>
    </w:p>
    <w:p w14:paraId="0DD7BDE3" w14:textId="77777777" w:rsidR="00196315" w:rsidRPr="00196315" w:rsidRDefault="00196315" w:rsidP="00196315"/>
    <w:p w14:paraId="125C8DEF" w14:textId="77777777" w:rsidR="00196315" w:rsidRPr="00196315" w:rsidRDefault="00196315" w:rsidP="00196315">
      <w:pPr>
        <w:keepNext/>
        <w:keepLines/>
        <w:tabs>
          <w:tab w:val="left" w:pos="794"/>
          <w:tab w:val="left" w:pos="1191"/>
          <w:tab w:val="left" w:pos="1588"/>
          <w:tab w:val="left" w:pos="1985"/>
        </w:tabs>
        <w:overflowPunct w:val="0"/>
        <w:autoSpaceDE w:val="0"/>
        <w:autoSpaceDN w:val="0"/>
        <w:adjustRightInd w:val="0"/>
        <w:spacing w:before="320"/>
        <w:ind w:left="794" w:hanging="794"/>
        <w:textAlignment w:val="baseline"/>
        <w:outlineLvl w:val="1"/>
        <w:rPr>
          <w:b/>
          <w:sz w:val="24"/>
        </w:rPr>
      </w:pPr>
      <w:r w:rsidRPr="00196315">
        <w:rPr>
          <w:b/>
          <w:sz w:val="24"/>
        </w:rPr>
        <w:t>QUICK REFERENCE</w:t>
      </w:r>
    </w:p>
    <w:p w14:paraId="03BDBA02" w14:textId="77777777" w:rsidR="00196315" w:rsidRPr="00196315" w:rsidRDefault="00196315" w:rsidP="00196315">
      <w:pPr>
        <w:jc w:val="left"/>
        <w:rPr>
          <w:rFonts w:eastAsia="Calibri"/>
          <w:b/>
          <w:szCs w:val="22"/>
        </w:rPr>
      </w:pPr>
    </w:p>
    <w:tbl>
      <w:tblPr>
        <w:tblW w:w="0" w:type="auto"/>
        <w:tblLook w:val="04A0" w:firstRow="1" w:lastRow="0" w:firstColumn="1" w:lastColumn="0" w:noHBand="0" w:noVBand="1"/>
      </w:tblPr>
      <w:tblGrid>
        <w:gridCol w:w="3060"/>
        <w:gridCol w:w="6678"/>
      </w:tblGrid>
      <w:tr w:rsidR="00196315" w:rsidRPr="00196315" w14:paraId="361F4D2F" w14:textId="77777777" w:rsidTr="00472B53">
        <w:trPr>
          <w:trHeight w:val="432"/>
        </w:trPr>
        <w:tc>
          <w:tcPr>
            <w:tcW w:w="3060" w:type="dxa"/>
            <w:shd w:val="clear" w:color="auto" w:fill="auto"/>
          </w:tcPr>
          <w:p w14:paraId="20958A56" w14:textId="77777777" w:rsidR="00196315" w:rsidRPr="00196315" w:rsidRDefault="00196315" w:rsidP="00196315">
            <w:pPr>
              <w:spacing w:after="120"/>
              <w:jc w:val="left"/>
              <w:rPr>
                <w:rFonts w:eastAsia="Calibri"/>
                <w:b/>
                <w:szCs w:val="22"/>
              </w:rPr>
            </w:pPr>
            <w:r w:rsidRPr="00196315">
              <w:rPr>
                <w:rFonts w:eastAsia="Calibri"/>
                <w:b/>
                <w:szCs w:val="22"/>
              </w:rPr>
              <w:t>System name</w:t>
            </w:r>
          </w:p>
        </w:tc>
        <w:tc>
          <w:tcPr>
            <w:tcW w:w="6678" w:type="dxa"/>
            <w:shd w:val="clear" w:color="auto" w:fill="auto"/>
          </w:tcPr>
          <w:p w14:paraId="23E8D425" w14:textId="36707A19" w:rsidR="00196315" w:rsidRPr="00196315" w:rsidRDefault="00D67B2D" w:rsidP="00196315">
            <w:pPr>
              <w:spacing w:after="120"/>
              <w:jc w:val="left"/>
              <w:rPr>
                <w:rFonts w:eastAsia="Calibri"/>
                <w:i/>
                <w:iCs/>
                <w:szCs w:val="22"/>
              </w:rPr>
            </w:pPr>
            <w:r>
              <w:rPr>
                <w:rFonts w:eastAsia="Calibri"/>
                <w:i/>
                <w:iCs/>
                <w:szCs w:val="22"/>
              </w:rPr>
              <w:t>On-board Detect and Avoid Radar</w:t>
            </w:r>
          </w:p>
        </w:tc>
      </w:tr>
      <w:tr w:rsidR="00196315" w:rsidRPr="00196315" w14:paraId="40990DF8" w14:textId="77777777" w:rsidTr="00472B53">
        <w:trPr>
          <w:trHeight w:val="432"/>
        </w:trPr>
        <w:tc>
          <w:tcPr>
            <w:tcW w:w="3060" w:type="dxa"/>
            <w:shd w:val="clear" w:color="auto" w:fill="auto"/>
          </w:tcPr>
          <w:p w14:paraId="69E0D153" w14:textId="77777777" w:rsidR="00196315" w:rsidRPr="00196315" w:rsidRDefault="00196315" w:rsidP="00196315">
            <w:pPr>
              <w:spacing w:after="120"/>
              <w:jc w:val="left"/>
              <w:rPr>
                <w:rFonts w:eastAsia="Calibri"/>
                <w:b/>
                <w:szCs w:val="22"/>
              </w:rPr>
            </w:pPr>
            <w:r w:rsidRPr="00196315">
              <w:rPr>
                <w:rFonts w:eastAsia="Calibri"/>
                <w:b/>
                <w:szCs w:val="22"/>
              </w:rPr>
              <w:t>Description</w:t>
            </w:r>
          </w:p>
        </w:tc>
        <w:tc>
          <w:tcPr>
            <w:tcW w:w="6678" w:type="dxa"/>
            <w:shd w:val="clear" w:color="auto" w:fill="auto"/>
          </w:tcPr>
          <w:p w14:paraId="70CB4167" w14:textId="29F2E479" w:rsidR="00196315" w:rsidRPr="00196315" w:rsidRDefault="00D67B2D" w:rsidP="00D67B2D">
            <w:pPr>
              <w:spacing w:after="120"/>
              <w:jc w:val="left"/>
              <w:rPr>
                <w:rFonts w:eastAsia="Calibri"/>
                <w:bCs/>
                <w:i/>
                <w:iCs/>
                <w:szCs w:val="22"/>
              </w:rPr>
            </w:pPr>
            <w:r>
              <w:rPr>
                <w:rFonts w:eastAsia="Calibri"/>
                <w:bCs/>
                <w:i/>
                <w:iCs/>
                <w:szCs w:val="22"/>
              </w:rPr>
              <w:t xml:space="preserve">On-board Detect and Avoid Radar refers to </w:t>
            </w:r>
            <w:r w:rsidRPr="00D67B2D">
              <w:rPr>
                <w:rFonts w:eastAsia="Calibri"/>
                <w:bCs/>
                <w:i/>
                <w:iCs/>
                <w:szCs w:val="22"/>
              </w:rPr>
              <w:t>equipment assisting the remote pilot to detec</w:t>
            </w:r>
            <w:r>
              <w:rPr>
                <w:rFonts w:eastAsia="Calibri"/>
                <w:bCs/>
                <w:i/>
                <w:iCs/>
                <w:szCs w:val="22"/>
              </w:rPr>
              <w:t xml:space="preserve">t </w:t>
            </w:r>
            <w:r w:rsidRPr="00D67B2D">
              <w:rPr>
                <w:rFonts w:eastAsia="Calibri"/>
                <w:bCs/>
                <w:i/>
                <w:iCs/>
                <w:szCs w:val="22"/>
              </w:rPr>
              <w:t>and avoid hazards</w:t>
            </w:r>
            <w:r>
              <w:rPr>
                <w:rFonts w:eastAsia="Calibri"/>
                <w:bCs/>
                <w:i/>
                <w:iCs/>
                <w:szCs w:val="22"/>
              </w:rPr>
              <w:t xml:space="preserve">, including </w:t>
            </w:r>
            <w:r w:rsidRPr="00D67B2D">
              <w:rPr>
                <w:rFonts w:eastAsia="Calibri"/>
                <w:bCs/>
                <w:i/>
                <w:iCs/>
                <w:szCs w:val="22"/>
              </w:rPr>
              <w:t>sensors, processing units and the interface with the remote pilot.</w:t>
            </w:r>
            <w:r>
              <w:rPr>
                <w:rFonts w:eastAsia="Calibri"/>
                <w:bCs/>
                <w:i/>
                <w:iCs/>
                <w:szCs w:val="22"/>
              </w:rPr>
              <w:t xml:space="preserve"> It is a key enabler for the safe and efficient integration of RPAS into non-segregated airspace.</w:t>
            </w:r>
          </w:p>
        </w:tc>
      </w:tr>
      <w:tr w:rsidR="00196315" w:rsidRPr="00196315" w14:paraId="2FB7C03F" w14:textId="77777777" w:rsidTr="00472B53">
        <w:trPr>
          <w:trHeight w:val="432"/>
        </w:trPr>
        <w:tc>
          <w:tcPr>
            <w:tcW w:w="3060" w:type="dxa"/>
            <w:shd w:val="clear" w:color="auto" w:fill="auto"/>
          </w:tcPr>
          <w:p w14:paraId="4AB9BF2E" w14:textId="77777777" w:rsidR="00196315" w:rsidRPr="00196315" w:rsidRDefault="00196315" w:rsidP="00196315">
            <w:pPr>
              <w:spacing w:after="120"/>
              <w:rPr>
                <w:rFonts w:eastAsia="Calibri"/>
                <w:b/>
                <w:szCs w:val="22"/>
              </w:rPr>
            </w:pPr>
            <w:r w:rsidRPr="00196315">
              <w:rPr>
                <w:rFonts w:eastAsia="Calibri"/>
                <w:b/>
                <w:szCs w:val="22"/>
              </w:rPr>
              <w:t>Technologies used</w:t>
            </w:r>
          </w:p>
        </w:tc>
        <w:tc>
          <w:tcPr>
            <w:tcW w:w="6678" w:type="dxa"/>
            <w:shd w:val="clear" w:color="auto" w:fill="auto"/>
          </w:tcPr>
          <w:p w14:paraId="52E82A9E" w14:textId="66AB317B" w:rsidR="00196315" w:rsidRPr="00196315" w:rsidRDefault="00D67B2D" w:rsidP="00196315">
            <w:pPr>
              <w:spacing w:after="120"/>
              <w:rPr>
                <w:rFonts w:eastAsia="Calibri"/>
                <w:bCs/>
                <w:i/>
                <w:iCs/>
                <w:szCs w:val="22"/>
              </w:rPr>
            </w:pPr>
            <w:r>
              <w:rPr>
                <w:rFonts w:eastAsia="Calibri"/>
                <w:bCs/>
                <w:i/>
                <w:iCs/>
                <w:szCs w:val="22"/>
              </w:rPr>
              <w:t>Pulsed</w:t>
            </w:r>
          </w:p>
        </w:tc>
      </w:tr>
      <w:tr w:rsidR="00196315" w:rsidRPr="00196315" w14:paraId="077D3977" w14:textId="77777777" w:rsidTr="00472B53">
        <w:trPr>
          <w:trHeight w:val="432"/>
        </w:trPr>
        <w:tc>
          <w:tcPr>
            <w:tcW w:w="3060" w:type="dxa"/>
            <w:shd w:val="clear" w:color="auto" w:fill="auto"/>
          </w:tcPr>
          <w:p w14:paraId="37570A5A" w14:textId="77777777" w:rsidR="00196315" w:rsidRPr="00196315" w:rsidRDefault="00196315" w:rsidP="00196315">
            <w:pPr>
              <w:spacing w:after="120"/>
              <w:jc w:val="left"/>
              <w:rPr>
                <w:rFonts w:eastAsia="Calibri"/>
                <w:b/>
                <w:szCs w:val="22"/>
              </w:rPr>
            </w:pPr>
            <w:r w:rsidRPr="00196315">
              <w:rPr>
                <w:rFonts w:eastAsia="Calibri"/>
                <w:b/>
                <w:szCs w:val="22"/>
              </w:rPr>
              <w:t>International Spectrum Allocation</w:t>
            </w:r>
          </w:p>
        </w:tc>
        <w:tc>
          <w:tcPr>
            <w:tcW w:w="6678" w:type="dxa"/>
            <w:shd w:val="clear" w:color="auto" w:fill="auto"/>
          </w:tcPr>
          <w:p w14:paraId="2134F3E4" w14:textId="30A33A7B" w:rsidR="00196315" w:rsidRPr="00196315" w:rsidRDefault="00BD440C" w:rsidP="00196315">
            <w:pPr>
              <w:spacing w:after="120"/>
              <w:jc w:val="left"/>
              <w:rPr>
                <w:rFonts w:eastAsia="Calibri"/>
                <w:b/>
                <w:i/>
                <w:iCs/>
                <w:szCs w:val="22"/>
              </w:rPr>
            </w:pPr>
            <w:r>
              <w:rPr>
                <w:rFonts w:eastAsia="Calibri"/>
                <w:i/>
                <w:iCs/>
                <w:szCs w:val="22"/>
              </w:rPr>
              <w:t>Aeronautical radionavigation</w:t>
            </w:r>
          </w:p>
        </w:tc>
      </w:tr>
      <w:tr w:rsidR="00196315" w:rsidRPr="00196315" w14:paraId="1F3E2CAC" w14:textId="77777777" w:rsidTr="00472B53">
        <w:trPr>
          <w:trHeight w:val="432"/>
        </w:trPr>
        <w:tc>
          <w:tcPr>
            <w:tcW w:w="3060" w:type="dxa"/>
            <w:shd w:val="clear" w:color="auto" w:fill="auto"/>
          </w:tcPr>
          <w:p w14:paraId="6A123038" w14:textId="77777777" w:rsidR="00196315" w:rsidRPr="00196315" w:rsidRDefault="00196315" w:rsidP="00196315">
            <w:pPr>
              <w:spacing w:after="120"/>
              <w:jc w:val="left"/>
              <w:rPr>
                <w:rFonts w:eastAsia="Calibri"/>
                <w:b/>
                <w:szCs w:val="22"/>
              </w:rPr>
            </w:pPr>
            <w:r w:rsidRPr="00196315">
              <w:rPr>
                <w:rFonts w:eastAsia="Calibri"/>
                <w:b/>
                <w:szCs w:val="22"/>
              </w:rPr>
              <w:t>ICAO regulations on usage</w:t>
            </w:r>
          </w:p>
        </w:tc>
        <w:tc>
          <w:tcPr>
            <w:tcW w:w="6678" w:type="dxa"/>
            <w:shd w:val="clear" w:color="auto" w:fill="auto"/>
          </w:tcPr>
          <w:p w14:paraId="56D0B1B4" w14:textId="43710E7C" w:rsidR="00196315" w:rsidRPr="00196315" w:rsidRDefault="00BD440C" w:rsidP="00196315">
            <w:pPr>
              <w:spacing w:after="120"/>
              <w:jc w:val="left"/>
              <w:rPr>
                <w:rFonts w:eastAsia="Calibri"/>
                <w:b/>
                <w:i/>
                <w:iCs/>
                <w:szCs w:val="22"/>
              </w:rPr>
            </w:pPr>
            <w:r>
              <w:rPr>
                <w:rFonts w:eastAsia="Calibri"/>
                <w:i/>
                <w:iCs/>
                <w:szCs w:val="22"/>
              </w:rPr>
              <w:t>Annex 10, Annex 6 Part IV</w:t>
            </w:r>
            <w:r w:rsidR="00196315" w:rsidRPr="00196315">
              <w:rPr>
                <w:rFonts w:eastAsia="Calibri"/>
                <w:i/>
                <w:iCs/>
                <w:szCs w:val="22"/>
              </w:rPr>
              <w:t xml:space="preserve"> </w:t>
            </w:r>
          </w:p>
        </w:tc>
      </w:tr>
      <w:tr w:rsidR="00196315" w:rsidRPr="00196315" w14:paraId="73AEF669" w14:textId="77777777" w:rsidTr="00472B53">
        <w:tc>
          <w:tcPr>
            <w:tcW w:w="3060" w:type="dxa"/>
            <w:shd w:val="clear" w:color="auto" w:fill="auto"/>
          </w:tcPr>
          <w:p w14:paraId="2F4473A4" w14:textId="77777777" w:rsidR="00196315" w:rsidRPr="00196315" w:rsidRDefault="00196315" w:rsidP="00196315">
            <w:pPr>
              <w:spacing w:after="120"/>
              <w:jc w:val="left"/>
              <w:rPr>
                <w:rFonts w:eastAsia="Calibri"/>
                <w:b/>
                <w:szCs w:val="22"/>
              </w:rPr>
            </w:pPr>
          </w:p>
        </w:tc>
        <w:tc>
          <w:tcPr>
            <w:tcW w:w="6678" w:type="dxa"/>
            <w:shd w:val="clear" w:color="auto" w:fill="auto"/>
          </w:tcPr>
          <w:p w14:paraId="7015140C" w14:textId="77777777" w:rsidR="00196315" w:rsidRPr="00196315" w:rsidRDefault="00196315" w:rsidP="00196315">
            <w:pPr>
              <w:spacing w:after="120"/>
              <w:jc w:val="left"/>
              <w:rPr>
                <w:rFonts w:eastAsia="Calibri"/>
                <w:b/>
                <w:szCs w:val="22"/>
              </w:rPr>
            </w:pPr>
          </w:p>
        </w:tc>
      </w:tr>
    </w:tbl>
    <w:p w14:paraId="1A300346" w14:textId="77777777" w:rsidR="00196315" w:rsidRPr="00196315" w:rsidRDefault="00196315" w:rsidP="00196315">
      <w:pPr>
        <w:keepNext/>
        <w:keepLines/>
        <w:tabs>
          <w:tab w:val="left" w:pos="794"/>
          <w:tab w:val="left" w:pos="1191"/>
          <w:tab w:val="left" w:pos="1588"/>
          <w:tab w:val="left" w:pos="1985"/>
        </w:tabs>
        <w:overflowPunct w:val="0"/>
        <w:autoSpaceDE w:val="0"/>
        <w:autoSpaceDN w:val="0"/>
        <w:adjustRightInd w:val="0"/>
        <w:spacing w:before="320"/>
        <w:ind w:left="794" w:hanging="794"/>
        <w:textAlignment w:val="baseline"/>
        <w:outlineLvl w:val="1"/>
        <w:rPr>
          <w:b/>
          <w:sz w:val="24"/>
        </w:rPr>
      </w:pPr>
      <w:r w:rsidRPr="00196315">
        <w:rPr>
          <w:b/>
          <w:sz w:val="24"/>
        </w:rPr>
        <w:t>System Summary</w:t>
      </w:r>
    </w:p>
    <w:p w14:paraId="0BFA71D0" w14:textId="0F4AE514" w:rsidR="00BD440C" w:rsidRPr="00BD440C" w:rsidRDefault="00FB1882" w:rsidP="00BD440C">
      <w:pPr>
        <w:jc w:val="left"/>
        <w:rPr>
          <w:rFonts w:eastAsia="Calibri"/>
          <w:szCs w:val="22"/>
        </w:rPr>
      </w:pPr>
      <w:r>
        <w:rPr>
          <w:rFonts w:eastAsia="Calibri"/>
          <w:szCs w:val="22"/>
        </w:rPr>
        <w:t>On-board Detect and Avoid Radar is one component of the wider</w:t>
      </w:r>
      <w:r w:rsidR="00BD440C" w:rsidRPr="00BD440C">
        <w:rPr>
          <w:rFonts w:eastAsia="Calibri"/>
          <w:szCs w:val="22"/>
        </w:rPr>
        <w:t xml:space="preserve"> DAA system </w:t>
      </w:r>
      <w:r>
        <w:rPr>
          <w:rFonts w:eastAsia="Calibri"/>
          <w:szCs w:val="22"/>
        </w:rPr>
        <w:t xml:space="preserve">whose objective </w:t>
      </w:r>
      <w:r w:rsidR="00BD440C" w:rsidRPr="00BD440C">
        <w:rPr>
          <w:rFonts w:eastAsia="Calibri"/>
          <w:szCs w:val="22"/>
        </w:rPr>
        <w:t>is to allow the remote pilots to exercise their responsibilities with regards to see and avoid. The DAA system offers the remote pilot three functions to aid in the decision making.</w:t>
      </w:r>
    </w:p>
    <w:p w14:paraId="21D25C3C" w14:textId="77777777" w:rsidR="00BD440C" w:rsidRPr="00BD440C" w:rsidRDefault="00BD440C" w:rsidP="00BD440C">
      <w:pPr>
        <w:jc w:val="left"/>
        <w:rPr>
          <w:rFonts w:eastAsia="Calibri"/>
          <w:szCs w:val="22"/>
        </w:rPr>
      </w:pPr>
    </w:p>
    <w:p w14:paraId="327A26CA" w14:textId="0A35D791" w:rsidR="00BD440C" w:rsidRPr="00BD440C" w:rsidRDefault="00BD440C" w:rsidP="00BD440C">
      <w:pPr>
        <w:jc w:val="left"/>
        <w:rPr>
          <w:rFonts w:eastAsia="Calibri"/>
          <w:szCs w:val="22"/>
        </w:rPr>
      </w:pPr>
      <w:r w:rsidRPr="00BD440C">
        <w:rPr>
          <w:rFonts w:eastAsia="Calibri"/>
          <w:szCs w:val="22"/>
        </w:rPr>
        <w:t>Firstly, the DAA system provides a traffic display function, showing all traffic surrounding the RPA at the</w:t>
      </w:r>
      <w:r w:rsidR="00C75945">
        <w:rPr>
          <w:rFonts w:eastAsia="Calibri"/>
          <w:szCs w:val="22"/>
        </w:rPr>
        <w:t xml:space="preserve"> </w:t>
      </w:r>
      <w:r w:rsidRPr="00BD440C">
        <w:rPr>
          <w:rFonts w:eastAsia="Calibri"/>
          <w:szCs w:val="22"/>
        </w:rPr>
        <w:t xml:space="preserve">range selected by the remote pilot. This aids the remote pilot in exercising the </w:t>
      </w:r>
      <w:r w:rsidR="00526D86">
        <w:rPr>
          <w:rFonts w:eastAsia="Calibri"/>
          <w:szCs w:val="22"/>
        </w:rPr>
        <w:t xml:space="preserve">ICAO </w:t>
      </w:r>
      <w:r w:rsidRPr="00BD440C">
        <w:rPr>
          <w:rFonts w:eastAsia="Calibri"/>
          <w:szCs w:val="22"/>
        </w:rPr>
        <w:t>Annex 2 responsibility to remain vigilant for the purpose of detecting potential collisions with other aircraft.</w:t>
      </w:r>
    </w:p>
    <w:p w14:paraId="611C3A89" w14:textId="77777777" w:rsidR="00BD440C" w:rsidRPr="00BD440C" w:rsidRDefault="00BD440C" w:rsidP="00BD440C">
      <w:pPr>
        <w:jc w:val="left"/>
        <w:rPr>
          <w:rFonts w:eastAsia="Calibri"/>
          <w:szCs w:val="22"/>
        </w:rPr>
      </w:pPr>
    </w:p>
    <w:p w14:paraId="6C6AF175" w14:textId="66E004D2" w:rsidR="00BD440C" w:rsidRPr="00BD440C" w:rsidRDefault="00BD440C" w:rsidP="00BD440C">
      <w:pPr>
        <w:jc w:val="left"/>
        <w:rPr>
          <w:rFonts w:eastAsia="Calibri"/>
          <w:szCs w:val="22"/>
        </w:rPr>
      </w:pPr>
      <w:r w:rsidRPr="00BD440C">
        <w:rPr>
          <w:rFonts w:eastAsia="Calibri"/>
          <w:szCs w:val="22"/>
        </w:rPr>
        <w:t>The DAA system also provides a “remain well-clear” function (“RWC function”), which alerts the pilot of an imminent loss of ‘well clear’, or in other terms: an imminent need to apply the right-of-way requirements of</w:t>
      </w:r>
      <w:r w:rsidR="00526D86">
        <w:rPr>
          <w:rFonts w:eastAsia="Calibri"/>
          <w:szCs w:val="22"/>
        </w:rPr>
        <w:t xml:space="preserve"> ICAO</w:t>
      </w:r>
      <w:r w:rsidRPr="00BD440C">
        <w:rPr>
          <w:rFonts w:eastAsia="Calibri"/>
          <w:szCs w:val="22"/>
        </w:rPr>
        <w:t xml:space="preserve"> Annex 2 because without action, the RPA may not be well clear of other aircraft. The function also serves to aid the remote pilot in complying with the right of way rule of </w:t>
      </w:r>
      <w:r w:rsidR="00526D86">
        <w:rPr>
          <w:rFonts w:eastAsia="Calibri"/>
          <w:szCs w:val="22"/>
        </w:rPr>
        <w:t xml:space="preserve">ICAO </w:t>
      </w:r>
      <w:r w:rsidRPr="00BD440C">
        <w:rPr>
          <w:rFonts w:eastAsia="Calibri"/>
          <w:szCs w:val="22"/>
        </w:rPr>
        <w:t>Annex 2.</w:t>
      </w:r>
    </w:p>
    <w:p w14:paraId="2CB63CB0" w14:textId="77777777" w:rsidR="00BD440C" w:rsidRPr="00BD440C" w:rsidRDefault="00BD440C" w:rsidP="00BD440C">
      <w:pPr>
        <w:jc w:val="left"/>
        <w:rPr>
          <w:rFonts w:eastAsia="Calibri"/>
          <w:szCs w:val="22"/>
        </w:rPr>
      </w:pPr>
    </w:p>
    <w:p w14:paraId="5DBDF76F" w14:textId="6D87341E" w:rsidR="00BD440C" w:rsidRPr="00BD440C" w:rsidRDefault="00BD440C" w:rsidP="00BD440C">
      <w:pPr>
        <w:jc w:val="left"/>
        <w:rPr>
          <w:rFonts w:eastAsia="Calibri"/>
          <w:szCs w:val="22"/>
        </w:rPr>
      </w:pPr>
      <w:r w:rsidRPr="00BD440C">
        <w:rPr>
          <w:rFonts w:eastAsia="Calibri"/>
          <w:szCs w:val="22"/>
        </w:rPr>
        <w:t>Lastly, the DAA system provides a collision avoidance function, which, for all its intents and purposes, is</w:t>
      </w:r>
    </w:p>
    <w:p w14:paraId="21BF6B4D" w14:textId="5BCA46BF" w:rsidR="00196315" w:rsidRDefault="00BD440C" w:rsidP="00BD440C">
      <w:pPr>
        <w:jc w:val="left"/>
        <w:rPr>
          <w:rFonts w:eastAsia="Calibri"/>
          <w:szCs w:val="22"/>
        </w:rPr>
      </w:pPr>
      <w:proofErr w:type="gramStart"/>
      <w:r w:rsidRPr="00BD440C">
        <w:rPr>
          <w:rFonts w:eastAsia="Calibri"/>
          <w:szCs w:val="22"/>
        </w:rPr>
        <w:t>similar to</w:t>
      </w:r>
      <w:proofErr w:type="gramEnd"/>
      <w:r w:rsidRPr="00BD440C">
        <w:rPr>
          <w:rFonts w:eastAsia="Calibri"/>
          <w:szCs w:val="22"/>
        </w:rPr>
        <w:t xml:space="preserve"> the function that an ACAS provides on a conventional, manned aircraft.</w:t>
      </w:r>
    </w:p>
    <w:p w14:paraId="6A5BD663" w14:textId="77777777" w:rsidR="00FB1882" w:rsidRDefault="00FB1882" w:rsidP="00BD440C">
      <w:pPr>
        <w:jc w:val="left"/>
        <w:rPr>
          <w:rFonts w:eastAsia="Calibri"/>
          <w:szCs w:val="22"/>
        </w:rPr>
      </w:pPr>
    </w:p>
    <w:p w14:paraId="0A4FFDDF" w14:textId="1F3E9D96" w:rsidR="00FB1882" w:rsidRPr="00196315" w:rsidRDefault="00FB1882" w:rsidP="00BD440C">
      <w:pPr>
        <w:jc w:val="left"/>
        <w:rPr>
          <w:rFonts w:eastAsia="Calibri"/>
          <w:b/>
          <w:szCs w:val="22"/>
        </w:rPr>
      </w:pPr>
      <w:r>
        <w:rPr>
          <w:rFonts w:eastAsia="Calibri"/>
          <w:szCs w:val="22"/>
        </w:rPr>
        <w:t>The on-board DAA radar allows to detect the non-cooperative targets.</w:t>
      </w:r>
    </w:p>
    <w:p w14:paraId="478432C7" w14:textId="77777777" w:rsidR="00196315" w:rsidRPr="00196315" w:rsidRDefault="00196315" w:rsidP="00196315">
      <w:pPr>
        <w:keepNext/>
        <w:keepLines/>
        <w:tabs>
          <w:tab w:val="left" w:pos="794"/>
          <w:tab w:val="left" w:pos="1191"/>
          <w:tab w:val="left" w:pos="1588"/>
          <w:tab w:val="left" w:pos="1985"/>
        </w:tabs>
        <w:overflowPunct w:val="0"/>
        <w:autoSpaceDE w:val="0"/>
        <w:autoSpaceDN w:val="0"/>
        <w:adjustRightInd w:val="0"/>
        <w:spacing w:before="320"/>
        <w:ind w:left="794" w:hanging="794"/>
        <w:textAlignment w:val="baseline"/>
        <w:outlineLvl w:val="1"/>
        <w:rPr>
          <w:b/>
          <w:i/>
          <w:iCs/>
          <w:sz w:val="24"/>
          <w:szCs w:val="24"/>
        </w:rPr>
      </w:pPr>
      <w:r w:rsidRPr="00196315">
        <w:rPr>
          <w:b/>
          <w:sz w:val="24"/>
          <w:szCs w:val="24"/>
        </w:rPr>
        <w:t>Equipage and usage</w:t>
      </w:r>
    </w:p>
    <w:p w14:paraId="359CD2E9" w14:textId="3670A8A6" w:rsidR="00196315" w:rsidRPr="00196315" w:rsidRDefault="00196315" w:rsidP="00196315">
      <w:pPr>
        <w:jc w:val="left"/>
        <w:rPr>
          <w:rFonts w:eastAsia="Calibri"/>
          <w:szCs w:val="22"/>
        </w:rPr>
      </w:pPr>
      <w:r w:rsidRPr="00196315">
        <w:rPr>
          <w:rFonts w:eastAsia="Calibri"/>
          <w:b/>
          <w:bCs/>
          <w:szCs w:val="22"/>
        </w:rPr>
        <w:t>Airspace users operating the equipment</w:t>
      </w:r>
      <w:r w:rsidRPr="00196315">
        <w:rPr>
          <w:rFonts w:eastAsia="Calibri"/>
          <w:szCs w:val="22"/>
        </w:rPr>
        <w:t xml:space="preserve">:  </w:t>
      </w:r>
      <w:r w:rsidR="00FB1882">
        <w:rPr>
          <w:rFonts w:eastAsia="Calibri"/>
          <w:i/>
          <w:iCs/>
          <w:szCs w:val="22"/>
        </w:rPr>
        <w:t>Remotely Piloted Aircraft Systems (RPAS)</w:t>
      </w:r>
    </w:p>
    <w:p w14:paraId="5C540D95" w14:textId="77777777" w:rsidR="00196315" w:rsidRPr="00196315" w:rsidRDefault="00196315" w:rsidP="00196315">
      <w:pPr>
        <w:jc w:val="left"/>
        <w:rPr>
          <w:rFonts w:eastAsia="Calibri"/>
          <w:szCs w:val="22"/>
        </w:rPr>
      </w:pPr>
    </w:p>
    <w:p w14:paraId="1F99FE46" w14:textId="44009178" w:rsidR="00196315" w:rsidRPr="00196315" w:rsidRDefault="00196315" w:rsidP="00196315">
      <w:pPr>
        <w:jc w:val="left"/>
        <w:rPr>
          <w:rFonts w:eastAsia="Calibri"/>
          <w:i/>
          <w:iCs/>
          <w:szCs w:val="22"/>
        </w:rPr>
      </w:pPr>
      <w:r w:rsidRPr="00196315">
        <w:rPr>
          <w:rFonts w:eastAsia="Calibri"/>
          <w:b/>
          <w:bCs/>
          <w:szCs w:val="22"/>
        </w:rPr>
        <w:t>Usage</w:t>
      </w:r>
      <w:r w:rsidRPr="00196315">
        <w:rPr>
          <w:rFonts w:eastAsia="Calibri"/>
          <w:szCs w:val="22"/>
        </w:rPr>
        <w:t xml:space="preserve">:  </w:t>
      </w:r>
      <w:r w:rsidR="00FB1882">
        <w:rPr>
          <w:rFonts w:eastAsia="Calibri"/>
          <w:i/>
          <w:iCs/>
          <w:szCs w:val="22"/>
        </w:rPr>
        <w:t>All phases of flight</w:t>
      </w:r>
    </w:p>
    <w:p w14:paraId="71BC818B" w14:textId="77777777" w:rsidR="00196315" w:rsidRPr="00196315" w:rsidRDefault="00196315" w:rsidP="00196315">
      <w:pPr>
        <w:jc w:val="left"/>
        <w:rPr>
          <w:rFonts w:eastAsia="Calibri"/>
          <w:szCs w:val="22"/>
        </w:rPr>
      </w:pPr>
    </w:p>
    <w:p w14:paraId="67C2A196" w14:textId="77777777" w:rsidR="00196315" w:rsidRPr="00196315" w:rsidRDefault="00196315" w:rsidP="00196315">
      <w:pPr>
        <w:jc w:val="left"/>
        <w:rPr>
          <w:rFonts w:eastAsia="Calibri"/>
          <w:szCs w:val="22"/>
        </w:rPr>
      </w:pPr>
      <w:r w:rsidRPr="00196315">
        <w:rPr>
          <w:rFonts w:eastAsia="Calibri"/>
          <w:b/>
          <w:bCs/>
          <w:szCs w:val="22"/>
        </w:rPr>
        <w:t>Additional operational notes</w:t>
      </w:r>
      <w:r w:rsidRPr="00196315">
        <w:rPr>
          <w:rFonts w:eastAsia="Calibri"/>
          <w:szCs w:val="22"/>
        </w:rPr>
        <w:t>:</w:t>
      </w:r>
    </w:p>
    <w:p w14:paraId="30BDED81" w14:textId="574E885F" w:rsidR="00196315" w:rsidRPr="00196315" w:rsidRDefault="00022A84" w:rsidP="00196315">
      <w:pPr>
        <w:numPr>
          <w:ilvl w:val="0"/>
          <w:numId w:val="15"/>
        </w:numPr>
        <w:jc w:val="left"/>
        <w:rPr>
          <w:rFonts w:eastAsia="Calibri"/>
          <w:szCs w:val="22"/>
        </w:rPr>
      </w:pPr>
      <w:r>
        <w:rPr>
          <w:rFonts w:eastAsia="Calibri"/>
          <w:i/>
          <w:iCs/>
          <w:szCs w:val="22"/>
        </w:rPr>
        <w:t>NA</w:t>
      </w:r>
    </w:p>
    <w:p w14:paraId="014D4AEE" w14:textId="77777777" w:rsidR="00196315" w:rsidRPr="00196315" w:rsidRDefault="00196315" w:rsidP="00196315">
      <w:pPr>
        <w:keepNext/>
        <w:keepLines/>
        <w:tabs>
          <w:tab w:val="left" w:pos="794"/>
          <w:tab w:val="left" w:pos="1191"/>
          <w:tab w:val="left" w:pos="1588"/>
          <w:tab w:val="left" w:pos="1985"/>
        </w:tabs>
        <w:overflowPunct w:val="0"/>
        <w:autoSpaceDE w:val="0"/>
        <w:autoSpaceDN w:val="0"/>
        <w:adjustRightInd w:val="0"/>
        <w:spacing w:before="320"/>
        <w:ind w:left="794" w:hanging="794"/>
        <w:textAlignment w:val="baseline"/>
        <w:outlineLvl w:val="1"/>
        <w:rPr>
          <w:b/>
          <w:i/>
          <w:iCs/>
          <w:sz w:val="24"/>
          <w:szCs w:val="24"/>
        </w:rPr>
      </w:pPr>
      <w:r w:rsidRPr="00196315">
        <w:rPr>
          <w:b/>
          <w:sz w:val="24"/>
          <w:szCs w:val="24"/>
        </w:rPr>
        <w:lastRenderedPageBreak/>
        <w:t>Historical information</w:t>
      </w:r>
    </w:p>
    <w:p w14:paraId="0D403081" w14:textId="176B1D17" w:rsidR="00196315" w:rsidRPr="00196315" w:rsidRDefault="00022A84" w:rsidP="00196315">
      <w:pPr>
        <w:rPr>
          <w:i/>
          <w:iCs/>
        </w:rPr>
      </w:pPr>
      <w:r>
        <w:rPr>
          <w:i/>
          <w:iCs/>
        </w:rPr>
        <w:t>NA</w:t>
      </w:r>
    </w:p>
    <w:p w14:paraId="72918680" w14:textId="568BF3EB" w:rsidR="00196315" w:rsidRPr="00196315" w:rsidRDefault="00196315" w:rsidP="00196315">
      <w:pPr>
        <w:keepNext/>
        <w:keepLines/>
        <w:tabs>
          <w:tab w:val="left" w:pos="794"/>
          <w:tab w:val="left" w:pos="1191"/>
          <w:tab w:val="left" w:pos="1588"/>
          <w:tab w:val="left" w:pos="1985"/>
        </w:tabs>
        <w:overflowPunct w:val="0"/>
        <w:autoSpaceDE w:val="0"/>
        <w:autoSpaceDN w:val="0"/>
        <w:adjustRightInd w:val="0"/>
        <w:spacing w:before="320"/>
        <w:ind w:left="794" w:hanging="794"/>
        <w:textAlignment w:val="baseline"/>
        <w:outlineLvl w:val="1"/>
        <w:rPr>
          <w:b/>
          <w:i/>
          <w:iCs/>
          <w:sz w:val="24"/>
          <w:szCs w:val="24"/>
        </w:rPr>
      </w:pPr>
      <w:r w:rsidRPr="00196315">
        <w:rPr>
          <w:b/>
          <w:sz w:val="24"/>
          <w:szCs w:val="24"/>
        </w:rPr>
        <w:t>Reference model for interference studies</w:t>
      </w:r>
    </w:p>
    <w:p w14:paraId="53E1C656" w14:textId="77777777" w:rsidR="00196315" w:rsidRPr="00196315" w:rsidRDefault="00196315" w:rsidP="00196315">
      <w:pPr>
        <w:rPr>
          <w:b/>
          <w:bCs/>
          <w:sz w:val="24"/>
          <w:szCs w:val="24"/>
        </w:rPr>
      </w:pPr>
      <w:r w:rsidRPr="00196315">
        <w:rPr>
          <w:b/>
          <w:bCs/>
          <w:sz w:val="24"/>
          <w:szCs w:val="24"/>
        </w:rPr>
        <w:t>System parameters</w:t>
      </w:r>
    </w:p>
    <w:p w14:paraId="1782ADC8" w14:textId="77777777" w:rsidR="00196315" w:rsidRPr="00196315" w:rsidRDefault="00196315" w:rsidP="00196315">
      <w:pPr>
        <w:jc w:val="left"/>
        <w:rPr>
          <w:rFonts w:eastAsia="Calibri"/>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2030"/>
        <w:gridCol w:w="2406"/>
      </w:tblGrid>
      <w:tr w:rsidR="00022A84" w:rsidRPr="00196315" w14:paraId="629F2C13" w14:textId="77777777" w:rsidTr="00022A84">
        <w:trPr>
          <w:trHeight w:val="869"/>
        </w:trPr>
        <w:tc>
          <w:tcPr>
            <w:tcW w:w="2848" w:type="dxa"/>
            <w:shd w:val="clear" w:color="auto" w:fill="auto"/>
          </w:tcPr>
          <w:p w14:paraId="0B5191A6" w14:textId="77777777" w:rsidR="00022A84" w:rsidRPr="00196315" w:rsidRDefault="00022A84" w:rsidP="00196315">
            <w:pPr>
              <w:keepNext/>
              <w:spacing w:before="240" w:after="60"/>
              <w:jc w:val="center"/>
              <w:outlineLvl w:val="2"/>
              <w:rPr>
                <w:b/>
                <w:bCs/>
                <w:sz w:val="24"/>
                <w:szCs w:val="24"/>
              </w:rPr>
            </w:pPr>
            <w:r w:rsidRPr="00196315">
              <w:rPr>
                <w:b/>
                <w:bCs/>
                <w:sz w:val="24"/>
                <w:szCs w:val="24"/>
              </w:rPr>
              <w:t>Parameter</w:t>
            </w:r>
          </w:p>
        </w:tc>
        <w:tc>
          <w:tcPr>
            <w:tcW w:w="2030" w:type="dxa"/>
          </w:tcPr>
          <w:p w14:paraId="5ED76A6D" w14:textId="731C890B" w:rsidR="00022A84" w:rsidRPr="00196315" w:rsidRDefault="00022A84" w:rsidP="00196315">
            <w:pPr>
              <w:keepNext/>
              <w:spacing w:before="240" w:after="60"/>
              <w:jc w:val="center"/>
              <w:outlineLvl w:val="2"/>
              <w:rPr>
                <w:b/>
                <w:bCs/>
                <w:sz w:val="24"/>
                <w:szCs w:val="24"/>
              </w:rPr>
            </w:pPr>
            <w:r>
              <w:rPr>
                <w:b/>
                <w:bCs/>
                <w:sz w:val="24"/>
                <w:szCs w:val="24"/>
              </w:rPr>
              <w:t>Radar A (Pulsed)</w:t>
            </w:r>
          </w:p>
        </w:tc>
        <w:tc>
          <w:tcPr>
            <w:tcW w:w="2406" w:type="dxa"/>
          </w:tcPr>
          <w:p w14:paraId="2166DE70" w14:textId="414786EF" w:rsidR="00022A84" w:rsidRPr="00196315" w:rsidRDefault="00022A84" w:rsidP="00196315">
            <w:pPr>
              <w:keepNext/>
              <w:spacing w:before="240" w:after="60"/>
              <w:jc w:val="center"/>
              <w:outlineLvl w:val="2"/>
              <w:rPr>
                <w:b/>
                <w:bCs/>
                <w:sz w:val="24"/>
                <w:szCs w:val="24"/>
              </w:rPr>
            </w:pPr>
            <w:r>
              <w:rPr>
                <w:b/>
                <w:bCs/>
                <w:sz w:val="24"/>
                <w:szCs w:val="24"/>
              </w:rPr>
              <w:t>Radar B (Pulsed)</w:t>
            </w:r>
          </w:p>
        </w:tc>
      </w:tr>
      <w:tr w:rsidR="007C4342" w:rsidRPr="00196315" w14:paraId="2450E9AC" w14:textId="77777777" w:rsidTr="00022A84">
        <w:trPr>
          <w:trHeight w:val="521"/>
        </w:trPr>
        <w:tc>
          <w:tcPr>
            <w:tcW w:w="2848" w:type="dxa"/>
            <w:shd w:val="clear" w:color="auto" w:fill="auto"/>
          </w:tcPr>
          <w:p w14:paraId="0F6AD2DC" w14:textId="77777777" w:rsidR="007C4342" w:rsidRPr="00196315" w:rsidRDefault="007C4342" w:rsidP="007C4342">
            <w:pPr>
              <w:jc w:val="left"/>
              <w:rPr>
                <w:rFonts w:eastAsia="Calibri"/>
                <w:szCs w:val="22"/>
              </w:rPr>
            </w:pPr>
            <w:r w:rsidRPr="00196315">
              <w:rPr>
                <w:rFonts w:eastAsia="Calibri"/>
                <w:szCs w:val="22"/>
              </w:rPr>
              <w:t>Max transmit power (peak W)</w:t>
            </w:r>
          </w:p>
        </w:tc>
        <w:tc>
          <w:tcPr>
            <w:tcW w:w="2030" w:type="dxa"/>
          </w:tcPr>
          <w:p w14:paraId="63DE9BC6" w14:textId="4DB41222" w:rsidR="007C4342" w:rsidRPr="00196315" w:rsidRDefault="007C4342" w:rsidP="007C4342">
            <w:pPr>
              <w:jc w:val="left"/>
              <w:rPr>
                <w:rFonts w:eastAsia="Calibri"/>
                <w:szCs w:val="22"/>
              </w:rPr>
            </w:pPr>
            <w:r>
              <w:rPr>
                <w:rFonts w:eastAsia="Calibri"/>
                <w:szCs w:val="22"/>
              </w:rPr>
              <w:t>70</w:t>
            </w:r>
          </w:p>
        </w:tc>
        <w:tc>
          <w:tcPr>
            <w:tcW w:w="2406" w:type="dxa"/>
          </w:tcPr>
          <w:p w14:paraId="23798FD2" w14:textId="10288962" w:rsidR="007C4342" w:rsidRPr="00196315" w:rsidRDefault="007C4342" w:rsidP="007C4342">
            <w:pPr>
              <w:jc w:val="left"/>
              <w:rPr>
                <w:rFonts w:eastAsia="Calibri"/>
                <w:szCs w:val="22"/>
              </w:rPr>
            </w:pPr>
            <w:r>
              <w:rPr>
                <w:rFonts w:eastAsia="Calibri"/>
                <w:szCs w:val="22"/>
              </w:rPr>
              <w:t>100</w:t>
            </w:r>
          </w:p>
        </w:tc>
      </w:tr>
      <w:tr w:rsidR="007C4342" w:rsidRPr="00196315" w14:paraId="7781C025" w14:textId="77777777" w:rsidTr="00022A84">
        <w:trPr>
          <w:trHeight w:val="521"/>
        </w:trPr>
        <w:tc>
          <w:tcPr>
            <w:tcW w:w="2848" w:type="dxa"/>
            <w:shd w:val="clear" w:color="auto" w:fill="auto"/>
          </w:tcPr>
          <w:p w14:paraId="68B6C206" w14:textId="545AA748" w:rsidR="007C4342" w:rsidRPr="00196315" w:rsidRDefault="007C4342" w:rsidP="007C4342">
            <w:pPr>
              <w:jc w:val="left"/>
              <w:rPr>
                <w:rFonts w:eastAsia="Calibri"/>
                <w:szCs w:val="22"/>
              </w:rPr>
            </w:pPr>
            <w:r>
              <w:rPr>
                <w:rFonts w:eastAsia="Calibri"/>
                <w:szCs w:val="22"/>
              </w:rPr>
              <w:t>Average transmit power (conducted) during emission time (W)</w:t>
            </w:r>
          </w:p>
        </w:tc>
        <w:tc>
          <w:tcPr>
            <w:tcW w:w="2030" w:type="dxa"/>
          </w:tcPr>
          <w:p w14:paraId="463E3F43" w14:textId="6CDE9492" w:rsidR="007C4342" w:rsidRPr="00196315" w:rsidRDefault="007C4342" w:rsidP="007C4342">
            <w:pPr>
              <w:jc w:val="left"/>
              <w:rPr>
                <w:rFonts w:eastAsia="Calibri"/>
                <w:szCs w:val="22"/>
              </w:rPr>
            </w:pPr>
            <w:r>
              <w:rPr>
                <w:rFonts w:eastAsia="Calibri"/>
                <w:szCs w:val="22"/>
              </w:rPr>
              <w:t>70</w:t>
            </w:r>
          </w:p>
        </w:tc>
        <w:tc>
          <w:tcPr>
            <w:tcW w:w="2406" w:type="dxa"/>
          </w:tcPr>
          <w:p w14:paraId="53120893" w14:textId="1A6FB3FB" w:rsidR="007C4342" w:rsidRPr="00196315" w:rsidRDefault="007C4342" w:rsidP="007C4342">
            <w:pPr>
              <w:jc w:val="left"/>
              <w:rPr>
                <w:rFonts w:eastAsia="Calibri"/>
                <w:szCs w:val="22"/>
              </w:rPr>
            </w:pPr>
            <w:r>
              <w:rPr>
                <w:rFonts w:eastAsia="Calibri"/>
                <w:szCs w:val="22"/>
              </w:rPr>
              <w:t>100</w:t>
            </w:r>
          </w:p>
        </w:tc>
      </w:tr>
      <w:tr w:rsidR="007C4342" w:rsidRPr="00196315" w14:paraId="4380CF31" w14:textId="77777777" w:rsidTr="00022A84">
        <w:trPr>
          <w:trHeight w:val="266"/>
        </w:trPr>
        <w:tc>
          <w:tcPr>
            <w:tcW w:w="2848" w:type="dxa"/>
            <w:shd w:val="clear" w:color="auto" w:fill="auto"/>
          </w:tcPr>
          <w:p w14:paraId="54C0E5BA" w14:textId="77777777" w:rsidR="007C4342" w:rsidRPr="00196315" w:rsidRDefault="007C4342" w:rsidP="007C4342">
            <w:pPr>
              <w:jc w:val="left"/>
              <w:rPr>
                <w:rFonts w:eastAsia="Calibri"/>
                <w:szCs w:val="22"/>
              </w:rPr>
            </w:pPr>
            <w:r w:rsidRPr="00196315">
              <w:rPr>
                <w:rFonts w:eastAsia="Calibri"/>
                <w:szCs w:val="22"/>
              </w:rPr>
              <w:t>Noise figure (dB)</w:t>
            </w:r>
          </w:p>
        </w:tc>
        <w:tc>
          <w:tcPr>
            <w:tcW w:w="2030" w:type="dxa"/>
          </w:tcPr>
          <w:p w14:paraId="3E216D09" w14:textId="27D371F2" w:rsidR="007C4342" w:rsidRPr="00196315" w:rsidRDefault="007C4342" w:rsidP="007C4342">
            <w:pPr>
              <w:jc w:val="left"/>
              <w:rPr>
                <w:rFonts w:eastAsia="Calibri"/>
                <w:szCs w:val="22"/>
              </w:rPr>
            </w:pPr>
            <w:r>
              <w:rPr>
                <w:rFonts w:eastAsia="Calibri"/>
                <w:szCs w:val="22"/>
              </w:rPr>
              <w:t>3</w:t>
            </w:r>
          </w:p>
        </w:tc>
        <w:tc>
          <w:tcPr>
            <w:tcW w:w="2406" w:type="dxa"/>
          </w:tcPr>
          <w:p w14:paraId="09EE5DE8" w14:textId="75C71A31" w:rsidR="007C4342" w:rsidRPr="00196315" w:rsidRDefault="007C4342" w:rsidP="007C4342">
            <w:pPr>
              <w:jc w:val="left"/>
              <w:rPr>
                <w:rFonts w:eastAsia="Calibri"/>
                <w:szCs w:val="22"/>
              </w:rPr>
            </w:pPr>
            <w:r>
              <w:rPr>
                <w:rFonts w:eastAsia="Calibri"/>
                <w:szCs w:val="22"/>
              </w:rPr>
              <w:t>3</w:t>
            </w:r>
          </w:p>
        </w:tc>
      </w:tr>
      <w:tr w:rsidR="007C4342" w:rsidRPr="00196315" w14:paraId="0AD73B6B" w14:textId="77777777" w:rsidTr="00022A84">
        <w:trPr>
          <w:trHeight w:val="777"/>
        </w:trPr>
        <w:tc>
          <w:tcPr>
            <w:tcW w:w="2848" w:type="dxa"/>
            <w:shd w:val="clear" w:color="auto" w:fill="auto"/>
          </w:tcPr>
          <w:p w14:paraId="3F995607" w14:textId="77777777" w:rsidR="007C4342" w:rsidRPr="00196315" w:rsidRDefault="007C4342" w:rsidP="007C4342">
            <w:pPr>
              <w:jc w:val="left"/>
              <w:rPr>
                <w:rFonts w:eastAsia="Calibri"/>
                <w:szCs w:val="22"/>
              </w:rPr>
            </w:pPr>
            <w:r w:rsidRPr="00196315">
              <w:rPr>
                <w:rFonts w:eastAsia="Calibri"/>
                <w:szCs w:val="22"/>
              </w:rPr>
              <w:t>Protection criteria for Desensitization I/N (dB)*</w:t>
            </w:r>
          </w:p>
        </w:tc>
        <w:tc>
          <w:tcPr>
            <w:tcW w:w="2030" w:type="dxa"/>
          </w:tcPr>
          <w:p w14:paraId="50D13EE2" w14:textId="20141CFE" w:rsidR="007C4342" w:rsidRPr="00196315" w:rsidRDefault="007C4342" w:rsidP="007C4342">
            <w:pPr>
              <w:jc w:val="left"/>
              <w:rPr>
                <w:rFonts w:eastAsia="Calibri"/>
                <w:szCs w:val="22"/>
              </w:rPr>
            </w:pPr>
            <w:r>
              <w:rPr>
                <w:rFonts w:eastAsia="Calibri"/>
                <w:szCs w:val="22"/>
              </w:rPr>
              <w:t>-6</w:t>
            </w:r>
          </w:p>
        </w:tc>
        <w:tc>
          <w:tcPr>
            <w:tcW w:w="2406" w:type="dxa"/>
          </w:tcPr>
          <w:p w14:paraId="329150C0" w14:textId="70313A7A" w:rsidR="007C4342" w:rsidRPr="00196315" w:rsidRDefault="007C4342" w:rsidP="007C4342">
            <w:pPr>
              <w:jc w:val="left"/>
              <w:rPr>
                <w:rFonts w:eastAsia="Calibri"/>
                <w:szCs w:val="22"/>
              </w:rPr>
            </w:pPr>
            <w:r>
              <w:rPr>
                <w:rFonts w:eastAsia="Calibri"/>
                <w:szCs w:val="22"/>
              </w:rPr>
              <w:t>-6</w:t>
            </w:r>
          </w:p>
        </w:tc>
      </w:tr>
    </w:tbl>
    <w:p w14:paraId="23C154B2" w14:textId="77777777" w:rsidR="00196315" w:rsidRPr="00196315" w:rsidRDefault="00196315" w:rsidP="00196315">
      <w:pPr>
        <w:keepNext/>
        <w:spacing w:before="240" w:after="60"/>
        <w:outlineLvl w:val="2"/>
        <w:rPr>
          <w:b/>
          <w:bCs/>
          <w:sz w:val="24"/>
          <w:szCs w:val="24"/>
        </w:rPr>
      </w:pPr>
      <w:r w:rsidRPr="00196315">
        <w:rPr>
          <w:b/>
          <w:bCs/>
          <w:sz w:val="24"/>
          <w:szCs w:val="24"/>
        </w:rPr>
        <w:t>Transmitter emissions mask</w:t>
      </w:r>
    </w:p>
    <w:tbl>
      <w:tblPr>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539"/>
        <w:gridCol w:w="2977"/>
        <w:gridCol w:w="3118"/>
      </w:tblGrid>
      <w:tr w:rsidR="00022A84" w:rsidRPr="00196315" w14:paraId="4AF24C44" w14:textId="0AF461B7" w:rsidTr="00022A84">
        <w:trPr>
          <w:trHeight w:val="487"/>
        </w:trPr>
        <w:tc>
          <w:tcPr>
            <w:tcW w:w="3539" w:type="dxa"/>
            <w:tcBorders>
              <w:top w:val="single" w:sz="4" w:space="0" w:color="auto"/>
              <w:left w:val="single" w:sz="4" w:space="0" w:color="auto"/>
              <w:bottom w:val="single" w:sz="4" w:space="0" w:color="auto"/>
              <w:right w:val="single" w:sz="4" w:space="0" w:color="auto"/>
            </w:tcBorders>
          </w:tcPr>
          <w:p w14:paraId="4ADAE88F" w14:textId="77777777" w:rsidR="00022A84" w:rsidRPr="00196315" w:rsidRDefault="00022A84" w:rsidP="00196315">
            <w:pPr>
              <w:jc w:val="center"/>
              <w:rPr>
                <w:b/>
                <w:bCs/>
                <w:color w:val="000000"/>
                <w:szCs w:val="22"/>
              </w:rPr>
            </w:pPr>
            <w:r w:rsidRPr="00196315">
              <w:rPr>
                <w:b/>
                <w:bCs/>
              </w:rPr>
              <w:t>Parameter</w:t>
            </w:r>
          </w:p>
        </w:tc>
        <w:tc>
          <w:tcPr>
            <w:tcW w:w="2977" w:type="dxa"/>
            <w:tcBorders>
              <w:top w:val="single" w:sz="4" w:space="0" w:color="auto"/>
              <w:left w:val="single" w:sz="4" w:space="0" w:color="auto"/>
              <w:bottom w:val="single" w:sz="4" w:space="0" w:color="auto"/>
              <w:right w:val="single" w:sz="4" w:space="0" w:color="auto"/>
            </w:tcBorders>
          </w:tcPr>
          <w:p w14:paraId="4B18A31F" w14:textId="32E93608" w:rsidR="00022A84" w:rsidRPr="00196315" w:rsidRDefault="00022A84" w:rsidP="00196315">
            <w:pPr>
              <w:jc w:val="center"/>
              <w:rPr>
                <w:b/>
                <w:bCs/>
                <w:color w:val="000000"/>
                <w:szCs w:val="22"/>
              </w:rPr>
            </w:pPr>
            <w:r>
              <w:rPr>
                <w:b/>
                <w:bCs/>
              </w:rPr>
              <w:t>Radar A</w:t>
            </w:r>
          </w:p>
        </w:tc>
        <w:tc>
          <w:tcPr>
            <w:tcW w:w="3118" w:type="dxa"/>
            <w:tcBorders>
              <w:top w:val="single" w:sz="4" w:space="0" w:color="auto"/>
              <w:left w:val="single" w:sz="4" w:space="0" w:color="auto"/>
              <w:bottom w:val="single" w:sz="4" w:space="0" w:color="auto"/>
              <w:right w:val="single" w:sz="4" w:space="0" w:color="auto"/>
            </w:tcBorders>
          </w:tcPr>
          <w:p w14:paraId="5C556379" w14:textId="2E5DF093" w:rsidR="00022A84" w:rsidRDefault="00022A84" w:rsidP="00196315">
            <w:pPr>
              <w:jc w:val="center"/>
              <w:rPr>
                <w:b/>
                <w:bCs/>
              </w:rPr>
            </w:pPr>
            <w:r>
              <w:rPr>
                <w:b/>
                <w:bCs/>
              </w:rPr>
              <w:t>Radar B</w:t>
            </w:r>
          </w:p>
        </w:tc>
      </w:tr>
      <w:tr w:rsidR="00022A84" w:rsidRPr="00196315" w14:paraId="2CE8DAD3" w14:textId="52D6096C" w:rsidTr="00022A84">
        <w:trPr>
          <w:trHeight w:val="343"/>
        </w:trPr>
        <w:tc>
          <w:tcPr>
            <w:tcW w:w="3539" w:type="dxa"/>
            <w:tcBorders>
              <w:top w:val="single" w:sz="4" w:space="0" w:color="auto"/>
              <w:left w:val="single" w:sz="4" w:space="0" w:color="auto"/>
              <w:bottom w:val="single" w:sz="4" w:space="0" w:color="auto"/>
              <w:right w:val="single" w:sz="4" w:space="0" w:color="auto"/>
            </w:tcBorders>
            <w:vAlign w:val="center"/>
          </w:tcPr>
          <w:p w14:paraId="2F4FDE29" w14:textId="5A6DA765" w:rsidR="00022A84" w:rsidRDefault="00022A84" w:rsidP="00196315">
            <w:pPr>
              <w:jc w:val="left"/>
              <w:rPr>
                <w:sz w:val="24"/>
                <w:szCs w:val="24"/>
              </w:rPr>
            </w:pPr>
            <w:r>
              <w:rPr>
                <w:sz w:val="24"/>
                <w:szCs w:val="24"/>
              </w:rPr>
              <w:t>RF emission bandwidth (MHz)</w:t>
            </w:r>
          </w:p>
          <w:p w14:paraId="494107E2" w14:textId="77777777" w:rsidR="00022A84" w:rsidRDefault="00022A84" w:rsidP="00196315">
            <w:pPr>
              <w:jc w:val="left"/>
              <w:rPr>
                <w:sz w:val="24"/>
                <w:szCs w:val="24"/>
              </w:rPr>
            </w:pPr>
            <w:r>
              <w:rPr>
                <w:sz w:val="24"/>
                <w:szCs w:val="24"/>
              </w:rPr>
              <w:t>-3 dB</w:t>
            </w:r>
          </w:p>
          <w:p w14:paraId="75B468FE" w14:textId="77777777" w:rsidR="00022A84" w:rsidRDefault="00022A84" w:rsidP="00196315">
            <w:pPr>
              <w:jc w:val="left"/>
              <w:rPr>
                <w:sz w:val="24"/>
                <w:szCs w:val="24"/>
              </w:rPr>
            </w:pPr>
            <w:r>
              <w:rPr>
                <w:sz w:val="24"/>
                <w:szCs w:val="24"/>
              </w:rPr>
              <w:t>-20 dB</w:t>
            </w:r>
          </w:p>
          <w:p w14:paraId="4C64AEDC" w14:textId="4A78500D" w:rsidR="00022A84" w:rsidRPr="00196315" w:rsidRDefault="00022A84" w:rsidP="00196315">
            <w:pPr>
              <w:jc w:val="left"/>
              <w:rPr>
                <w:sz w:val="24"/>
                <w:szCs w:val="24"/>
              </w:rPr>
            </w:pPr>
            <w:r>
              <w:rPr>
                <w:sz w:val="24"/>
                <w:szCs w:val="24"/>
              </w:rPr>
              <w:t>-40 dB</w:t>
            </w:r>
          </w:p>
        </w:tc>
        <w:tc>
          <w:tcPr>
            <w:tcW w:w="2977" w:type="dxa"/>
            <w:tcBorders>
              <w:top w:val="single" w:sz="4" w:space="0" w:color="auto"/>
              <w:left w:val="single" w:sz="4" w:space="0" w:color="auto"/>
              <w:bottom w:val="single" w:sz="4" w:space="0" w:color="auto"/>
              <w:right w:val="single" w:sz="4" w:space="0" w:color="auto"/>
            </w:tcBorders>
            <w:vAlign w:val="center"/>
          </w:tcPr>
          <w:p w14:paraId="7BE75E28" w14:textId="77777777" w:rsidR="00022A84" w:rsidRDefault="00022A84" w:rsidP="00196315">
            <w:pPr>
              <w:jc w:val="left"/>
              <w:rPr>
                <w:sz w:val="24"/>
                <w:szCs w:val="24"/>
              </w:rPr>
            </w:pPr>
          </w:p>
          <w:p w14:paraId="57CB93B1" w14:textId="04E5B898" w:rsidR="00022A84" w:rsidRDefault="00022A84" w:rsidP="00196315">
            <w:pPr>
              <w:jc w:val="left"/>
              <w:rPr>
                <w:sz w:val="24"/>
                <w:szCs w:val="24"/>
              </w:rPr>
            </w:pPr>
            <w:r>
              <w:rPr>
                <w:sz w:val="24"/>
                <w:szCs w:val="24"/>
              </w:rPr>
              <w:t>80</w:t>
            </w:r>
          </w:p>
          <w:p w14:paraId="25AD993E" w14:textId="77777777" w:rsidR="00022A84" w:rsidRDefault="00022A84" w:rsidP="00196315">
            <w:pPr>
              <w:jc w:val="left"/>
              <w:rPr>
                <w:sz w:val="24"/>
                <w:szCs w:val="24"/>
              </w:rPr>
            </w:pPr>
            <w:r>
              <w:rPr>
                <w:sz w:val="24"/>
                <w:szCs w:val="24"/>
              </w:rPr>
              <w:t>90</w:t>
            </w:r>
          </w:p>
          <w:p w14:paraId="4D9505D0" w14:textId="08858255" w:rsidR="00022A84" w:rsidRPr="00196315" w:rsidRDefault="00022A84" w:rsidP="00196315">
            <w:pPr>
              <w:jc w:val="left"/>
              <w:rPr>
                <w:sz w:val="24"/>
                <w:szCs w:val="24"/>
              </w:rPr>
            </w:pPr>
            <w:r>
              <w:rPr>
                <w:sz w:val="24"/>
                <w:szCs w:val="24"/>
              </w:rPr>
              <w:t>110</w:t>
            </w:r>
          </w:p>
        </w:tc>
        <w:tc>
          <w:tcPr>
            <w:tcW w:w="3118" w:type="dxa"/>
            <w:tcBorders>
              <w:top w:val="single" w:sz="4" w:space="0" w:color="auto"/>
              <w:left w:val="single" w:sz="4" w:space="0" w:color="auto"/>
              <w:bottom w:val="single" w:sz="4" w:space="0" w:color="auto"/>
              <w:right w:val="single" w:sz="4" w:space="0" w:color="auto"/>
            </w:tcBorders>
          </w:tcPr>
          <w:p w14:paraId="7B652DFA" w14:textId="77777777" w:rsidR="00022A84" w:rsidRDefault="00022A84" w:rsidP="00196315">
            <w:pPr>
              <w:jc w:val="left"/>
              <w:rPr>
                <w:sz w:val="24"/>
                <w:szCs w:val="24"/>
              </w:rPr>
            </w:pPr>
          </w:p>
          <w:p w14:paraId="4C1DF22C" w14:textId="77777777" w:rsidR="00022A84" w:rsidRDefault="00022A84" w:rsidP="00196315">
            <w:pPr>
              <w:jc w:val="left"/>
              <w:rPr>
                <w:sz w:val="24"/>
                <w:szCs w:val="24"/>
              </w:rPr>
            </w:pPr>
            <w:r>
              <w:rPr>
                <w:sz w:val="24"/>
                <w:szCs w:val="24"/>
              </w:rPr>
              <w:t>80</w:t>
            </w:r>
          </w:p>
          <w:p w14:paraId="68C025B4" w14:textId="77777777" w:rsidR="00022A84" w:rsidRDefault="00022A84" w:rsidP="00196315">
            <w:pPr>
              <w:jc w:val="left"/>
              <w:rPr>
                <w:sz w:val="24"/>
                <w:szCs w:val="24"/>
              </w:rPr>
            </w:pPr>
            <w:r>
              <w:rPr>
                <w:sz w:val="24"/>
                <w:szCs w:val="24"/>
              </w:rPr>
              <w:t>90</w:t>
            </w:r>
          </w:p>
          <w:p w14:paraId="783466B9" w14:textId="5C4C81DF" w:rsidR="00022A84" w:rsidRPr="00196315" w:rsidRDefault="00022A84" w:rsidP="00196315">
            <w:pPr>
              <w:jc w:val="left"/>
              <w:rPr>
                <w:sz w:val="24"/>
                <w:szCs w:val="24"/>
              </w:rPr>
            </w:pPr>
            <w:r>
              <w:rPr>
                <w:sz w:val="24"/>
                <w:szCs w:val="24"/>
              </w:rPr>
              <w:t>110</w:t>
            </w:r>
          </w:p>
        </w:tc>
      </w:tr>
    </w:tbl>
    <w:p w14:paraId="7C1F9522" w14:textId="77777777" w:rsidR="00196315" w:rsidRPr="00196315" w:rsidRDefault="00196315" w:rsidP="00196315">
      <w:pPr>
        <w:jc w:val="left"/>
        <w:rPr>
          <w:rFonts w:eastAsia="Calibri"/>
          <w:szCs w:val="22"/>
        </w:rPr>
      </w:pPr>
    </w:p>
    <w:p w14:paraId="19463972" w14:textId="77777777" w:rsidR="00196315" w:rsidRDefault="00196315" w:rsidP="00196315">
      <w:pPr>
        <w:jc w:val="left"/>
        <w:rPr>
          <w:rFonts w:eastAsia="Calibri"/>
          <w:szCs w:val="22"/>
        </w:rPr>
      </w:pPr>
    </w:p>
    <w:tbl>
      <w:tblPr>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539"/>
        <w:gridCol w:w="2977"/>
        <w:gridCol w:w="3118"/>
      </w:tblGrid>
      <w:tr w:rsidR="00022A84" w:rsidRPr="00196315" w14:paraId="1EFD2076" w14:textId="77777777" w:rsidTr="00472B53">
        <w:trPr>
          <w:trHeight w:val="487"/>
        </w:trPr>
        <w:tc>
          <w:tcPr>
            <w:tcW w:w="3539" w:type="dxa"/>
            <w:tcBorders>
              <w:top w:val="single" w:sz="4" w:space="0" w:color="auto"/>
              <w:left w:val="single" w:sz="4" w:space="0" w:color="auto"/>
              <w:bottom w:val="single" w:sz="4" w:space="0" w:color="auto"/>
              <w:right w:val="single" w:sz="4" w:space="0" w:color="auto"/>
            </w:tcBorders>
          </w:tcPr>
          <w:p w14:paraId="12EDDC22" w14:textId="77777777" w:rsidR="00022A84" w:rsidRPr="00196315" w:rsidRDefault="00022A84" w:rsidP="00472B53">
            <w:pPr>
              <w:jc w:val="center"/>
              <w:rPr>
                <w:b/>
                <w:bCs/>
                <w:color w:val="000000"/>
                <w:szCs w:val="22"/>
              </w:rPr>
            </w:pPr>
            <w:r w:rsidRPr="00196315">
              <w:rPr>
                <w:b/>
                <w:bCs/>
              </w:rPr>
              <w:t>Parameter</w:t>
            </w:r>
          </w:p>
        </w:tc>
        <w:tc>
          <w:tcPr>
            <w:tcW w:w="2977" w:type="dxa"/>
            <w:tcBorders>
              <w:top w:val="single" w:sz="4" w:space="0" w:color="auto"/>
              <w:left w:val="single" w:sz="4" w:space="0" w:color="auto"/>
              <w:bottom w:val="single" w:sz="4" w:space="0" w:color="auto"/>
              <w:right w:val="single" w:sz="4" w:space="0" w:color="auto"/>
            </w:tcBorders>
          </w:tcPr>
          <w:p w14:paraId="4A22C6D0" w14:textId="77777777" w:rsidR="00022A84" w:rsidRPr="00196315" w:rsidRDefault="00022A84" w:rsidP="00472B53">
            <w:pPr>
              <w:jc w:val="center"/>
              <w:rPr>
                <w:b/>
                <w:bCs/>
                <w:color w:val="000000"/>
                <w:szCs w:val="22"/>
              </w:rPr>
            </w:pPr>
            <w:r>
              <w:rPr>
                <w:b/>
                <w:bCs/>
              </w:rPr>
              <w:t>Radar A</w:t>
            </w:r>
          </w:p>
        </w:tc>
        <w:tc>
          <w:tcPr>
            <w:tcW w:w="3118" w:type="dxa"/>
            <w:tcBorders>
              <w:top w:val="single" w:sz="4" w:space="0" w:color="auto"/>
              <w:left w:val="single" w:sz="4" w:space="0" w:color="auto"/>
              <w:bottom w:val="single" w:sz="4" w:space="0" w:color="auto"/>
              <w:right w:val="single" w:sz="4" w:space="0" w:color="auto"/>
            </w:tcBorders>
          </w:tcPr>
          <w:p w14:paraId="3331F7D3" w14:textId="77777777" w:rsidR="00022A84" w:rsidRDefault="00022A84" w:rsidP="00472B53">
            <w:pPr>
              <w:jc w:val="center"/>
              <w:rPr>
                <w:b/>
                <w:bCs/>
              </w:rPr>
            </w:pPr>
            <w:r>
              <w:rPr>
                <w:b/>
                <w:bCs/>
              </w:rPr>
              <w:t>Radar B</w:t>
            </w:r>
          </w:p>
        </w:tc>
      </w:tr>
      <w:tr w:rsidR="00022A84" w:rsidRPr="00196315" w14:paraId="3A159943" w14:textId="77777777" w:rsidTr="00472B53">
        <w:trPr>
          <w:trHeight w:val="343"/>
        </w:trPr>
        <w:tc>
          <w:tcPr>
            <w:tcW w:w="3539" w:type="dxa"/>
            <w:tcBorders>
              <w:top w:val="single" w:sz="4" w:space="0" w:color="auto"/>
              <w:left w:val="single" w:sz="4" w:space="0" w:color="auto"/>
              <w:bottom w:val="single" w:sz="4" w:space="0" w:color="auto"/>
              <w:right w:val="single" w:sz="4" w:space="0" w:color="auto"/>
            </w:tcBorders>
            <w:vAlign w:val="center"/>
          </w:tcPr>
          <w:p w14:paraId="10CAF094" w14:textId="3FE68EF8" w:rsidR="00022A84" w:rsidRDefault="00022A84" w:rsidP="00472B53">
            <w:pPr>
              <w:jc w:val="left"/>
              <w:rPr>
                <w:sz w:val="24"/>
                <w:szCs w:val="24"/>
              </w:rPr>
            </w:pPr>
            <w:r>
              <w:rPr>
                <w:sz w:val="24"/>
                <w:szCs w:val="24"/>
              </w:rPr>
              <w:t>Receiver bandwidth (MHz)-3 dB</w:t>
            </w:r>
          </w:p>
          <w:p w14:paraId="66B86F0D" w14:textId="7D7A481A" w:rsidR="00BD6E6C" w:rsidRDefault="00BD6E6C" w:rsidP="00472B53">
            <w:pPr>
              <w:jc w:val="left"/>
              <w:rPr>
                <w:sz w:val="24"/>
                <w:szCs w:val="24"/>
              </w:rPr>
            </w:pPr>
            <w:r>
              <w:rPr>
                <w:sz w:val="24"/>
                <w:szCs w:val="24"/>
              </w:rPr>
              <w:t>Receiver selectivity</w:t>
            </w:r>
          </w:p>
          <w:p w14:paraId="547C19A2" w14:textId="77777777" w:rsidR="00022A84" w:rsidRDefault="00022A84" w:rsidP="00472B53">
            <w:pPr>
              <w:jc w:val="left"/>
              <w:rPr>
                <w:sz w:val="24"/>
                <w:szCs w:val="24"/>
              </w:rPr>
            </w:pPr>
            <w:r>
              <w:rPr>
                <w:sz w:val="24"/>
                <w:szCs w:val="24"/>
              </w:rPr>
              <w:t>-20 dB</w:t>
            </w:r>
          </w:p>
          <w:p w14:paraId="37F03AB6" w14:textId="57AA936A" w:rsidR="00022A84" w:rsidRPr="00196315" w:rsidRDefault="00022A84" w:rsidP="00472B53">
            <w:pPr>
              <w:jc w:val="left"/>
              <w:rPr>
                <w:sz w:val="24"/>
                <w:szCs w:val="24"/>
              </w:rPr>
            </w:pPr>
            <w:r>
              <w:rPr>
                <w:sz w:val="24"/>
                <w:szCs w:val="24"/>
              </w:rPr>
              <w:t>-60 dB</w:t>
            </w:r>
          </w:p>
        </w:tc>
        <w:tc>
          <w:tcPr>
            <w:tcW w:w="2977" w:type="dxa"/>
            <w:tcBorders>
              <w:top w:val="single" w:sz="4" w:space="0" w:color="auto"/>
              <w:left w:val="single" w:sz="4" w:space="0" w:color="auto"/>
              <w:bottom w:val="single" w:sz="4" w:space="0" w:color="auto"/>
              <w:right w:val="single" w:sz="4" w:space="0" w:color="auto"/>
            </w:tcBorders>
            <w:vAlign w:val="center"/>
          </w:tcPr>
          <w:p w14:paraId="16093050" w14:textId="77777777" w:rsidR="00022A84" w:rsidRDefault="00022A84" w:rsidP="00472B53">
            <w:pPr>
              <w:jc w:val="left"/>
              <w:rPr>
                <w:sz w:val="24"/>
                <w:szCs w:val="24"/>
              </w:rPr>
            </w:pPr>
          </w:p>
          <w:p w14:paraId="21EF0214" w14:textId="3C7FC06B" w:rsidR="00022A84" w:rsidRDefault="00022A84" w:rsidP="00472B53">
            <w:pPr>
              <w:jc w:val="left"/>
              <w:rPr>
                <w:sz w:val="24"/>
                <w:szCs w:val="24"/>
              </w:rPr>
            </w:pPr>
            <w:r>
              <w:rPr>
                <w:sz w:val="24"/>
                <w:szCs w:val="24"/>
              </w:rPr>
              <w:t>20</w:t>
            </w:r>
          </w:p>
          <w:p w14:paraId="0C05A27D" w14:textId="77777777" w:rsidR="00BD6E6C" w:rsidRDefault="00BD6E6C" w:rsidP="00472B53">
            <w:pPr>
              <w:jc w:val="left"/>
              <w:rPr>
                <w:sz w:val="24"/>
                <w:szCs w:val="24"/>
              </w:rPr>
            </w:pPr>
          </w:p>
          <w:p w14:paraId="0156A2E0" w14:textId="77777777" w:rsidR="00022A84" w:rsidRDefault="00022A84" w:rsidP="00472B53">
            <w:pPr>
              <w:jc w:val="left"/>
              <w:rPr>
                <w:sz w:val="24"/>
                <w:szCs w:val="24"/>
              </w:rPr>
            </w:pPr>
            <w:r>
              <w:rPr>
                <w:sz w:val="24"/>
                <w:szCs w:val="24"/>
              </w:rPr>
              <w:t>40</w:t>
            </w:r>
          </w:p>
          <w:p w14:paraId="53C2B900" w14:textId="36B6C545" w:rsidR="00022A84" w:rsidRPr="00196315" w:rsidRDefault="00022A84" w:rsidP="00472B53">
            <w:pPr>
              <w:jc w:val="left"/>
              <w:rPr>
                <w:sz w:val="24"/>
                <w:szCs w:val="24"/>
              </w:rPr>
            </w:pPr>
            <w:r>
              <w:rPr>
                <w:sz w:val="24"/>
                <w:szCs w:val="24"/>
              </w:rPr>
              <w:t>80</w:t>
            </w:r>
          </w:p>
        </w:tc>
        <w:tc>
          <w:tcPr>
            <w:tcW w:w="3118" w:type="dxa"/>
            <w:tcBorders>
              <w:top w:val="single" w:sz="4" w:space="0" w:color="auto"/>
              <w:left w:val="single" w:sz="4" w:space="0" w:color="auto"/>
              <w:bottom w:val="single" w:sz="4" w:space="0" w:color="auto"/>
              <w:right w:val="single" w:sz="4" w:space="0" w:color="auto"/>
            </w:tcBorders>
          </w:tcPr>
          <w:p w14:paraId="70400878" w14:textId="77777777" w:rsidR="00022A84" w:rsidRDefault="00022A84" w:rsidP="00472B53">
            <w:pPr>
              <w:jc w:val="left"/>
              <w:rPr>
                <w:sz w:val="24"/>
                <w:szCs w:val="24"/>
              </w:rPr>
            </w:pPr>
          </w:p>
          <w:p w14:paraId="59D61146" w14:textId="51FFC604" w:rsidR="00022A84" w:rsidRDefault="00022A84" w:rsidP="00472B53">
            <w:pPr>
              <w:jc w:val="left"/>
              <w:rPr>
                <w:sz w:val="24"/>
                <w:szCs w:val="24"/>
              </w:rPr>
            </w:pPr>
            <w:r>
              <w:rPr>
                <w:sz w:val="24"/>
                <w:szCs w:val="24"/>
              </w:rPr>
              <w:t>20</w:t>
            </w:r>
          </w:p>
          <w:p w14:paraId="5C5C6DBB" w14:textId="77777777" w:rsidR="00BD6E6C" w:rsidRDefault="00BD6E6C" w:rsidP="00472B53">
            <w:pPr>
              <w:jc w:val="left"/>
              <w:rPr>
                <w:sz w:val="24"/>
                <w:szCs w:val="24"/>
              </w:rPr>
            </w:pPr>
          </w:p>
          <w:p w14:paraId="6B5BA17B" w14:textId="77777777" w:rsidR="00022A84" w:rsidRDefault="00022A84" w:rsidP="00472B53">
            <w:pPr>
              <w:jc w:val="left"/>
              <w:rPr>
                <w:sz w:val="24"/>
                <w:szCs w:val="24"/>
              </w:rPr>
            </w:pPr>
            <w:r>
              <w:rPr>
                <w:sz w:val="24"/>
                <w:szCs w:val="24"/>
              </w:rPr>
              <w:t>40</w:t>
            </w:r>
          </w:p>
          <w:p w14:paraId="0854D900" w14:textId="2D049483" w:rsidR="00022A84" w:rsidRPr="00196315" w:rsidRDefault="00022A84" w:rsidP="00472B53">
            <w:pPr>
              <w:jc w:val="left"/>
              <w:rPr>
                <w:sz w:val="24"/>
                <w:szCs w:val="24"/>
              </w:rPr>
            </w:pPr>
            <w:r>
              <w:rPr>
                <w:sz w:val="24"/>
                <w:szCs w:val="24"/>
              </w:rPr>
              <w:t>80</w:t>
            </w:r>
          </w:p>
        </w:tc>
      </w:tr>
    </w:tbl>
    <w:p w14:paraId="0B7698F7" w14:textId="77777777" w:rsidR="00022A84" w:rsidRPr="00196315" w:rsidRDefault="00022A84" w:rsidP="00196315">
      <w:pPr>
        <w:jc w:val="left"/>
        <w:rPr>
          <w:rFonts w:eastAsia="Calibri"/>
          <w:szCs w:val="22"/>
        </w:rPr>
      </w:pPr>
    </w:p>
    <w:p w14:paraId="3616793F" w14:textId="77777777" w:rsidR="00196315" w:rsidRPr="00196315" w:rsidRDefault="00196315" w:rsidP="00196315">
      <w:pPr>
        <w:jc w:val="left"/>
        <w:rPr>
          <w:rFonts w:eastAsia="Calibri"/>
          <w:szCs w:val="22"/>
        </w:rPr>
      </w:pPr>
    </w:p>
    <w:p w14:paraId="17362D85" w14:textId="77777777" w:rsidR="00196315" w:rsidRDefault="00196315" w:rsidP="00196315">
      <w:pPr>
        <w:keepNext/>
        <w:spacing w:before="240" w:after="60"/>
        <w:outlineLvl w:val="2"/>
        <w:rPr>
          <w:b/>
          <w:bCs/>
          <w:sz w:val="24"/>
          <w:szCs w:val="24"/>
        </w:rPr>
      </w:pPr>
      <w:r w:rsidRPr="00196315">
        <w:rPr>
          <w:b/>
          <w:bCs/>
          <w:sz w:val="24"/>
          <w:szCs w:val="24"/>
        </w:rPr>
        <w:t>Antenna pattern</w:t>
      </w:r>
    </w:p>
    <w:p w14:paraId="70E58D4A" w14:textId="608A5509" w:rsidR="007561F1" w:rsidRDefault="007561F1" w:rsidP="007561F1">
      <w:r>
        <w:t>Onboard airborne detect and avoid r</w:t>
      </w:r>
      <w:r w:rsidRPr="00357901">
        <w:t>adars</w:t>
      </w:r>
      <w:r>
        <w:t xml:space="preserve"> A and B</w:t>
      </w:r>
      <w:r w:rsidRPr="00357901">
        <w:t xml:space="preserve"> </w:t>
      </w:r>
      <w:r>
        <w:t xml:space="preserve">use </w:t>
      </w:r>
      <w:r w:rsidRPr="00357901">
        <w:t xml:space="preserve">antennas </w:t>
      </w:r>
      <w:r>
        <w:t>with</w:t>
      </w:r>
      <w:r w:rsidRPr="00357901">
        <w:t xml:space="preserve"> MIMO (Multiple Input Multiple Output) fix panel</w:t>
      </w:r>
      <w:r>
        <w:t>. T</w:t>
      </w:r>
      <w:r w:rsidRPr="00357901">
        <w:t>herefore</w:t>
      </w:r>
      <w:r>
        <w:t>,</w:t>
      </w:r>
      <w:r w:rsidRPr="00357901">
        <w:t xml:space="preserve"> these characteristics </w:t>
      </w:r>
      <w:r>
        <w:t>are</w:t>
      </w:r>
      <w:r w:rsidRPr="00357901">
        <w:t xml:space="preserve"> complemented to obtain the complete radiation pattern for one panel. One panel does not allow to obtain the </w:t>
      </w:r>
      <w:r>
        <w:t xml:space="preserve">requested </w:t>
      </w:r>
      <w:r w:rsidRPr="00357901">
        <w:t>Field of Regard (</w:t>
      </w:r>
      <w:proofErr w:type="spellStart"/>
      <w:r w:rsidRPr="00357901">
        <w:t>FoR</w:t>
      </w:r>
      <w:proofErr w:type="spellEnd"/>
      <w:r w:rsidRPr="00357901">
        <w:t xml:space="preserve">). The </w:t>
      </w:r>
      <w:proofErr w:type="spellStart"/>
      <w:r w:rsidRPr="00357901">
        <w:t>FoR</w:t>
      </w:r>
      <w:proofErr w:type="spellEnd"/>
      <w:r w:rsidRPr="00357901">
        <w:t xml:space="preserve"> of the radar refers to the area that </w:t>
      </w:r>
      <w:proofErr w:type="gramStart"/>
      <w:r w:rsidRPr="00357901">
        <w:t>has to</w:t>
      </w:r>
      <w:proofErr w:type="gramEnd"/>
      <w:r w:rsidRPr="00357901">
        <w:t xml:space="preserve"> be covered by the radar and is defined by the azimuth and elevation angles in regard to the platform coordinates. To obtain the requested </w:t>
      </w:r>
      <w:proofErr w:type="spellStart"/>
      <w:r w:rsidRPr="00357901">
        <w:t>FoR</w:t>
      </w:r>
      <w:proofErr w:type="spellEnd"/>
      <w:r w:rsidRPr="00357901">
        <w:t xml:space="preserve">, it is necessary to use several panels. Typical </w:t>
      </w:r>
      <w:proofErr w:type="spellStart"/>
      <w:r w:rsidRPr="00357901">
        <w:t>FoR</w:t>
      </w:r>
      <w:proofErr w:type="spellEnd"/>
      <w:r w:rsidRPr="00357901">
        <w:t xml:space="preserve"> for DAA is ±110°, and is obtained by the use of 3 panels</w:t>
      </w:r>
      <w:r>
        <w:t xml:space="preserve"> (each one covering 80°</w:t>
      </w:r>
      <w:r w:rsidR="00793189">
        <w:t>)</w:t>
      </w:r>
      <w:r w:rsidRPr="00357901">
        <w:t>.</w:t>
      </w:r>
    </w:p>
    <w:p w14:paraId="316A478B" w14:textId="77777777" w:rsidR="007561F1" w:rsidRPr="00357901" w:rsidRDefault="007561F1" w:rsidP="007561F1"/>
    <w:p w14:paraId="55477C7B" w14:textId="77777777" w:rsidR="007561F1" w:rsidRPr="00357901" w:rsidRDefault="007561F1" w:rsidP="007561F1">
      <w:pPr>
        <w:pStyle w:val="Figuretitle"/>
        <w:rPr>
          <w:rFonts w:ascii="Arial" w:hAnsi="Arial"/>
        </w:rPr>
      </w:pPr>
      <w:r w:rsidRPr="00357901">
        <w:rPr>
          <w:lang w:eastAsia="zh-CN"/>
        </w:rPr>
        <w:lastRenderedPageBreak/>
        <w:t>Typical F</w:t>
      </w:r>
      <w:r>
        <w:rPr>
          <w:lang w:eastAsia="zh-CN"/>
        </w:rPr>
        <w:t xml:space="preserve">ield of </w:t>
      </w:r>
      <w:r w:rsidRPr="00357901">
        <w:rPr>
          <w:lang w:eastAsia="zh-CN"/>
        </w:rPr>
        <w:t>R</w:t>
      </w:r>
      <w:r>
        <w:rPr>
          <w:lang w:eastAsia="zh-CN"/>
        </w:rPr>
        <w:t>egard</w:t>
      </w:r>
    </w:p>
    <w:p w14:paraId="327F647C" w14:textId="77777777" w:rsidR="007561F1" w:rsidRPr="00357901" w:rsidRDefault="007561F1" w:rsidP="007561F1">
      <w:pPr>
        <w:pStyle w:val="Figure"/>
        <w:rPr>
          <w:noProof w:val="0"/>
        </w:rPr>
      </w:pPr>
      <w:r w:rsidRPr="00357901">
        <w:rPr>
          <w:lang w:val="fr-FR" w:eastAsia="fr-FR"/>
        </w:rPr>
        <w:drawing>
          <wp:inline distT="0" distB="0" distL="0" distR="0" wp14:anchorId="6817F0FB" wp14:editId="613ACC05">
            <wp:extent cx="2943436" cy="2271933"/>
            <wp:effectExtent l="0" t="0" r="0" b="0"/>
            <wp:docPr id="4" name="Image 4" descr="A pie chart with a circle and a circle with a circle and a circle with a circle with a circle and a circle with a circle with a circle with a circle with a circle with a 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A pie chart with a circle and a circle with a circle and a circle with a circle with a circle and a circle with a circle with a circle with a circle with a circle with a circle&#10;&#10;Description automatically generated with medium confidence"/>
                    <pic:cNvPicPr/>
                  </pic:nvPicPr>
                  <pic:blipFill>
                    <a:blip r:embed="rId13"/>
                    <a:stretch>
                      <a:fillRect/>
                    </a:stretch>
                  </pic:blipFill>
                  <pic:spPr>
                    <a:xfrm>
                      <a:off x="0" y="0"/>
                      <a:ext cx="2952709" cy="2279091"/>
                    </a:xfrm>
                    <a:prstGeom prst="rect">
                      <a:avLst/>
                    </a:prstGeom>
                  </pic:spPr>
                </pic:pic>
              </a:graphicData>
            </a:graphic>
          </wp:inline>
        </w:drawing>
      </w:r>
    </w:p>
    <w:p w14:paraId="5C3EAECE" w14:textId="7FF0A2CB" w:rsidR="007561F1" w:rsidRPr="00357901" w:rsidRDefault="007561F1" w:rsidP="007561F1">
      <w:pPr>
        <w:pStyle w:val="Figure"/>
        <w:rPr>
          <w:noProof w:val="0"/>
        </w:rPr>
      </w:pPr>
    </w:p>
    <w:p w14:paraId="7DA34D67" w14:textId="086B8ABC" w:rsidR="007561F1" w:rsidRPr="00BC09DA" w:rsidRDefault="007561F1" w:rsidP="007561F1">
      <w:pPr>
        <w:rPr>
          <w:b/>
          <w:u w:val="single"/>
          <w:lang w:eastAsia="zh-CN"/>
        </w:rPr>
      </w:pPr>
      <w:r w:rsidRPr="00BC09DA">
        <w:rPr>
          <w:b/>
          <w:u w:val="single"/>
          <w:lang w:eastAsia="zh-CN"/>
        </w:rPr>
        <w:t>Single Antenna Pattern</w:t>
      </w:r>
      <w:r>
        <w:rPr>
          <w:b/>
          <w:u w:val="single"/>
          <w:lang w:eastAsia="zh-CN"/>
        </w:rPr>
        <w:t xml:space="preserve"> in azimuth</w:t>
      </w:r>
    </w:p>
    <w:p w14:paraId="7CDD6BC4" w14:textId="77777777" w:rsidR="007561F1" w:rsidRDefault="007561F1" w:rsidP="007561F1">
      <w:pPr>
        <w:rPr>
          <w:lang w:eastAsia="zh-CN"/>
        </w:rPr>
      </w:pPr>
    </w:p>
    <w:p w14:paraId="557C2813" w14:textId="0681890A" w:rsidR="007561F1" w:rsidRDefault="007561F1" w:rsidP="007561F1">
      <w:pPr>
        <w:rPr>
          <w:lang w:eastAsia="zh-CN"/>
        </w:rPr>
      </w:pPr>
      <w:r>
        <w:rPr>
          <w:noProof/>
          <w:lang w:val="fr-FR" w:eastAsia="fr-FR"/>
        </w:rPr>
        <mc:AlternateContent>
          <mc:Choice Requires="wps">
            <w:drawing>
              <wp:anchor distT="0" distB="0" distL="114300" distR="114300" simplePos="0" relativeHeight="251660288" behindDoc="0" locked="0" layoutInCell="1" allowOverlap="1" wp14:anchorId="74F0B5D8" wp14:editId="04ADF368">
                <wp:simplePos x="0" y="0"/>
                <wp:positionH relativeFrom="column">
                  <wp:posOffset>1912620</wp:posOffset>
                </wp:positionH>
                <wp:positionV relativeFrom="paragraph">
                  <wp:posOffset>1712595</wp:posOffset>
                </wp:positionV>
                <wp:extent cx="525101" cy="398353"/>
                <wp:effectExtent l="0" t="0" r="0" b="1905"/>
                <wp:wrapNone/>
                <wp:docPr id="7" name="Zone de texte 7"/>
                <wp:cNvGraphicFramePr/>
                <a:graphic xmlns:a="http://schemas.openxmlformats.org/drawingml/2006/main">
                  <a:graphicData uri="http://schemas.microsoft.com/office/word/2010/wordprocessingShape">
                    <wps:wsp>
                      <wps:cNvSpPr txBox="1"/>
                      <wps:spPr>
                        <a:xfrm>
                          <a:off x="0" y="0"/>
                          <a:ext cx="525101" cy="398353"/>
                        </a:xfrm>
                        <a:prstGeom prst="rect">
                          <a:avLst/>
                        </a:prstGeom>
                        <a:noFill/>
                        <a:ln w="6350">
                          <a:noFill/>
                        </a:ln>
                      </wps:spPr>
                      <wps:txbx>
                        <w:txbxContent>
                          <w:p w14:paraId="1B3FEDEE" w14:textId="77777777" w:rsidR="00793189" w:rsidRDefault="00793189" w:rsidP="007561F1">
                            <w:r>
                              <w:t>deg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F0B5D8" id="_x0000_t202" coordsize="21600,21600" o:spt="202" path="m,l,21600r21600,l21600,xe">
                <v:stroke joinstyle="miter"/>
                <v:path gradientshapeok="t" o:connecttype="rect"/>
              </v:shapetype>
              <v:shape id="Zone de texte 7" o:spid="_x0000_s1026" type="#_x0000_t202" style="position:absolute;left:0;text-align:left;margin-left:150.6pt;margin-top:134.85pt;width:41.35pt;height:3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" filled="f" stroked="f" strokeweight=".5pt">
                <v:textbox>
                  <w:txbxContent>
                    <w:p w14:paraId="1B3FEDEE" w14:textId="77777777" w:rsidR="00793189" w:rsidRDefault="00793189" w:rsidP="007561F1">
                      <w:proofErr w:type="spellStart"/>
                      <w:proofErr w:type="gramStart"/>
                      <w:r>
                        <w:t>deg</w:t>
                      </w:r>
                      <w:proofErr w:type="spellEnd"/>
                      <w:proofErr w:type="gramEnd"/>
                    </w:p>
                  </w:txbxContent>
                </v:textbox>
              </v:shape>
            </w:pict>
          </mc:Fallback>
        </mc:AlternateContent>
      </w:r>
      <w:r>
        <w:rPr>
          <w:noProof/>
          <w:lang w:val="fr-FR" w:eastAsia="fr-FR"/>
        </w:rPr>
        <mc:AlternateContent>
          <mc:Choice Requires="wps">
            <w:drawing>
              <wp:anchor distT="0" distB="0" distL="114300" distR="114300" simplePos="0" relativeHeight="251659264" behindDoc="0" locked="0" layoutInCell="1" allowOverlap="1" wp14:anchorId="45F5F519" wp14:editId="07C88CAA">
                <wp:simplePos x="0" y="0"/>
                <wp:positionH relativeFrom="margin">
                  <wp:align>left</wp:align>
                </wp:positionH>
                <wp:positionV relativeFrom="paragraph">
                  <wp:posOffset>78684</wp:posOffset>
                </wp:positionV>
                <wp:extent cx="525101" cy="398353"/>
                <wp:effectExtent l="0" t="0" r="0" b="1905"/>
                <wp:wrapNone/>
                <wp:docPr id="6" name="Zone de texte 6"/>
                <wp:cNvGraphicFramePr/>
                <a:graphic xmlns:a="http://schemas.openxmlformats.org/drawingml/2006/main">
                  <a:graphicData uri="http://schemas.microsoft.com/office/word/2010/wordprocessingShape">
                    <wps:wsp>
                      <wps:cNvSpPr txBox="1"/>
                      <wps:spPr>
                        <a:xfrm>
                          <a:off x="0" y="0"/>
                          <a:ext cx="525101" cy="398353"/>
                        </a:xfrm>
                        <a:prstGeom prst="rect">
                          <a:avLst/>
                        </a:prstGeom>
                        <a:noFill/>
                        <a:ln w="6350">
                          <a:noFill/>
                        </a:ln>
                      </wps:spPr>
                      <wps:txbx>
                        <w:txbxContent>
                          <w:p w14:paraId="173B7E83" w14:textId="77777777" w:rsidR="00793189" w:rsidRDefault="00793189" w:rsidP="007561F1">
                            <w:r>
                              <w:t>dB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5F519" id="Zone de texte 6" o:spid="_x0000_s1027" type="#_x0000_t202" style="position:absolute;left:0;text-align:left;margin-left:0;margin-top:6.2pt;width:41.35pt;height:31.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" filled="f" stroked="f" strokeweight=".5pt">
                <v:textbox>
                  <w:txbxContent>
                    <w:p w14:paraId="173B7E83" w14:textId="77777777" w:rsidR="00793189" w:rsidRDefault="00793189" w:rsidP="007561F1">
                      <w:proofErr w:type="gramStart"/>
                      <w:r>
                        <w:t>dB</w:t>
                      </w:r>
                      <w:proofErr w:type="gramEnd"/>
                    </w:p>
                  </w:txbxContent>
                </v:textbox>
                <w10:wrap anchorx="margin"/>
              </v:shape>
            </w:pict>
          </mc:Fallback>
        </mc:AlternateContent>
      </w:r>
      <w:r>
        <w:rPr>
          <w:noProof/>
          <w:lang w:val="fr-FR" w:eastAsia="fr-FR"/>
        </w:rPr>
        <w:drawing>
          <wp:inline distT="0" distB="0" distL="0" distR="0" wp14:anchorId="33C8FB4C" wp14:editId="405D6C86">
            <wp:extent cx="4184650" cy="2515427"/>
            <wp:effectExtent l="0" t="0" r="635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96289" cy="2522424"/>
                    </a:xfrm>
                    <a:prstGeom prst="rect">
                      <a:avLst/>
                    </a:prstGeom>
                    <a:noFill/>
                  </pic:spPr>
                </pic:pic>
              </a:graphicData>
            </a:graphic>
          </wp:inline>
        </w:drawing>
      </w:r>
    </w:p>
    <w:p w14:paraId="4125E9D5" w14:textId="01E01659" w:rsidR="005E67C5" w:rsidRDefault="005E67C5">
      <w:pPr>
        <w:jc w:val="left"/>
        <w:rPr>
          <w:lang w:eastAsia="zh-CN"/>
        </w:rPr>
      </w:pPr>
      <w:r>
        <w:rPr>
          <w:lang w:eastAsia="zh-CN"/>
        </w:rPr>
        <w:br w:type="page"/>
      </w:r>
    </w:p>
    <w:p w14:paraId="0CC5F6CD" w14:textId="77777777" w:rsidR="007561F1" w:rsidRDefault="007561F1" w:rsidP="00196315">
      <w:pPr>
        <w:keepNext/>
        <w:spacing w:before="240" w:after="60"/>
        <w:outlineLvl w:val="2"/>
        <w:rPr>
          <w:lang w:eastAsia="zh-CN"/>
        </w:rPr>
      </w:pPr>
    </w:p>
    <w:p w14:paraId="7EFA6A50" w14:textId="3479C3A0" w:rsidR="005E67C5" w:rsidRDefault="005E67C5" w:rsidP="005E67C5">
      <w:pPr>
        <w:rPr>
          <w:b/>
          <w:u w:val="single"/>
          <w:lang w:eastAsia="zh-CN"/>
        </w:rPr>
      </w:pPr>
      <w:r w:rsidRPr="00BC09DA">
        <w:rPr>
          <w:b/>
          <w:u w:val="single"/>
          <w:lang w:eastAsia="zh-CN"/>
        </w:rPr>
        <w:t>Single Antenna Pattern</w:t>
      </w:r>
      <w:r>
        <w:rPr>
          <w:b/>
          <w:u w:val="single"/>
          <w:lang w:eastAsia="zh-CN"/>
        </w:rPr>
        <w:t xml:space="preserve"> in elevation</w:t>
      </w:r>
    </w:p>
    <w:p w14:paraId="7DBFC6BA" w14:textId="32730586" w:rsidR="005E67C5" w:rsidRPr="00BC09DA" w:rsidRDefault="005E67C5" w:rsidP="005E67C5">
      <w:pPr>
        <w:rPr>
          <w:b/>
          <w:u w:val="single"/>
          <w:lang w:eastAsia="zh-CN"/>
        </w:rPr>
      </w:pPr>
      <w:r>
        <w:rPr>
          <w:noProof/>
          <w:lang w:val="fr-FR" w:eastAsia="fr-FR"/>
        </w:rPr>
        <mc:AlternateContent>
          <mc:Choice Requires="wps">
            <w:drawing>
              <wp:anchor distT="0" distB="0" distL="114300" distR="114300" simplePos="0" relativeHeight="251662336" behindDoc="0" locked="0" layoutInCell="1" allowOverlap="1" wp14:anchorId="7105BC7D" wp14:editId="2AAA21E9">
                <wp:simplePos x="0" y="0"/>
                <wp:positionH relativeFrom="column">
                  <wp:posOffset>2135505</wp:posOffset>
                </wp:positionH>
                <wp:positionV relativeFrom="paragraph">
                  <wp:posOffset>1586230</wp:posOffset>
                </wp:positionV>
                <wp:extent cx="525101" cy="398353"/>
                <wp:effectExtent l="0" t="0" r="0" b="1905"/>
                <wp:wrapNone/>
                <wp:docPr id="3" name="Zone de texte 3"/>
                <wp:cNvGraphicFramePr/>
                <a:graphic xmlns:a="http://schemas.openxmlformats.org/drawingml/2006/main">
                  <a:graphicData uri="http://schemas.microsoft.com/office/word/2010/wordprocessingShape">
                    <wps:wsp>
                      <wps:cNvSpPr txBox="1"/>
                      <wps:spPr>
                        <a:xfrm>
                          <a:off x="0" y="0"/>
                          <a:ext cx="525101" cy="398353"/>
                        </a:xfrm>
                        <a:prstGeom prst="rect">
                          <a:avLst/>
                        </a:prstGeom>
                        <a:noFill/>
                        <a:ln w="6350">
                          <a:noFill/>
                        </a:ln>
                      </wps:spPr>
                      <wps:txbx>
                        <w:txbxContent>
                          <w:p w14:paraId="625A2570" w14:textId="77777777" w:rsidR="00793189" w:rsidRDefault="00793189" w:rsidP="005E67C5">
                            <w:r>
                              <w:t>deg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5BC7D" id="Zone de texte 3" o:spid="_x0000_s1028" type="#_x0000_t202" style="position:absolute;left:0;text-align:left;margin-left:168.15pt;margin-top:124.9pt;width:41.35pt;height:3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" filled="f" stroked="f" strokeweight=".5pt">
                <v:textbox>
                  <w:txbxContent>
                    <w:p w14:paraId="625A2570" w14:textId="77777777" w:rsidR="00793189" w:rsidRDefault="00793189" w:rsidP="005E67C5">
                      <w:proofErr w:type="spellStart"/>
                      <w:proofErr w:type="gramStart"/>
                      <w:r>
                        <w:t>deg</w:t>
                      </w:r>
                      <w:proofErr w:type="spellEnd"/>
                      <w:proofErr w:type="gramEnd"/>
                    </w:p>
                  </w:txbxContent>
                </v:textbox>
              </v:shape>
            </w:pict>
          </mc:Fallback>
        </mc:AlternateContent>
      </w:r>
      <w:r>
        <w:rPr>
          <w:noProof/>
          <w:lang w:val="fr-FR" w:eastAsia="fr-FR"/>
        </w:rPr>
        <w:drawing>
          <wp:inline distT="0" distB="0" distL="0" distR="0" wp14:anchorId="0D762AF2" wp14:editId="11B001C4">
            <wp:extent cx="4572000" cy="2743200"/>
            <wp:effectExtent l="0" t="0" r="0"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E415738" w14:textId="77777777" w:rsidR="005E67C5" w:rsidRPr="00196315" w:rsidRDefault="005E67C5" w:rsidP="00196315">
      <w:pPr>
        <w:keepNext/>
        <w:spacing w:before="240" w:after="60"/>
        <w:outlineLvl w:val="2"/>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013"/>
      </w:tblGrid>
      <w:tr w:rsidR="007561F1" w:rsidRPr="00196315" w14:paraId="60D5BCE2" w14:textId="77777777" w:rsidTr="007561F1">
        <w:trPr>
          <w:trHeight w:val="514"/>
        </w:trPr>
        <w:tc>
          <w:tcPr>
            <w:tcW w:w="1696" w:type="dxa"/>
            <w:shd w:val="clear" w:color="auto" w:fill="auto"/>
          </w:tcPr>
          <w:p w14:paraId="147D13AC" w14:textId="77777777" w:rsidR="007561F1" w:rsidRPr="00196315" w:rsidRDefault="007561F1" w:rsidP="00022A84">
            <w:pPr>
              <w:contextualSpacing/>
              <w:rPr>
                <w:rFonts w:eastAsia="Calibri"/>
                <w:b/>
                <w:bCs/>
                <w:szCs w:val="22"/>
              </w:rPr>
            </w:pPr>
            <w:r w:rsidRPr="00196315">
              <w:rPr>
                <w:rFonts w:eastAsia="Calibri"/>
                <w:b/>
                <w:bCs/>
                <w:szCs w:val="22"/>
              </w:rPr>
              <w:t>Parameter</w:t>
            </w:r>
          </w:p>
        </w:tc>
        <w:tc>
          <w:tcPr>
            <w:tcW w:w="3013" w:type="dxa"/>
            <w:shd w:val="clear" w:color="auto" w:fill="auto"/>
          </w:tcPr>
          <w:p w14:paraId="1D68647C" w14:textId="77777777" w:rsidR="007561F1" w:rsidRPr="00196315" w:rsidRDefault="007561F1" w:rsidP="00196315">
            <w:pPr>
              <w:jc w:val="center"/>
              <w:rPr>
                <w:rFonts w:eastAsia="Calibri"/>
                <w:b/>
                <w:bCs/>
                <w:szCs w:val="22"/>
              </w:rPr>
            </w:pPr>
            <w:r w:rsidRPr="00196315">
              <w:rPr>
                <w:rFonts w:eastAsia="Calibri"/>
                <w:b/>
                <w:bCs/>
                <w:szCs w:val="22"/>
              </w:rPr>
              <w:t>Value</w:t>
            </w:r>
          </w:p>
        </w:tc>
      </w:tr>
      <w:tr w:rsidR="007561F1" w:rsidRPr="00196315" w14:paraId="5A69BE87" w14:textId="77777777" w:rsidTr="007561F1">
        <w:trPr>
          <w:trHeight w:val="1160"/>
        </w:trPr>
        <w:tc>
          <w:tcPr>
            <w:tcW w:w="1696" w:type="dxa"/>
            <w:shd w:val="clear" w:color="auto" w:fill="auto"/>
          </w:tcPr>
          <w:p w14:paraId="02BC09F0" w14:textId="77777777" w:rsidR="007561F1" w:rsidRPr="00196315" w:rsidRDefault="007561F1" w:rsidP="00022A84">
            <w:pPr>
              <w:contextualSpacing/>
              <w:rPr>
                <w:rFonts w:eastAsia="Calibri"/>
                <w:szCs w:val="22"/>
              </w:rPr>
            </w:pPr>
            <w:r w:rsidRPr="00196315">
              <w:rPr>
                <w:rFonts w:eastAsia="Calibri"/>
                <w:szCs w:val="22"/>
              </w:rPr>
              <w:t>Derived antenna pattern</w:t>
            </w:r>
          </w:p>
        </w:tc>
        <w:tc>
          <w:tcPr>
            <w:tcW w:w="3013" w:type="dxa"/>
            <w:shd w:val="clear" w:color="auto" w:fill="auto"/>
          </w:tcPr>
          <w:p w14:paraId="02D5FBE1" w14:textId="2E085A2B" w:rsidR="007561F1" w:rsidRPr="00196315" w:rsidRDefault="007561F1" w:rsidP="00196315">
            <w:pPr>
              <w:rPr>
                <w:rFonts w:eastAsia="Calibri"/>
                <w:szCs w:val="22"/>
              </w:rPr>
            </w:pPr>
            <w:r>
              <w:rPr>
                <w:rFonts w:eastAsia="Calibri"/>
                <w:szCs w:val="22"/>
              </w:rPr>
              <w:t>See above</w:t>
            </w:r>
          </w:p>
        </w:tc>
      </w:tr>
      <w:tr w:rsidR="007561F1" w:rsidRPr="00196315" w14:paraId="28D3D2CF" w14:textId="77777777" w:rsidTr="007561F1">
        <w:trPr>
          <w:trHeight w:val="305"/>
        </w:trPr>
        <w:tc>
          <w:tcPr>
            <w:tcW w:w="1696" w:type="dxa"/>
            <w:shd w:val="clear" w:color="auto" w:fill="auto"/>
          </w:tcPr>
          <w:p w14:paraId="25BF1544" w14:textId="77777777" w:rsidR="007561F1" w:rsidRPr="00196315" w:rsidRDefault="007561F1" w:rsidP="00022A84">
            <w:pPr>
              <w:contextualSpacing/>
              <w:rPr>
                <w:rFonts w:eastAsia="Calibri"/>
                <w:szCs w:val="22"/>
              </w:rPr>
            </w:pPr>
            <w:r w:rsidRPr="00196315">
              <w:rPr>
                <w:rFonts w:eastAsia="Calibri"/>
                <w:szCs w:val="22"/>
              </w:rPr>
              <w:t>3 dB beamwidth (</w:t>
            </w:r>
            <w:proofErr w:type="spellStart"/>
            <w:r w:rsidRPr="00196315">
              <w:rPr>
                <w:rFonts w:eastAsia="Calibri"/>
                <w:szCs w:val="22"/>
              </w:rPr>
              <w:t>Deg</w:t>
            </w:r>
            <w:proofErr w:type="spellEnd"/>
            <w:r w:rsidRPr="00196315">
              <w:rPr>
                <w:rFonts w:eastAsia="Calibri"/>
                <w:szCs w:val="22"/>
              </w:rPr>
              <w:t>)</w:t>
            </w:r>
          </w:p>
        </w:tc>
        <w:tc>
          <w:tcPr>
            <w:tcW w:w="3013" w:type="dxa"/>
            <w:shd w:val="clear" w:color="auto" w:fill="auto"/>
          </w:tcPr>
          <w:p w14:paraId="2E9F8B79" w14:textId="416BFEC0" w:rsidR="007561F1" w:rsidRPr="00196315" w:rsidRDefault="007561F1" w:rsidP="007561F1">
            <w:pPr>
              <w:contextualSpacing/>
              <w:rPr>
                <w:rFonts w:eastAsia="Calibri"/>
                <w:szCs w:val="22"/>
              </w:rPr>
            </w:pPr>
            <w:r>
              <w:rPr>
                <w:rFonts w:eastAsia="Calibri"/>
                <w:szCs w:val="22"/>
              </w:rPr>
              <w:t>90</w:t>
            </w:r>
          </w:p>
        </w:tc>
      </w:tr>
      <w:tr w:rsidR="007561F1" w:rsidRPr="00196315" w14:paraId="115176B7" w14:textId="77777777" w:rsidTr="007561F1">
        <w:trPr>
          <w:trHeight w:val="305"/>
        </w:trPr>
        <w:tc>
          <w:tcPr>
            <w:tcW w:w="1696" w:type="dxa"/>
            <w:shd w:val="clear" w:color="auto" w:fill="auto"/>
          </w:tcPr>
          <w:p w14:paraId="614B1687" w14:textId="77777777" w:rsidR="007561F1" w:rsidRPr="00196315" w:rsidRDefault="007561F1" w:rsidP="00022A84">
            <w:pPr>
              <w:contextualSpacing/>
              <w:rPr>
                <w:rFonts w:eastAsia="Calibri"/>
                <w:szCs w:val="22"/>
              </w:rPr>
            </w:pPr>
            <w:r w:rsidRPr="00196315">
              <w:rPr>
                <w:rFonts w:eastAsia="Calibri"/>
                <w:szCs w:val="22"/>
              </w:rPr>
              <w:t>Polarization</w:t>
            </w:r>
          </w:p>
        </w:tc>
        <w:tc>
          <w:tcPr>
            <w:tcW w:w="3013" w:type="dxa"/>
            <w:shd w:val="clear" w:color="auto" w:fill="auto"/>
          </w:tcPr>
          <w:p w14:paraId="18AC3640" w14:textId="660D39BC" w:rsidR="007561F1" w:rsidRPr="00196315" w:rsidRDefault="007561F1" w:rsidP="007561F1">
            <w:pPr>
              <w:contextualSpacing/>
              <w:rPr>
                <w:rFonts w:eastAsia="Calibri"/>
                <w:szCs w:val="22"/>
              </w:rPr>
            </w:pPr>
            <w:r>
              <w:rPr>
                <w:rFonts w:eastAsia="Calibri"/>
                <w:szCs w:val="22"/>
              </w:rPr>
              <w:t>Vertical</w:t>
            </w:r>
          </w:p>
        </w:tc>
      </w:tr>
      <w:tr w:rsidR="007561F1" w:rsidRPr="00196315" w14:paraId="39A7A917" w14:textId="77777777" w:rsidTr="007561F1">
        <w:trPr>
          <w:trHeight w:val="260"/>
        </w:trPr>
        <w:tc>
          <w:tcPr>
            <w:tcW w:w="1696" w:type="dxa"/>
            <w:shd w:val="clear" w:color="auto" w:fill="auto"/>
          </w:tcPr>
          <w:p w14:paraId="7D4409B7" w14:textId="77777777" w:rsidR="007561F1" w:rsidRPr="00196315" w:rsidRDefault="007561F1" w:rsidP="00022A84">
            <w:pPr>
              <w:contextualSpacing/>
              <w:rPr>
                <w:rFonts w:eastAsia="Calibri"/>
                <w:szCs w:val="22"/>
              </w:rPr>
            </w:pPr>
            <w:r w:rsidRPr="00196315">
              <w:rPr>
                <w:rFonts w:eastAsia="Calibri"/>
                <w:szCs w:val="22"/>
              </w:rPr>
              <w:t>Maximum gain (</w:t>
            </w:r>
            <w:proofErr w:type="spellStart"/>
            <w:r w:rsidRPr="00196315">
              <w:rPr>
                <w:rFonts w:eastAsia="Calibri"/>
                <w:szCs w:val="22"/>
              </w:rPr>
              <w:t>dBi</w:t>
            </w:r>
            <w:proofErr w:type="spellEnd"/>
            <w:r w:rsidRPr="00196315">
              <w:rPr>
                <w:rFonts w:eastAsia="Calibri"/>
                <w:szCs w:val="22"/>
              </w:rPr>
              <w:t>)</w:t>
            </w:r>
          </w:p>
        </w:tc>
        <w:tc>
          <w:tcPr>
            <w:tcW w:w="3013" w:type="dxa"/>
            <w:shd w:val="clear" w:color="auto" w:fill="auto"/>
          </w:tcPr>
          <w:p w14:paraId="3635BD5F" w14:textId="6718D674" w:rsidR="007561F1" w:rsidRPr="00196315" w:rsidRDefault="007561F1" w:rsidP="007561F1">
            <w:pPr>
              <w:contextualSpacing/>
              <w:rPr>
                <w:rFonts w:eastAsia="Calibri"/>
                <w:szCs w:val="22"/>
              </w:rPr>
            </w:pPr>
            <w:r>
              <w:rPr>
                <w:rFonts w:eastAsia="Calibri"/>
                <w:szCs w:val="22"/>
              </w:rPr>
              <w:t>9</w:t>
            </w:r>
          </w:p>
        </w:tc>
      </w:tr>
      <w:tr w:rsidR="007561F1" w:rsidRPr="00196315" w14:paraId="2465ED6A" w14:textId="77777777" w:rsidTr="007561F1">
        <w:trPr>
          <w:trHeight w:val="260"/>
        </w:trPr>
        <w:tc>
          <w:tcPr>
            <w:tcW w:w="1696" w:type="dxa"/>
            <w:shd w:val="clear" w:color="auto" w:fill="auto"/>
          </w:tcPr>
          <w:p w14:paraId="700EB58A" w14:textId="77777777" w:rsidR="007561F1" w:rsidRPr="00196315" w:rsidRDefault="007561F1" w:rsidP="00022A84">
            <w:pPr>
              <w:contextualSpacing/>
              <w:rPr>
                <w:rFonts w:eastAsia="Calibri"/>
                <w:szCs w:val="22"/>
              </w:rPr>
            </w:pPr>
            <w:r w:rsidRPr="00196315">
              <w:rPr>
                <w:rFonts w:eastAsia="Calibri"/>
                <w:szCs w:val="22"/>
              </w:rPr>
              <w:t>Antenna FDR (dB)</w:t>
            </w:r>
          </w:p>
        </w:tc>
        <w:tc>
          <w:tcPr>
            <w:tcW w:w="3013" w:type="dxa"/>
            <w:shd w:val="clear" w:color="auto" w:fill="auto"/>
          </w:tcPr>
          <w:p w14:paraId="7F575555" w14:textId="77777777" w:rsidR="007561F1" w:rsidRPr="00196315" w:rsidRDefault="007561F1" w:rsidP="007561F1">
            <w:pPr>
              <w:contextualSpacing/>
              <w:rPr>
                <w:rFonts w:eastAsia="Calibri"/>
                <w:szCs w:val="22"/>
              </w:rPr>
            </w:pPr>
          </w:p>
        </w:tc>
      </w:tr>
    </w:tbl>
    <w:p w14:paraId="7551C1CA" w14:textId="77777777" w:rsidR="00196315" w:rsidRPr="00196315" w:rsidRDefault="00196315" w:rsidP="00196315">
      <w:pPr>
        <w:jc w:val="left"/>
        <w:rPr>
          <w:rFonts w:eastAsia="Calibri"/>
          <w:szCs w:val="22"/>
        </w:rPr>
      </w:pPr>
    </w:p>
    <w:p w14:paraId="5C844AC2" w14:textId="77777777" w:rsidR="00196315" w:rsidRPr="00196315" w:rsidRDefault="00196315" w:rsidP="00196315">
      <w:pPr>
        <w:jc w:val="left"/>
        <w:rPr>
          <w:rFonts w:eastAsia="Calibri"/>
          <w:b/>
          <w:szCs w:val="22"/>
        </w:rPr>
      </w:pPr>
    </w:p>
    <w:p w14:paraId="5A34CF5D" w14:textId="77777777" w:rsidR="00196315" w:rsidRPr="00196315" w:rsidRDefault="00196315" w:rsidP="00196315">
      <w:pPr>
        <w:keepNext/>
        <w:keepLines/>
        <w:tabs>
          <w:tab w:val="left" w:pos="794"/>
          <w:tab w:val="left" w:pos="1191"/>
          <w:tab w:val="left" w:pos="1588"/>
          <w:tab w:val="left" w:pos="1985"/>
        </w:tabs>
        <w:overflowPunct w:val="0"/>
        <w:autoSpaceDE w:val="0"/>
        <w:autoSpaceDN w:val="0"/>
        <w:adjustRightInd w:val="0"/>
        <w:spacing w:before="320"/>
        <w:ind w:left="794" w:hanging="794"/>
        <w:textAlignment w:val="baseline"/>
        <w:outlineLvl w:val="1"/>
        <w:rPr>
          <w:b/>
          <w:i/>
          <w:iCs/>
          <w:sz w:val="24"/>
        </w:rPr>
      </w:pPr>
      <w:r w:rsidRPr="00196315">
        <w:rPr>
          <w:b/>
          <w:sz w:val="24"/>
        </w:rPr>
        <w:t>Technical References:</w:t>
      </w:r>
    </w:p>
    <w:p w14:paraId="3704094A" w14:textId="6534511A" w:rsidR="00196315" w:rsidRPr="00196315" w:rsidRDefault="00196315" w:rsidP="00196315">
      <w:pPr>
        <w:keepNext/>
        <w:spacing w:before="240" w:after="60"/>
        <w:outlineLvl w:val="2"/>
        <w:rPr>
          <w:b/>
          <w:bCs/>
          <w:sz w:val="26"/>
          <w:szCs w:val="26"/>
        </w:rPr>
      </w:pPr>
      <w:r w:rsidRPr="00196315">
        <w:rPr>
          <w:b/>
          <w:bCs/>
          <w:sz w:val="26"/>
          <w:szCs w:val="26"/>
        </w:rPr>
        <w:t>ICAO</w:t>
      </w:r>
    </w:p>
    <w:p w14:paraId="30E521F1" w14:textId="3AE094A1" w:rsidR="00196315" w:rsidRDefault="0024313D" w:rsidP="0024313D">
      <w:pPr>
        <w:pStyle w:val="ListParagraph"/>
        <w:numPr>
          <w:ilvl w:val="0"/>
          <w:numId w:val="17"/>
        </w:numPr>
        <w:jc w:val="left"/>
        <w:rPr>
          <w:rFonts w:eastAsia="Calibri"/>
          <w:szCs w:val="22"/>
        </w:rPr>
      </w:pPr>
      <w:r>
        <w:rPr>
          <w:rFonts w:eastAsia="Calibri"/>
          <w:szCs w:val="22"/>
        </w:rPr>
        <w:t>Annex 10, Vol IV, Part II</w:t>
      </w:r>
    </w:p>
    <w:p w14:paraId="771BFC7E" w14:textId="7131D222" w:rsidR="0024313D" w:rsidRPr="0024313D" w:rsidRDefault="0024313D" w:rsidP="0024313D">
      <w:pPr>
        <w:pStyle w:val="ListParagraph"/>
        <w:numPr>
          <w:ilvl w:val="0"/>
          <w:numId w:val="17"/>
        </w:numPr>
        <w:jc w:val="left"/>
        <w:rPr>
          <w:rFonts w:eastAsia="Calibri"/>
          <w:szCs w:val="22"/>
        </w:rPr>
      </w:pPr>
      <w:r>
        <w:rPr>
          <w:rFonts w:eastAsia="Calibri"/>
          <w:szCs w:val="22"/>
        </w:rPr>
        <w:t>Annex 6 Part IV</w:t>
      </w:r>
    </w:p>
    <w:p w14:paraId="525EFC71" w14:textId="77777777" w:rsidR="003056C3" w:rsidRPr="003056C3" w:rsidRDefault="00196315" w:rsidP="003056C3">
      <w:pPr>
        <w:contextualSpacing/>
        <w:jc w:val="left"/>
        <w:rPr>
          <w:rFonts w:eastAsia="Calibri"/>
          <w:b/>
          <w:szCs w:val="22"/>
          <w:lang w:val="fr-FR"/>
        </w:rPr>
      </w:pPr>
      <w:r w:rsidRPr="00196315">
        <w:rPr>
          <w:rFonts w:eastAsia="Calibri"/>
          <w:b/>
          <w:szCs w:val="22"/>
        </w:rPr>
        <w:t>RTCA:</w:t>
      </w:r>
    </w:p>
    <w:p w14:paraId="6BDF1CFE" w14:textId="23832B27" w:rsidR="00196315" w:rsidRPr="003056C3" w:rsidRDefault="003056C3" w:rsidP="003056C3">
      <w:pPr>
        <w:pStyle w:val="ListParagraph"/>
        <w:numPr>
          <w:ilvl w:val="0"/>
          <w:numId w:val="16"/>
        </w:numPr>
        <w:jc w:val="left"/>
        <w:rPr>
          <w:rFonts w:eastAsia="Calibri"/>
          <w:szCs w:val="22"/>
          <w:lang w:val="en-US"/>
        </w:rPr>
      </w:pPr>
      <w:r w:rsidRPr="003056C3">
        <w:rPr>
          <w:rFonts w:eastAsia="Calibri"/>
        </w:rPr>
        <w:t xml:space="preserve">DO-366B: </w:t>
      </w:r>
      <w:r w:rsidRPr="003056C3">
        <w:rPr>
          <w:rFonts w:eastAsia="Calibri"/>
          <w:szCs w:val="22"/>
          <w:lang w:val="en-US"/>
        </w:rPr>
        <w:t>Minimum Operational Performance Standards (MOPS) for Air-to-Air Radar (ATAR) for Traffic Surveillance</w:t>
      </w:r>
    </w:p>
    <w:p w14:paraId="69681AAE" w14:textId="77777777" w:rsidR="00196315" w:rsidRPr="00196315" w:rsidRDefault="00196315" w:rsidP="00196315">
      <w:pPr>
        <w:jc w:val="left"/>
        <w:rPr>
          <w:rFonts w:eastAsia="Calibri"/>
          <w:b/>
          <w:szCs w:val="22"/>
        </w:rPr>
      </w:pPr>
      <w:r w:rsidRPr="00196315">
        <w:rPr>
          <w:rFonts w:eastAsia="Calibri"/>
          <w:b/>
          <w:szCs w:val="22"/>
        </w:rPr>
        <w:t>EUROCAE:</w:t>
      </w:r>
    </w:p>
    <w:p w14:paraId="59D48051" w14:textId="1C9CBBCB" w:rsidR="00196315" w:rsidRPr="003056C3" w:rsidRDefault="003056C3" w:rsidP="003056C3">
      <w:pPr>
        <w:pStyle w:val="ListParagraph"/>
        <w:numPr>
          <w:ilvl w:val="0"/>
          <w:numId w:val="16"/>
        </w:numPr>
        <w:rPr>
          <w:rFonts w:eastAsia="Calibri"/>
          <w:szCs w:val="22"/>
        </w:rPr>
      </w:pPr>
      <w:r>
        <w:rPr>
          <w:rFonts w:eastAsia="Calibri"/>
          <w:szCs w:val="22"/>
        </w:rPr>
        <w:lastRenderedPageBreak/>
        <w:t xml:space="preserve">ED-271A: </w:t>
      </w:r>
      <w:r>
        <w:t>Minimum Aviation System Performance Standards For Detect And Avoid Traffic For Remotely Piloted Aircraft Systems In Airspace Classes A-G Under IFR</w:t>
      </w:r>
    </w:p>
    <w:p w14:paraId="484B8DF9" w14:textId="77777777" w:rsidR="00196315" w:rsidRPr="00196315" w:rsidRDefault="00196315" w:rsidP="007561F1">
      <w:pPr>
        <w:contextualSpacing/>
        <w:rPr>
          <w:rFonts w:eastAsia="Calibri"/>
          <w:szCs w:val="22"/>
        </w:rPr>
      </w:pPr>
      <w:r w:rsidRPr="00196315">
        <w:rPr>
          <w:rFonts w:eastAsia="Calibri"/>
          <w:b/>
          <w:szCs w:val="22"/>
        </w:rPr>
        <w:t>ARINC characteristic:</w:t>
      </w:r>
    </w:p>
    <w:p w14:paraId="15926E8A" w14:textId="72B2AE6F" w:rsidR="00196315" w:rsidRPr="003056C3" w:rsidRDefault="003056C3" w:rsidP="003056C3">
      <w:pPr>
        <w:pStyle w:val="ListParagraph"/>
        <w:numPr>
          <w:ilvl w:val="0"/>
          <w:numId w:val="16"/>
        </w:numPr>
        <w:rPr>
          <w:rFonts w:eastAsia="Calibri"/>
        </w:rPr>
      </w:pPr>
      <w:r>
        <w:rPr>
          <w:rFonts w:eastAsia="Calibri"/>
        </w:rPr>
        <w:t>NA</w:t>
      </w:r>
    </w:p>
    <w:p w14:paraId="2DA758E2" w14:textId="77777777" w:rsidR="00196315" w:rsidRPr="00196315" w:rsidRDefault="00196315" w:rsidP="00196315">
      <w:pPr>
        <w:ind w:left="360" w:hanging="360"/>
        <w:jc w:val="left"/>
        <w:rPr>
          <w:rFonts w:eastAsia="Calibri"/>
          <w:b/>
          <w:szCs w:val="22"/>
        </w:rPr>
      </w:pPr>
      <w:r w:rsidRPr="00196315">
        <w:rPr>
          <w:rFonts w:eastAsia="Calibri"/>
          <w:b/>
          <w:szCs w:val="22"/>
        </w:rPr>
        <w:t>ITU Res./Rec.: </w:t>
      </w:r>
    </w:p>
    <w:p w14:paraId="0809AB26" w14:textId="6F668651" w:rsidR="00196315" w:rsidRPr="003056C3" w:rsidRDefault="003056C3" w:rsidP="003056C3">
      <w:pPr>
        <w:pStyle w:val="ListParagraph"/>
        <w:numPr>
          <w:ilvl w:val="0"/>
          <w:numId w:val="16"/>
        </w:numPr>
        <w:jc w:val="left"/>
        <w:rPr>
          <w:rFonts w:eastAsia="Calibri"/>
          <w:bCs/>
          <w:szCs w:val="22"/>
          <w:lang w:val="en-US"/>
        </w:rPr>
      </w:pPr>
      <w:r w:rsidRPr="003056C3">
        <w:rPr>
          <w:rFonts w:eastAsia="Calibri"/>
          <w:bCs/>
          <w:szCs w:val="22"/>
          <w:lang w:val="en-US"/>
        </w:rPr>
        <w:t xml:space="preserve">ITU-R </w:t>
      </w:r>
      <w:proofErr w:type="gramStart"/>
      <w:r w:rsidRPr="003056C3">
        <w:rPr>
          <w:rFonts w:eastAsia="Calibri"/>
          <w:bCs/>
          <w:szCs w:val="22"/>
          <w:lang w:val="en-US"/>
        </w:rPr>
        <w:t>M.[</w:t>
      </w:r>
      <w:proofErr w:type="gramEnd"/>
      <w:r w:rsidRPr="003056C3">
        <w:rPr>
          <w:rFonts w:eastAsia="Calibri"/>
          <w:bCs/>
          <w:szCs w:val="22"/>
          <w:lang w:val="en-US"/>
        </w:rPr>
        <w:t xml:space="preserve">15.4 – 15.7 GHz ARNS] : Characteristics of and protection criteria for detect and avoid radars onboard airborne and aircraft landing systems operating in the </w:t>
      </w:r>
      <w:proofErr w:type="spellStart"/>
      <w:r w:rsidRPr="003056C3">
        <w:rPr>
          <w:rFonts w:eastAsia="Calibri"/>
          <w:bCs/>
          <w:szCs w:val="22"/>
          <w:lang w:val="en-US"/>
        </w:rPr>
        <w:t>aeronauticale</w:t>
      </w:r>
      <w:proofErr w:type="spellEnd"/>
      <w:r w:rsidRPr="003056C3">
        <w:rPr>
          <w:rFonts w:eastAsia="Calibri"/>
          <w:bCs/>
          <w:szCs w:val="22"/>
          <w:lang w:val="en-US"/>
        </w:rPr>
        <w:t xml:space="preserve"> radionavigation service in the frequency band 15.4 – 15.7 GHz (</w:t>
      </w:r>
      <w:r w:rsidR="00DA6515" w:rsidRPr="00DA6515">
        <w:rPr>
          <w:rFonts w:eastAsia="Calibri"/>
          <w:bCs/>
          <w:szCs w:val="22"/>
          <w:highlight w:val="yellow"/>
        </w:rPr>
        <w:t>Working document towards a preliminary draft new Recommendation</w:t>
      </w:r>
      <w:r w:rsidRPr="003056C3">
        <w:rPr>
          <w:rFonts w:eastAsia="Calibri"/>
          <w:bCs/>
          <w:szCs w:val="22"/>
          <w:lang w:val="en-US"/>
        </w:rPr>
        <w:t>)</w:t>
      </w:r>
    </w:p>
    <w:p w14:paraId="75F78A7F" w14:textId="77777777" w:rsidR="00196315" w:rsidRPr="00196315" w:rsidRDefault="00196315" w:rsidP="00196315">
      <w:pPr>
        <w:jc w:val="left"/>
        <w:rPr>
          <w:rFonts w:eastAsia="Calibri"/>
          <w:b/>
          <w:szCs w:val="22"/>
        </w:rPr>
      </w:pPr>
      <w:r w:rsidRPr="00196315">
        <w:rPr>
          <w:rFonts w:eastAsia="Calibri"/>
          <w:b/>
          <w:szCs w:val="22"/>
        </w:rPr>
        <w:t>Other relevant material or developments:</w:t>
      </w:r>
    </w:p>
    <w:p w14:paraId="488A7F19" w14:textId="77777777" w:rsidR="00196315" w:rsidRDefault="00196315" w:rsidP="00196315">
      <w:pPr>
        <w:spacing w:before="600"/>
        <w:jc w:val="left"/>
      </w:pPr>
    </w:p>
    <w:sectPr w:rsidR="00196315">
      <w:headerReference w:type="even" r:id="rId16"/>
      <w:headerReference w:type="default" r:id="rId17"/>
      <w:headerReference w:type="first" r:id="rId18"/>
      <w:footerReference w:type="first" r:id="rId19"/>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2D22E" w14:textId="77777777" w:rsidR="00F464AF" w:rsidRDefault="00F464AF">
      <w:r>
        <w:separator/>
      </w:r>
    </w:p>
  </w:endnote>
  <w:endnote w:type="continuationSeparator" w:id="0">
    <w:p w14:paraId="6A16C87A" w14:textId="77777777" w:rsidR="00F464AF" w:rsidRDefault="00F46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6E210" w14:textId="795A0654" w:rsidR="00793189" w:rsidRDefault="00793189">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00533C">
      <w:rPr>
        <w:noProof/>
        <w:sz w:val="18"/>
        <w:lang w:val="fr-FR"/>
      </w:rPr>
      <w:t>11</w:t>
    </w:r>
    <w:r>
      <w:rPr>
        <w:sz w:val="18"/>
        <w:lang w:val="en-US"/>
      </w:rPr>
      <w:fldChar w:fldCharType="end"/>
    </w:r>
    <w:r>
      <w:rPr>
        <w:sz w:val="18"/>
        <w:lang w:val="fr-FR"/>
      </w:rPr>
      <w:t xml:space="preserve"> pages)</w:t>
    </w:r>
  </w:p>
  <w:p w14:paraId="3F8B6ACF" w14:textId="5416E5C8" w:rsidR="00793189" w:rsidRPr="00F41586" w:rsidRDefault="00793189">
    <w:pPr>
      <w:pStyle w:val="Footer"/>
      <w:rPr>
        <w:lang w:val="fr-FR"/>
      </w:rPr>
    </w:pPr>
    <w:r>
      <w:rPr>
        <w:sz w:val="18"/>
        <w:lang w:val="en-US"/>
      </w:rPr>
      <w:fldChar w:fldCharType="begin"/>
    </w:r>
    <w:r w:rsidRPr="00F41586">
      <w:rPr>
        <w:sz w:val="18"/>
        <w:lang w:val="fr-FR"/>
      </w:rPr>
      <w:instrText xml:space="preserve"> FILENAME  \* MERGEFORMAT </w:instrText>
    </w:r>
    <w:r>
      <w:rPr>
        <w:sz w:val="18"/>
        <w:lang w:val="en-US"/>
      </w:rPr>
      <w:fldChar w:fldCharType="separate"/>
    </w:r>
    <w:r w:rsidR="00066264">
      <w:rPr>
        <w:noProof/>
        <w:sz w:val="18"/>
        <w:lang w:val="fr-FR"/>
      </w:rPr>
      <w:t>FSMP-WG20-WP23_DAA.docx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5D0E2" w14:textId="77777777" w:rsidR="00F464AF" w:rsidRDefault="00F464AF">
      <w:r>
        <w:separator/>
      </w:r>
    </w:p>
  </w:footnote>
  <w:footnote w:type="continuationSeparator" w:id="0">
    <w:p w14:paraId="25F2600B" w14:textId="77777777" w:rsidR="00F464AF" w:rsidRDefault="00F46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308E1" w14:textId="70296989" w:rsidR="00793189" w:rsidRDefault="00CB4EFB" w:rsidP="00F56F90">
    <w:pPr>
      <w:tabs>
        <w:tab w:val="center" w:pos="4876"/>
      </w:tabs>
      <w:spacing w:after="600"/>
    </w:pPr>
    <w:r w:rsidRPr="00CB4EFB">
      <w:t>FSMP-WG/20-WP/23</w:t>
    </w:r>
    <w:r w:rsidR="00793189">
      <w:tab/>
      <w:t xml:space="preserve">- </w:t>
    </w:r>
    <w:r w:rsidR="00793189">
      <w:rPr>
        <w:rStyle w:val="PageNumber"/>
      </w:rPr>
      <w:fldChar w:fldCharType="begin"/>
    </w:r>
    <w:r w:rsidR="00793189">
      <w:rPr>
        <w:rStyle w:val="PageNumber"/>
      </w:rPr>
      <w:instrText xml:space="preserve"> PAGE </w:instrText>
    </w:r>
    <w:r w:rsidR="00793189">
      <w:rPr>
        <w:rStyle w:val="PageNumber"/>
      </w:rPr>
      <w:fldChar w:fldCharType="separate"/>
    </w:r>
    <w:r w:rsidR="0000533C">
      <w:rPr>
        <w:rStyle w:val="PageNumber"/>
        <w:noProof/>
      </w:rPr>
      <w:t>4</w:t>
    </w:r>
    <w:r w:rsidR="00793189">
      <w:rPr>
        <w:rStyle w:val="PageNumber"/>
      </w:rPr>
      <w:fldChar w:fldCharType="end"/>
    </w:r>
    <w:r w:rsidR="00793189">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0921" w14:textId="0D4B5F5B" w:rsidR="00793189" w:rsidRDefault="00793189" w:rsidP="00BC5391">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00533C">
      <w:rPr>
        <w:rStyle w:val="PageNumber"/>
        <w:noProof/>
      </w:rPr>
      <w:t>3</w:t>
    </w:r>
    <w:r>
      <w:rPr>
        <w:rStyle w:val="PageNumber"/>
      </w:rPr>
      <w:fldChar w:fldCharType="end"/>
    </w:r>
    <w:r>
      <w:rPr>
        <w:rStyle w:val="PageNumber"/>
      </w:rPr>
      <w:t xml:space="preserve"> -</w:t>
    </w:r>
    <w:r>
      <w:rPr>
        <w:rStyle w:val="PageNumber"/>
      </w:rPr>
      <w:tab/>
    </w:r>
    <w:r w:rsidR="00CB4EFB" w:rsidRPr="00CB4EFB">
      <w:t>FSMP-WG/20-WP/23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793189" w14:paraId="50E75073" w14:textId="77777777" w:rsidTr="00664C07">
      <w:trPr>
        <w:trHeight w:val="1790"/>
      </w:trPr>
      <w:tc>
        <w:tcPr>
          <w:tcW w:w="1915" w:type="dxa"/>
          <w:shd w:val="clear" w:color="auto" w:fill="FFFFFF"/>
        </w:tcPr>
        <w:p w14:paraId="599D1B0C" w14:textId="59EEF66B" w:rsidR="00793189" w:rsidRDefault="00793189" w:rsidP="00664C07">
          <w:bookmarkStart w:id="3" w:name="logo"/>
          <w:r w:rsidRPr="00484298">
            <w:rPr>
              <w:noProof/>
              <w:lang w:val="fr-FR" w:eastAsia="fr-FR"/>
            </w:rPr>
            <w:drawing>
              <wp:inline distT="0" distB="0" distL="0" distR="0" wp14:anchorId="1DD9324C" wp14:editId="15899392">
                <wp:extent cx="1092200" cy="86360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863600"/>
                        </a:xfrm>
                        <a:prstGeom prst="rect">
                          <a:avLst/>
                        </a:prstGeom>
                        <a:noFill/>
                        <a:ln>
                          <a:noFill/>
                        </a:ln>
                      </pic:spPr>
                    </pic:pic>
                  </a:graphicData>
                </a:graphic>
              </wp:inline>
            </w:drawing>
          </w:r>
          <w:bookmarkEnd w:id="3"/>
        </w:p>
      </w:tc>
      <w:tc>
        <w:tcPr>
          <w:tcW w:w="3895" w:type="dxa"/>
          <w:shd w:val="clear" w:color="auto" w:fill="FFFFFF"/>
          <w:tcMar>
            <w:right w:w="0" w:type="dxa"/>
          </w:tcMar>
        </w:tcPr>
        <w:p w14:paraId="7B23817C" w14:textId="5CDDF891" w:rsidR="00793189" w:rsidRPr="00066AB7" w:rsidRDefault="00793189" w:rsidP="00664C07">
          <w:pPr>
            <w:rPr>
              <w:rFonts w:ascii="Arial" w:hAnsi="Arial" w:cs="Arial"/>
              <w:szCs w:val="22"/>
            </w:rPr>
          </w:pPr>
          <w:r w:rsidRPr="00066AB7">
            <w:rPr>
              <w:rFonts w:ascii="Arial" w:hAnsi="Arial" w:cs="Arial"/>
              <w:noProof/>
              <w:szCs w:val="22"/>
              <w:lang w:val="fr-FR" w:eastAsia="fr-FR"/>
            </w:rPr>
            <mc:AlternateContent>
              <mc:Choice Requires="wps">
                <w:drawing>
                  <wp:anchor distT="0" distB="0" distL="114300" distR="114300" simplePos="0" relativeHeight="251657728" behindDoc="0" locked="0" layoutInCell="1" allowOverlap="1" wp14:anchorId="306B588A" wp14:editId="03688C60">
                    <wp:simplePos x="0" y="0"/>
                    <wp:positionH relativeFrom="column">
                      <wp:posOffset>12700</wp:posOffset>
                    </wp:positionH>
                    <wp:positionV relativeFrom="paragraph">
                      <wp:posOffset>342900</wp:posOffset>
                    </wp:positionV>
                    <wp:extent cx="2400300" cy="0"/>
                    <wp:effectExtent l="0" t="0" r="0" b="0"/>
                    <wp:wrapNone/>
                    <wp:docPr id="159320823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07C05"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1C2B61FE" w14:textId="77777777" w:rsidR="00793189" w:rsidRPr="00066AB7" w:rsidRDefault="00793189" w:rsidP="00664C07">
          <w:pPr>
            <w:rPr>
              <w:rFonts w:ascii="Arial" w:hAnsi="Arial" w:cs="Arial"/>
              <w:szCs w:val="22"/>
            </w:rPr>
          </w:pPr>
          <w:r w:rsidRPr="00066AB7">
            <w:rPr>
              <w:rFonts w:ascii="Arial" w:hAnsi="Arial" w:cs="Arial"/>
              <w:szCs w:val="22"/>
            </w:rPr>
            <w:t>International Civil Aviation Organization</w:t>
          </w:r>
        </w:p>
        <w:p w14:paraId="475B0F23" w14:textId="77777777" w:rsidR="00793189" w:rsidRPr="00066AB7" w:rsidRDefault="00793189" w:rsidP="00664C07">
          <w:pPr>
            <w:rPr>
              <w:rFonts w:ascii="Arial" w:hAnsi="Arial" w:cs="Arial"/>
              <w:szCs w:val="22"/>
            </w:rPr>
          </w:pPr>
        </w:p>
        <w:p w14:paraId="0B607E98" w14:textId="77777777" w:rsidR="00793189" w:rsidRPr="00066AB7" w:rsidRDefault="00793189"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84"/>
          </w:tblGrid>
          <w:tr w:rsidR="00793189" w14:paraId="6F8EB24B" w14:textId="77777777" w:rsidTr="00664C07">
            <w:trPr>
              <w:jc w:val="right"/>
            </w:trPr>
            <w:tc>
              <w:tcPr>
                <w:tcW w:w="0" w:type="auto"/>
              </w:tcPr>
              <w:p w14:paraId="0FE54EA2" w14:textId="2CB891AB" w:rsidR="00793189" w:rsidRPr="00066AB7" w:rsidRDefault="00793189" w:rsidP="00CB4EFB">
                <w:pPr>
                  <w:framePr w:hSpace="180" w:wrap="around" w:vAnchor="text" w:hAnchor="text" w:y="1"/>
                  <w:suppressOverlap/>
                  <w:jc w:val="left"/>
                  <w:rPr>
                    <w:szCs w:val="22"/>
                  </w:rPr>
                </w:pPr>
                <w:bookmarkStart w:id="4" w:name="document_no"/>
                <w:r>
                  <w:rPr>
                    <w:szCs w:val="22"/>
                  </w:rPr>
                  <w:t>FSMP-WG</w:t>
                </w:r>
                <w:r w:rsidRPr="00066AB7">
                  <w:rPr>
                    <w:szCs w:val="22"/>
                  </w:rPr>
                  <w:t>/</w:t>
                </w:r>
                <w:r w:rsidR="00CB4EFB">
                  <w:rPr>
                    <w:szCs w:val="22"/>
                  </w:rPr>
                  <w:t>20</w:t>
                </w:r>
                <w:r>
                  <w:rPr>
                    <w:szCs w:val="22"/>
                  </w:rPr>
                  <w:t>-</w:t>
                </w:r>
                <w:r w:rsidRPr="00066AB7">
                  <w:rPr>
                    <w:szCs w:val="22"/>
                  </w:rPr>
                  <w:t>WP/</w:t>
                </w:r>
                <w:bookmarkEnd w:id="4"/>
                <w:r w:rsidR="00CB4EFB">
                  <w:rPr>
                    <w:szCs w:val="22"/>
                  </w:rPr>
                  <w:t>23</w:t>
                </w:r>
              </w:p>
              <w:p w14:paraId="6B066647" w14:textId="77777777" w:rsidR="00793189" w:rsidRPr="00066AB7" w:rsidRDefault="00793189" w:rsidP="00CB4EFB">
                <w:pPr>
                  <w:framePr w:hSpace="180" w:wrap="around" w:vAnchor="text" w:hAnchor="text" w:y="1"/>
                  <w:suppressOverlap/>
                  <w:jc w:val="left"/>
                  <w:rPr>
                    <w:b/>
                  </w:rPr>
                </w:pPr>
                <w:bookmarkStart w:id="5" w:name="restricted"/>
                <w:bookmarkStart w:id="6" w:name="addendum_corrigendum_appendix"/>
                <w:bookmarkStart w:id="7" w:name="revision_no"/>
                <w:bookmarkStart w:id="8" w:name="revision_date"/>
                <w:bookmarkStart w:id="9" w:name="related_to"/>
                <w:bookmarkEnd w:id="5"/>
                <w:bookmarkEnd w:id="6"/>
                <w:bookmarkEnd w:id="7"/>
                <w:bookmarkEnd w:id="8"/>
                <w:bookmarkEnd w:id="9"/>
                <w:r>
                  <w:rPr>
                    <w:sz w:val="18"/>
                    <w:szCs w:val="18"/>
                  </w:rPr>
                  <w:t>2024-07-15</w:t>
                </w:r>
                <w:r w:rsidRPr="00066AB7">
                  <w:rPr>
                    <w:b/>
                    <w:sz w:val="18"/>
                    <w:szCs w:val="18"/>
                  </w:rPr>
                  <w:t xml:space="preserve"> </w:t>
                </w:r>
                <w:bookmarkStart w:id="10" w:name="info_paper"/>
                <w:bookmarkEnd w:id="10"/>
              </w:p>
            </w:tc>
          </w:tr>
          <w:tr w:rsidR="00793189" w14:paraId="47A51899" w14:textId="77777777" w:rsidTr="00664C07">
            <w:trPr>
              <w:jc w:val="right"/>
            </w:trPr>
            <w:tc>
              <w:tcPr>
                <w:tcW w:w="0" w:type="auto"/>
              </w:tcPr>
              <w:p w14:paraId="505AD4DE" w14:textId="77777777" w:rsidR="00793189" w:rsidRPr="00066AB7" w:rsidRDefault="00793189" w:rsidP="00CB4EFB">
                <w:pPr>
                  <w:framePr w:hSpace="180" w:wrap="around" w:vAnchor="text" w:hAnchor="text" w:y="1"/>
                  <w:suppressOverlap/>
                  <w:jc w:val="left"/>
                  <w:rPr>
                    <w:szCs w:val="22"/>
                  </w:rPr>
                </w:pPr>
              </w:p>
            </w:tc>
          </w:tr>
        </w:tbl>
        <w:p w14:paraId="23AD7828" w14:textId="77777777" w:rsidR="00793189" w:rsidRPr="00066AB7" w:rsidRDefault="00793189" w:rsidP="00664C07">
          <w:pPr>
            <w:tabs>
              <w:tab w:val="left" w:pos="720"/>
              <w:tab w:val="left" w:pos="1440"/>
              <w:tab w:val="left" w:pos="1800"/>
              <w:tab w:val="left" w:pos="2160"/>
              <w:tab w:val="left" w:pos="2520"/>
              <w:tab w:val="left" w:pos="2880"/>
            </w:tabs>
            <w:ind w:left="4320"/>
            <w:rPr>
              <w:b/>
              <w:sz w:val="18"/>
              <w:szCs w:val="18"/>
            </w:rPr>
          </w:pPr>
        </w:p>
      </w:tc>
    </w:tr>
  </w:tbl>
  <w:p w14:paraId="6A36B50A" w14:textId="3E361129" w:rsidR="00793189" w:rsidRDefault="00793189" w:rsidP="00CB4EFB">
    <w:pPr>
      <w:pStyle w:val="3para"/>
      <w:numPr>
        <w:ilvl w:val="0"/>
        <w:numId w:val="0"/>
      </w:numPr>
      <w:tabs>
        <w:tab w:val="left" w:pos="6480"/>
      </w:tabs>
      <w:spacing w:after="0"/>
      <w:outlineLvl w:val="9"/>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08F42F0A"/>
    <w:multiLevelType w:val="hybridMultilevel"/>
    <w:tmpl w:val="93443A22"/>
    <w:lvl w:ilvl="0" w:tplc="EE6439AA">
      <w:start w:val="707"/>
      <w:numFmt w:val="bullet"/>
      <w:lvlText w:val="•"/>
      <w:lvlJc w:val="left"/>
      <w:pPr>
        <w:ind w:left="720" w:hanging="72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34B72"/>
    <w:multiLevelType w:val="hybridMultilevel"/>
    <w:tmpl w:val="3460B224"/>
    <w:lvl w:ilvl="0" w:tplc="A57C1ED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F464BD"/>
    <w:multiLevelType w:val="hybridMultilevel"/>
    <w:tmpl w:val="E4BCC222"/>
    <w:lvl w:ilvl="0" w:tplc="BA8E73B8">
      <w:start w:val="707"/>
      <w:numFmt w:val="bullet"/>
      <w:lvlText w:val="•"/>
      <w:lvlJc w:val="left"/>
      <w:pPr>
        <w:ind w:left="72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5"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DE10FF"/>
    <w:multiLevelType w:val="hybridMultilevel"/>
    <w:tmpl w:val="63BE07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8" w15:restartNumberingAfterBreak="0">
    <w:nsid w:val="4BC331DF"/>
    <w:multiLevelType w:val="hybridMultilevel"/>
    <w:tmpl w:val="830CE0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7B5E70"/>
    <w:multiLevelType w:val="hybridMultilevel"/>
    <w:tmpl w:val="8F18F7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3AA6525"/>
    <w:multiLevelType w:val="hybridMultilevel"/>
    <w:tmpl w:val="2E48FAAA"/>
    <w:lvl w:ilvl="0" w:tplc="BA8E73B8">
      <w:start w:val="707"/>
      <w:numFmt w:val="bullet"/>
      <w:lvlText w:val="•"/>
      <w:lvlJc w:val="left"/>
      <w:pPr>
        <w:ind w:left="72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BF76C3"/>
    <w:multiLevelType w:val="hybridMultilevel"/>
    <w:tmpl w:val="B51EC6E8"/>
    <w:lvl w:ilvl="0" w:tplc="EE6439AA">
      <w:start w:val="707"/>
      <w:numFmt w:val="bullet"/>
      <w:lvlText w:val="•"/>
      <w:lvlJc w:val="left"/>
      <w:pPr>
        <w:ind w:left="720" w:hanging="72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B1153AD"/>
    <w:multiLevelType w:val="hybridMultilevel"/>
    <w:tmpl w:val="DA709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D95803"/>
    <w:multiLevelType w:val="hybridMultilevel"/>
    <w:tmpl w:val="A5B47CA8"/>
    <w:lvl w:ilvl="0" w:tplc="A8AA269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15" w15:restartNumberingAfterBreak="0">
    <w:nsid w:val="69AA7F3D"/>
    <w:multiLevelType w:val="hybridMultilevel"/>
    <w:tmpl w:val="28AA85E2"/>
    <w:lvl w:ilvl="0" w:tplc="55809C8C">
      <w:numFmt w:val="bullet"/>
      <w:lvlText w:val="•"/>
      <w:lvlJc w:val="left"/>
      <w:pPr>
        <w:ind w:left="720" w:hanging="720"/>
      </w:pPr>
      <w:rPr>
        <w:rFonts w:ascii="Calibri" w:eastAsia="Calibri"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1211459958">
    <w:abstractNumId w:val="7"/>
  </w:num>
  <w:num w:numId="2" w16cid:durableId="1289967884">
    <w:abstractNumId w:val="14"/>
  </w:num>
  <w:num w:numId="3" w16cid:durableId="2017883218">
    <w:abstractNumId w:val="4"/>
  </w:num>
  <w:num w:numId="4" w16cid:durableId="1800875367">
    <w:abstractNumId w:val="0"/>
  </w:num>
  <w:num w:numId="5" w16cid:durableId="20487248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3654976">
    <w:abstractNumId w:val="5"/>
  </w:num>
  <w:num w:numId="7" w16cid:durableId="1445735758">
    <w:abstractNumId w:val="2"/>
  </w:num>
  <w:num w:numId="8" w16cid:durableId="490219829">
    <w:abstractNumId w:val="6"/>
  </w:num>
  <w:num w:numId="9" w16cid:durableId="458228648">
    <w:abstractNumId w:val="13"/>
  </w:num>
  <w:num w:numId="10" w16cid:durableId="1248222716">
    <w:abstractNumId w:val="15"/>
  </w:num>
  <w:num w:numId="11" w16cid:durableId="1904024235">
    <w:abstractNumId w:val="3"/>
  </w:num>
  <w:num w:numId="12" w16cid:durableId="743257229">
    <w:abstractNumId w:val="10"/>
  </w:num>
  <w:num w:numId="13" w16cid:durableId="937833276">
    <w:abstractNumId w:val="11"/>
  </w:num>
  <w:num w:numId="14" w16cid:durableId="990980700">
    <w:abstractNumId w:val="1"/>
  </w:num>
  <w:num w:numId="15" w16cid:durableId="653067970">
    <w:abstractNumId w:val="12"/>
  </w:num>
  <w:num w:numId="16" w16cid:durableId="629827776">
    <w:abstractNumId w:val="8"/>
  </w:num>
  <w:num w:numId="17" w16cid:durableId="3680722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160"/>
    <w:rsid w:val="0000533C"/>
    <w:rsid w:val="00022A84"/>
    <w:rsid w:val="0002582F"/>
    <w:rsid w:val="00025A19"/>
    <w:rsid w:val="000273D2"/>
    <w:rsid w:val="00035936"/>
    <w:rsid w:val="00062086"/>
    <w:rsid w:val="00066264"/>
    <w:rsid w:val="00067C56"/>
    <w:rsid w:val="00081FEC"/>
    <w:rsid w:val="0009326E"/>
    <w:rsid w:val="000D26D5"/>
    <w:rsid w:val="000E218A"/>
    <w:rsid w:val="00111AD0"/>
    <w:rsid w:val="001414A9"/>
    <w:rsid w:val="00152AFE"/>
    <w:rsid w:val="001566B0"/>
    <w:rsid w:val="00167603"/>
    <w:rsid w:val="0017636F"/>
    <w:rsid w:val="001832F6"/>
    <w:rsid w:val="00196315"/>
    <w:rsid w:val="001A2E98"/>
    <w:rsid w:val="001A3CA7"/>
    <w:rsid w:val="001C3B66"/>
    <w:rsid w:val="002017BE"/>
    <w:rsid w:val="0020272F"/>
    <w:rsid w:val="0020768F"/>
    <w:rsid w:val="0024313D"/>
    <w:rsid w:val="00273838"/>
    <w:rsid w:val="00296C3E"/>
    <w:rsid w:val="002A7985"/>
    <w:rsid w:val="002B6885"/>
    <w:rsid w:val="002C2D0B"/>
    <w:rsid w:val="002F53C3"/>
    <w:rsid w:val="003056C3"/>
    <w:rsid w:val="00352D15"/>
    <w:rsid w:val="003629A9"/>
    <w:rsid w:val="003715A0"/>
    <w:rsid w:val="003821A2"/>
    <w:rsid w:val="003B21AE"/>
    <w:rsid w:val="003D7FD8"/>
    <w:rsid w:val="00423C6F"/>
    <w:rsid w:val="0046152E"/>
    <w:rsid w:val="00472B53"/>
    <w:rsid w:val="004735BC"/>
    <w:rsid w:val="0049280E"/>
    <w:rsid w:val="00492CD2"/>
    <w:rsid w:val="004A02DF"/>
    <w:rsid w:val="004A4500"/>
    <w:rsid w:val="004A4AD8"/>
    <w:rsid w:val="004E6F80"/>
    <w:rsid w:val="00503E08"/>
    <w:rsid w:val="00505F6E"/>
    <w:rsid w:val="0050665F"/>
    <w:rsid w:val="0051574F"/>
    <w:rsid w:val="00526D86"/>
    <w:rsid w:val="00546ECD"/>
    <w:rsid w:val="00547BFD"/>
    <w:rsid w:val="00551A42"/>
    <w:rsid w:val="00552B85"/>
    <w:rsid w:val="00587DF6"/>
    <w:rsid w:val="005A2CF7"/>
    <w:rsid w:val="005C1D0F"/>
    <w:rsid w:val="005D09FD"/>
    <w:rsid w:val="005E67C5"/>
    <w:rsid w:val="005F535B"/>
    <w:rsid w:val="0060363A"/>
    <w:rsid w:val="00625E2A"/>
    <w:rsid w:val="00664C07"/>
    <w:rsid w:val="00725205"/>
    <w:rsid w:val="007378D3"/>
    <w:rsid w:val="007405A3"/>
    <w:rsid w:val="007561F1"/>
    <w:rsid w:val="00760654"/>
    <w:rsid w:val="00770160"/>
    <w:rsid w:val="00784737"/>
    <w:rsid w:val="00787755"/>
    <w:rsid w:val="00793189"/>
    <w:rsid w:val="00796019"/>
    <w:rsid w:val="007C092E"/>
    <w:rsid w:val="007C4342"/>
    <w:rsid w:val="007E6A06"/>
    <w:rsid w:val="00860FB4"/>
    <w:rsid w:val="008759F4"/>
    <w:rsid w:val="00885035"/>
    <w:rsid w:val="008900B5"/>
    <w:rsid w:val="00892C90"/>
    <w:rsid w:val="00896451"/>
    <w:rsid w:val="008B54C4"/>
    <w:rsid w:val="008E2167"/>
    <w:rsid w:val="0090204A"/>
    <w:rsid w:val="009130B1"/>
    <w:rsid w:val="00920B80"/>
    <w:rsid w:val="00920C27"/>
    <w:rsid w:val="0095513B"/>
    <w:rsid w:val="009602EE"/>
    <w:rsid w:val="00960B75"/>
    <w:rsid w:val="0097224D"/>
    <w:rsid w:val="00982B76"/>
    <w:rsid w:val="009A3BB6"/>
    <w:rsid w:val="009D2401"/>
    <w:rsid w:val="009E0F8B"/>
    <w:rsid w:val="00A03CFF"/>
    <w:rsid w:val="00A12CBA"/>
    <w:rsid w:val="00A166BE"/>
    <w:rsid w:val="00A205ED"/>
    <w:rsid w:val="00A232A8"/>
    <w:rsid w:val="00A6218C"/>
    <w:rsid w:val="00AA7B30"/>
    <w:rsid w:val="00B26D63"/>
    <w:rsid w:val="00B76790"/>
    <w:rsid w:val="00B95AA6"/>
    <w:rsid w:val="00BA2D29"/>
    <w:rsid w:val="00BC5391"/>
    <w:rsid w:val="00BD440C"/>
    <w:rsid w:val="00BD6E6C"/>
    <w:rsid w:val="00BE4654"/>
    <w:rsid w:val="00BF265D"/>
    <w:rsid w:val="00C21FB7"/>
    <w:rsid w:val="00C2608A"/>
    <w:rsid w:val="00C32F4A"/>
    <w:rsid w:val="00C75945"/>
    <w:rsid w:val="00C7695C"/>
    <w:rsid w:val="00C95E9F"/>
    <w:rsid w:val="00CB4EFB"/>
    <w:rsid w:val="00CD54D2"/>
    <w:rsid w:val="00CF72A2"/>
    <w:rsid w:val="00D06F3B"/>
    <w:rsid w:val="00D22255"/>
    <w:rsid w:val="00D67B2D"/>
    <w:rsid w:val="00D74551"/>
    <w:rsid w:val="00D8375B"/>
    <w:rsid w:val="00D94FD3"/>
    <w:rsid w:val="00DA4146"/>
    <w:rsid w:val="00DA6515"/>
    <w:rsid w:val="00DA654F"/>
    <w:rsid w:val="00DF76D3"/>
    <w:rsid w:val="00E105B8"/>
    <w:rsid w:val="00E501C6"/>
    <w:rsid w:val="00E5621A"/>
    <w:rsid w:val="00E7263C"/>
    <w:rsid w:val="00E77340"/>
    <w:rsid w:val="00E91D85"/>
    <w:rsid w:val="00E91DF2"/>
    <w:rsid w:val="00EB1EAC"/>
    <w:rsid w:val="00F41586"/>
    <w:rsid w:val="00F464AF"/>
    <w:rsid w:val="00F56F90"/>
    <w:rsid w:val="00F84DC1"/>
    <w:rsid w:val="00F84E31"/>
    <w:rsid w:val="00F975FD"/>
    <w:rsid w:val="00FB1882"/>
    <w:rsid w:val="00FB5EFA"/>
    <w:rsid w:val="00FC389A"/>
    <w:rsid w:val="00FD23F7"/>
    <w:rsid w:val="00FE25B6"/>
    <w:rsid w:val="00FF125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995CEC"/>
  <w15:chartTrackingRefBased/>
  <w15:docId w15:val="{02AC9752-3A0D-4BCD-A10B-A4F57898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2A84"/>
    <w:pPr>
      <w:jc w:val="both"/>
    </w:pPr>
    <w:rPr>
      <w:sz w:val="22"/>
      <w:lang w:val="en-GB"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link w:val="Heading2Char"/>
    <w:semiHidden/>
    <w:unhideWhenUsed/>
    <w:qFormat/>
    <w:rsid w:val="0019631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19631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sz w:val="18"/>
      <w:szCs w:val="18"/>
      <w:lang w:val="en-GB"/>
    </w:rPr>
  </w:style>
  <w:style w:type="character" w:styleId="Hyperlink">
    <w:name w:val="Hyperlink"/>
    <w:basedOn w:val="DefaultParagraphFont"/>
    <w:rsid w:val="00787755"/>
    <w:rPr>
      <w:color w:val="0563C1" w:themeColor="hyperlink"/>
      <w:u w:val="single"/>
    </w:rPr>
  </w:style>
  <w:style w:type="character" w:customStyle="1" w:styleId="Mentionnonrsolue1">
    <w:name w:val="Mention non résolue1"/>
    <w:basedOn w:val="DefaultParagraphFont"/>
    <w:uiPriority w:val="99"/>
    <w:semiHidden/>
    <w:unhideWhenUsed/>
    <w:rsid w:val="00787755"/>
    <w:rPr>
      <w:color w:val="605E5C"/>
      <w:shd w:val="clear" w:color="auto" w:fill="E1DFDD"/>
    </w:rPr>
  </w:style>
  <w:style w:type="table" w:styleId="TableGrid">
    <w:name w:val="Table Grid"/>
    <w:basedOn w:val="TableNormal"/>
    <w:rsid w:val="005A2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E105B8"/>
    <w:pPr>
      <w:spacing w:after="200"/>
    </w:pPr>
    <w:rPr>
      <w:i/>
      <w:iCs/>
      <w:color w:val="44546A" w:themeColor="text2"/>
      <w:sz w:val="18"/>
      <w:szCs w:val="18"/>
    </w:rPr>
  </w:style>
  <w:style w:type="paragraph" w:styleId="NoSpacing">
    <w:name w:val="No Spacing"/>
    <w:uiPriority w:val="1"/>
    <w:qFormat/>
    <w:rsid w:val="00E105B8"/>
    <w:pPr>
      <w:jc w:val="both"/>
    </w:pPr>
    <w:rPr>
      <w:sz w:val="22"/>
      <w:lang w:val="en-GB" w:eastAsia="en-US"/>
    </w:rPr>
  </w:style>
  <w:style w:type="paragraph" w:customStyle="1" w:styleId="Tabletext">
    <w:name w:val="Table_text"/>
    <w:basedOn w:val="Normal"/>
    <w:link w:val="TabletextChar"/>
    <w:qFormat/>
    <w:rsid w:val="00E105B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sz w:val="20"/>
    </w:rPr>
  </w:style>
  <w:style w:type="paragraph" w:customStyle="1" w:styleId="Tablehead">
    <w:name w:val="Table_head"/>
    <w:basedOn w:val="Normal"/>
    <w:link w:val="TableheadChar"/>
    <w:rsid w:val="00E105B8"/>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rPr>
  </w:style>
  <w:style w:type="paragraph" w:customStyle="1" w:styleId="Tablelegend">
    <w:name w:val="Table_legend"/>
    <w:basedOn w:val="Normal"/>
    <w:rsid w:val="00E105B8"/>
    <w:pPr>
      <w:tabs>
        <w:tab w:val="left" w:pos="284"/>
        <w:tab w:val="left" w:pos="567"/>
        <w:tab w:val="left" w:pos="851"/>
        <w:tab w:val="left" w:pos="1134"/>
        <w:tab w:val="left" w:pos="1871"/>
        <w:tab w:val="left" w:pos="2268"/>
      </w:tabs>
      <w:overflowPunct w:val="0"/>
      <w:autoSpaceDE w:val="0"/>
      <w:autoSpaceDN w:val="0"/>
      <w:adjustRightInd w:val="0"/>
      <w:spacing w:before="40" w:after="40"/>
      <w:jc w:val="left"/>
      <w:textAlignment w:val="baseline"/>
    </w:pPr>
    <w:rPr>
      <w:sz w:val="18"/>
    </w:rPr>
  </w:style>
  <w:style w:type="character" w:customStyle="1" w:styleId="TableheadChar">
    <w:name w:val="Table_head Char"/>
    <w:basedOn w:val="DefaultParagraphFont"/>
    <w:link w:val="Tablehead"/>
    <w:locked/>
    <w:rsid w:val="00E105B8"/>
    <w:rPr>
      <w:rFonts w:ascii="Times New Roman Bold" w:hAnsi="Times New Roman Bold" w:cs="Times New Roman Bold"/>
      <w:b/>
      <w:lang w:val="en-GB" w:eastAsia="en-US"/>
    </w:rPr>
  </w:style>
  <w:style w:type="character" w:customStyle="1" w:styleId="TabletextChar">
    <w:name w:val="Table_text Char"/>
    <w:basedOn w:val="DefaultParagraphFont"/>
    <w:link w:val="Tabletext"/>
    <w:locked/>
    <w:rsid w:val="00E105B8"/>
    <w:rPr>
      <w:lang w:val="en-GB" w:eastAsia="en-US"/>
    </w:rPr>
  </w:style>
  <w:style w:type="paragraph" w:customStyle="1" w:styleId="Default">
    <w:name w:val="Default"/>
    <w:rsid w:val="00D06F3B"/>
    <w:pPr>
      <w:autoSpaceDE w:val="0"/>
      <w:autoSpaceDN w:val="0"/>
      <w:adjustRightInd w:val="0"/>
    </w:pPr>
    <w:rPr>
      <w:color w:val="000000"/>
      <w:sz w:val="24"/>
      <w:szCs w:val="24"/>
    </w:rPr>
  </w:style>
  <w:style w:type="character" w:customStyle="1" w:styleId="Heading2Char">
    <w:name w:val="Heading 2 Char"/>
    <w:basedOn w:val="DefaultParagraphFont"/>
    <w:link w:val="Heading2"/>
    <w:semiHidden/>
    <w:rsid w:val="00196315"/>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semiHidden/>
    <w:rsid w:val="00196315"/>
    <w:rPr>
      <w:rFonts w:asciiTheme="majorHAnsi" w:eastAsiaTheme="majorEastAsia" w:hAnsiTheme="majorHAnsi" w:cstheme="majorBidi"/>
      <w:color w:val="1F3763" w:themeColor="accent1" w:themeShade="7F"/>
      <w:sz w:val="24"/>
      <w:szCs w:val="24"/>
      <w:lang w:val="en-GB" w:eastAsia="en-US"/>
    </w:rPr>
  </w:style>
  <w:style w:type="paragraph" w:customStyle="1" w:styleId="Figure">
    <w:name w:val="Figure"/>
    <w:basedOn w:val="Normal"/>
    <w:next w:val="Normal"/>
    <w:rsid w:val="007561F1"/>
    <w:pPr>
      <w:tabs>
        <w:tab w:val="left" w:pos="1134"/>
        <w:tab w:val="left" w:pos="1871"/>
        <w:tab w:val="left" w:pos="2268"/>
      </w:tabs>
      <w:overflowPunct w:val="0"/>
      <w:autoSpaceDE w:val="0"/>
      <w:autoSpaceDN w:val="0"/>
      <w:adjustRightInd w:val="0"/>
      <w:spacing w:before="120" w:after="240"/>
      <w:jc w:val="center"/>
      <w:textAlignment w:val="baseline"/>
    </w:pPr>
    <w:rPr>
      <w:noProof/>
      <w:sz w:val="24"/>
      <w:lang w:eastAsia="zh-CN"/>
    </w:rPr>
  </w:style>
  <w:style w:type="paragraph" w:customStyle="1" w:styleId="Figuretitle">
    <w:name w:val="Figure_title"/>
    <w:basedOn w:val="Normal"/>
    <w:next w:val="Normal"/>
    <w:link w:val="FiguretitleChar"/>
    <w:rsid w:val="007561F1"/>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rPr>
  </w:style>
  <w:style w:type="character" w:customStyle="1" w:styleId="FiguretitleChar">
    <w:name w:val="Figure_title Char"/>
    <w:basedOn w:val="DefaultParagraphFont"/>
    <w:link w:val="Figuretitle"/>
    <w:rsid w:val="007561F1"/>
    <w:rPr>
      <w:rFonts w:ascii="Times New Roman Bold" w:hAnsi="Times New Roman Bold"/>
      <w:b/>
      <w:lang w:val="en-GB" w:eastAsia="en-US"/>
    </w:rPr>
  </w:style>
  <w:style w:type="paragraph" w:styleId="ListParagraph">
    <w:name w:val="List Paragraph"/>
    <w:basedOn w:val="Normal"/>
    <w:uiPriority w:val="34"/>
    <w:qFormat/>
    <w:rsid w:val="003056C3"/>
    <w:pPr>
      <w:ind w:left="720"/>
      <w:contextualSpacing/>
    </w:pPr>
  </w:style>
  <w:style w:type="paragraph" w:styleId="Revision">
    <w:name w:val="Revision"/>
    <w:hidden/>
    <w:uiPriority w:val="99"/>
    <w:semiHidden/>
    <w:rsid w:val="003B21AE"/>
    <w:rPr>
      <w:sz w:val="22"/>
      <w:lang w:val="en-GB" w:eastAsia="en-US"/>
    </w:rPr>
  </w:style>
  <w:style w:type="character" w:styleId="CommentReference">
    <w:name w:val="annotation reference"/>
    <w:basedOn w:val="DefaultParagraphFont"/>
    <w:rsid w:val="007405A3"/>
    <w:rPr>
      <w:sz w:val="16"/>
      <w:szCs w:val="16"/>
    </w:rPr>
  </w:style>
  <w:style w:type="paragraph" w:styleId="CommentText">
    <w:name w:val="annotation text"/>
    <w:basedOn w:val="Normal"/>
    <w:link w:val="CommentTextChar"/>
    <w:rsid w:val="007405A3"/>
    <w:rPr>
      <w:sz w:val="20"/>
    </w:rPr>
  </w:style>
  <w:style w:type="character" w:customStyle="1" w:styleId="CommentTextChar">
    <w:name w:val="Comment Text Char"/>
    <w:basedOn w:val="DefaultParagraphFont"/>
    <w:link w:val="CommentText"/>
    <w:rsid w:val="007405A3"/>
    <w:rPr>
      <w:lang w:val="en-GB" w:eastAsia="en-US"/>
    </w:rPr>
  </w:style>
  <w:style w:type="paragraph" w:styleId="CommentSubject">
    <w:name w:val="annotation subject"/>
    <w:basedOn w:val="CommentText"/>
    <w:next w:val="CommentText"/>
    <w:link w:val="CommentSubjectChar"/>
    <w:rsid w:val="007405A3"/>
    <w:rPr>
      <w:b/>
      <w:bCs/>
    </w:rPr>
  </w:style>
  <w:style w:type="character" w:customStyle="1" w:styleId="CommentSubjectChar">
    <w:name w:val="Comment Subject Char"/>
    <w:basedOn w:val="CommentTextChar"/>
    <w:link w:val="CommentSubject"/>
    <w:rsid w:val="007405A3"/>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ao.int/safety/FSMP/MeetingDocs/FSMP%20WG19/WP/FSMP-WG19-WP21_DAA_frequency.docx" TargetMode="External"/><Relationship Id="rId5" Type="http://schemas.openxmlformats.org/officeDocument/2006/relationships/numbering" Target="numbering.xml"/><Relationship Id="rId15" Type="http://schemas.openxmlformats.org/officeDocument/2006/relationships/chart" Target="charts/chart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T0029093\Documents\SESAR\LSR\Diagramme.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Antenna</a:t>
            </a:r>
            <a:r>
              <a:rPr lang="fr-FR" baseline="0"/>
              <a:t> Diagram</a:t>
            </a:r>
            <a:endParaRPr lang="fr-F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lineChart>
        <c:grouping val="standard"/>
        <c:varyColors val="0"/>
        <c:ser>
          <c:idx val="2"/>
          <c:order val="0"/>
          <c:spPr>
            <a:ln w="28575" cap="rnd">
              <a:solidFill>
                <a:schemeClr val="accent3"/>
              </a:solidFill>
              <a:round/>
            </a:ln>
            <a:effectLst/>
          </c:spPr>
          <c:marker>
            <c:symbol val="none"/>
          </c:marker>
          <c:cat>
            <c:numRef>
              <c:f>Feuil1!$N$3:$N$21</c:f>
              <c:numCache>
                <c:formatCode>General</c:formatCode>
                <c:ptCount val="19"/>
                <c:pt idx="0">
                  <c:v>-90</c:v>
                </c:pt>
                <c:pt idx="1">
                  <c:v>-80</c:v>
                </c:pt>
                <c:pt idx="2">
                  <c:v>-70</c:v>
                </c:pt>
                <c:pt idx="3">
                  <c:v>-60</c:v>
                </c:pt>
                <c:pt idx="4">
                  <c:v>-50</c:v>
                </c:pt>
                <c:pt idx="5">
                  <c:v>-40</c:v>
                </c:pt>
                <c:pt idx="6">
                  <c:v>-30</c:v>
                </c:pt>
                <c:pt idx="7">
                  <c:v>-20</c:v>
                </c:pt>
                <c:pt idx="8">
                  <c:v>-10</c:v>
                </c:pt>
                <c:pt idx="9">
                  <c:v>0</c:v>
                </c:pt>
                <c:pt idx="10">
                  <c:v>10</c:v>
                </c:pt>
                <c:pt idx="11">
                  <c:v>20</c:v>
                </c:pt>
                <c:pt idx="12">
                  <c:v>30</c:v>
                </c:pt>
                <c:pt idx="13">
                  <c:v>40</c:v>
                </c:pt>
                <c:pt idx="14">
                  <c:v>50</c:v>
                </c:pt>
                <c:pt idx="15">
                  <c:v>60</c:v>
                </c:pt>
                <c:pt idx="16">
                  <c:v>70</c:v>
                </c:pt>
                <c:pt idx="17">
                  <c:v>80</c:v>
                </c:pt>
                <c:pt idx="18">
                  <c:v>90</c:v>
                </c:pt>
              </c:numCache>
            </c:numRef>
          </c:cat>
          <c:val>
            <c:numRef>
              <c:f>Feuil1!$P$3:$P$21</c:f>
              <c:numCache>
                <c:formatCode>0</c:formatCode>
                <c:ptCount val="19"/>
                <c:pt idx="0">
                  <c:v>-21.428571428571431</c:v>
                </c:pt>
                <c:pt idx="1">
                  <c:v>-15.714285714285715</c:v>
                </c:pt>
                <c:pt idx="2">
                  <c:v>-11.428571428571429</c:v>
                </c:pt>
                <c:pt idx="3">
                  <c:v>-7.1428571428571432</c:v>
                </c:pt>
                <c:pt idx="4">
                  <c:v>-2.8571428571428572</c:v>
                </c:pt>
                <c:pt idx="5">
                  <c:v>0</c:v>
                </c:pt>
                <c:pt idx="6">
                  <c:v>2.8571428571428572</c:v>
                </c:pt>
                <c:pt idx="7">
                  <c:v>5.7142857142857144</c:v>
                </c:pt>
                <c:pt idx="8">
                  <c:v>7.8571428571428577</c:v>
                </c:pt>
                <c:pt idx="9">
                  <c:v>9</c:v>
                </c:pt>
                <c:pt idx="10">
                  <c:v>7.8571428571428577</c:v>
                </c:pt>
                <c:pt idx="11">
                  <c:v>5.7142857142857144</c:v>
                </c:pt>
                <c:pt idx="12">
                  <c:v>2.8571428571428572</c:v>
                </c:pt>
                <c:pt idx="13">
                  <c:v>0</c:v>
                </c:pt>
                <c:pt idx="14">
                  <c:v>-2.8571428571428572</c:v>
                </c:pt>
                <c:pt idx="15">
                  <c:v>-7.1428571428571432</c:v>
                </c:pt>
                <c:pt idx="16">
                  <c:v>-11.428571428571429</c:v>
                </c:pt>
                <c:pt idx="17">
                  <c:v>-15.714285714285715</c:v>
                </c:pt>
                <c:pt idx="18">
                  <c:v>-21.428571428571431</c:v>
                </c:pt>
              </c:numCache>
            </c:numRef>
          </c:val>
          <c:smooth val="0"/>
          <c:extLst>
            <c:ext xmlns:c16="http://schemas.microsoft.com/office/drawing/2014/chart" uri="{C3380CC4-5D6E-409C-BE32-E72D297353CC}">
              <c16:uniqueId val="{00000000-E26E-4051-B496-204A396DAA1B}"/>
            </c:ext>
          </c:extLst>
        </c:ser>
        <c:dLbls>
          <c:showLegendKey val="0"/>
          <c:showVal val="0"/>
          <c:showCatName val="0"/>
          <c:showSerName val="0"/>
          <c:showPercent val="0"/>
          <c:showBubbleSize val="0"/>
        </c:dLbls>
        <c:smooth val="0"/>
        <c:axId val="362067296"/>
        <c:axId val="362072544"/>
      </c:lineChart>
      <c:catAx>
        <c:axId val="362067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362072544"/>
        <c:crosses val="autoZero"/>
        <c:auto val="1"/>
        <c:lblAlgn val="ctr"/>
        <c:lblOffset val="100"/>
        <c:noMultiLvlLbl val="0"/>
      </c:catAx>
      <c:valAx>
        <c:axId val="3620725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362067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0.01069</cdr:x>
      <cdr:y>0.02847</cdr:y>
    </cdr:from>
    <cdr:to>
      <cdr:x>0.12542</cdr:x>
      <cdr:y>0.17361</cdr:y>
    </cdr:to>
    <cdr:sp macro="" textlink="">
      <cdr:nvSpPr>
        <cdr:cNvPr id="2" name="Zone de texte 6"/>
        <cdr:cNvSpPr txBox="1"/>
      </cdr:nvSpPr>
      <cdr:spPr>
        <a:xfrm xmlns:a="http://schemas.openxmlformats.org/drawingml/2006/main">
          <a:off x="48895" y="78105"/>
          <a:ext cx="524510" cy="39814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just">
            <a:spcAft>
              <a:spcPts val="0"/>
            </a:spcAft>
          </a:pPr>
          <a:r>
            <a:rPr lang="en-GB" sz="1100">
              <a:effectLst/>
              <a:latin typeface="Times New Roman" panose="02020603050405020304" pitchFamily="18" charset="0"/>
              <a:ea typeface="Times New Roman" panose="02020603050405020304" pitchFamily="18" charset="0"/>
            </a:rPr>
            <a:t>dB</a:t>
          </a:r>
          <a:endParaRPr lang="fr-FR" sz="1100">
            <a:effectLst/>
            <a:latin typeface="Times New Roman" panose="02020603050405020304" pitchFamily="18" charset="0"/>
            <a:ea typeface="Times New Roman" panose="02020603050405020304" pitchFamily="18" charset="0"/>
          </a:endParaRP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B1C62-558F-49F9-9FED-87C2418F15EF}">
  <ds:schemaRefs>
    <ds:schemaRef ds:uri="http://schemas.microsoft.com/sharepoint/v3/contenttype/forms"/>
  </ds:schemaRefs>
</ds:datastoreItem>
</file>

<file path=customXml/itemProps2.xml><?xml version="1.0" encoding="utf-8"?>
<ds:datastoreItem xmlns:ds="http://schemas.openxmlformats.org/officeDocument/2006/customXml" ds:itemID="{B20D825C-2B60-4127-B620-3E1358B2ACA5}">
  <ds:schemaRefs>
    <ds:schemaRef ds:uri="http://schemas.openxmlformats.org/officeDocument/2006/bibliography"/>
  </ds:schemaRefs>
</ds:datastoreItem>
</file>

<file path=customXml/itemProps3.xml><?xml version="1.0" encoding="utf-8"?>
<ds:datastoreItem xmlns:ds="http://schemas.openxmlformats.org/officeDocument/2006/customXml" ds:itemID="{0CCD136F-E83C-43BA-BFBB-3B8DDA528C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B4B99F-309D-4CB4-AA3E-4C7DB160F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ATMRPP_WG_WHL_1.dot</Template>
  <TotalTime>85</TotalTime>
  <Pages>10</Pages>
  <Words>2122</Words>
  <Characters>11263</Characters>
  <Application>Microsoft Office Word</Application>
  <DocSecurity>0</DocSecurity>
  <Lines>93</Lines>
  <Paragraphs>26</Paragraphs>
  <ScaleCrop>false</ScaleCrop>
  <HeadingPairs>
    <vt:vector size="6" baseType="variant">
      <vt:variant>
        <vt:lpstr>Titre</vt:lpstr>
      </vt:variant>
      <vt:variant>
        <vt:i4>1</vt:i4>
      </vt:variant>
      <vt:variant>
        <vt:lpstr>Title</vt:lpstr>
      </vt:variant>
      <vt:variant>
        <vt:i4>1</vt:i4>
      </vt:variant>
      <vt:variant>
        <vt:lpstr>Headings</vt:lpstr>
      </vt:variant>
      <vt:variant>
        <vt:i4>3</vt:i4>
      </vt:variant>
    </vt:vector>
  </HeadingPairs>
  <TitlesOfParts>
    <vt:vector size="5" baseType="lpstr">
      <vt:lpstr>1</vt:lpstr>
      <vt:lpstr>1</vt:lpstr>
      <vt:lpstr>    Just a few lines with a brief background to introduce your paper.</vt:lpstr>
      <vt:lpstr>    This MS Word template is arranged with the following margins: top 2.87 cm, botto</vt:lpstr>
      <vt:lpstr>    The meeting is invited to:</vt:lpstr>
    </vt:vector>
  </TitlesOfParts>
  <Company>ICAO</Company>
  <LinksUpToDate>false</LinksUpToDate>
  <CharactersWithSpaces>13359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Utsunomiya, Mie</cp:lastModifiedBy>
  <cp:revision>13</cp:revision>
  <cp:lastPrinted>2005-03-16T12:26:00Z</cp:lastPrinted>
  <dcterms:created xsi:type="dcterms:W3CDTF">2025-02-19T08:14:00Z</dcterms:created>
  <dcterms:modified xsi:type="dcterms:W3CDTF">2025-02-20T16:27:00Z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1d732fcd8200311a7a6039d9e28ca1b28c481ee74aa1da008a0739260095f6ba</vt:lpwstr>
  </property>
  <property fmtid="{D5CDD505-2E9C-101B-9397-08002B2CF9AE}" pid="3" name="MSIP_Label_9e3fe282-78a3-46c2-a95b-f1092c13d694_Enabled">
    <vt:lpwstr>true</vt:lpwstr>
  </property>
  <property fmtid="{D5CDD505-2E9C-101B-9397-08002B2CF9AE}" pid="4" name="MSIP_Label_9e3fe282-78a3-46c2-a95b-f1092c13d694_SetDate">
    <vt:lpwstr>2025-02-18T23:56:03Z</vt:lpwstr>
  </property>
  <property fmtid="{D5CDD505-2E9C-101B-9397-08002B2CF9AE}" pid="5" name="MSIP_Label_9e3fe282-78a3-46c2-a95b-f1092c13d694_Method">
    <vt:lpwstr>Privileged</vt:lpwstr>
  </property>
  <property fmtid="{D5CDD505-2E9C-101B-9397-08002B2CF9AE}" pid="6" name="MSIP_Label_9e3fe282-78a3-46c2-a95b-f1092c13d694_Name">
    <vt:lpwstr>THALES-CORE-07</vt:lpwstr>
  </property>
  <property fmtid="{D5CDD505-2E9C-101B-9397-08002B2CF9AE}" pid="7" name="MSIP_Label_9e3fe282-78a3-46c2-a95b-f1092c13d694_SiteId">
    <vt:lpwstr>6e603289-5e46-4e26-ac7c-03a85420a9a5</vt:lpwstr>
  </property>
  <property fmtid="{D5CDD505-2E9C-101B-9397-08002B2CF9AE}" pid="8" name="MSIP_Label_9e3fe282-78a3-46c2-a95b-f1092c13d694_ActionId">
    <vt:lpwstr>76992eac-5628-4a88-bf77-b86cb032ae5a</vt:lpwstr>
  </property>
  <property fmtid="{D5CDD505-2E9C-101B-9397-08002B2CF9AE}" pid="9" name="MSIP_Label_9e3fe282-78a3-46c2-a95b-f1092c13d694_ContentBits">
    <vt:lpwstr>0</vt:lpwstr>
  </property>
  <property fmtid="{D5CDD505-2E9C-101B-9397-08002B2CF9AE}" pid="10" name="Thales-Sensitivity">
    <vt:lpwstr>{TGOPEN-UM}</vt:lpwstr>
  </property>
</Properties>
</file>