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1241" w14:textId="77777777" w:rsidR="00C32F4A" w:rsidRPr="0034287D" w:rsidRDefault="00C32F4A" w:rsidP="00C32F4A">
      <w:pPr>
        <w:jc w:val="center"/>
        <w:rPr>
          <w:b/>
        </w:rPr>
      </w:pPr>
      <w:bookmarkStart w:id="0" w:name="_Hlk169700941"/>
      <w:r w:rsidRPr="0034287D">
        <w:rPr>
          <w:b/>
        </w:rPr>
        <w:t>FREQUENCY SPECTRUM MANAGEMENT PANEL (FSMP)</w:t>
      </w:r>
    </w:p>
    <w:p w14:paraId="78752160" w14:textId="77777777" w:rsidR="00C32F4A" w:rsidRPr="0034287D" w:rsidRDefault="00C32F4A" w:rsidP="00C32F4A">
      <w:pPr>
        <w:tabs>
          <w:tab w:val="left" w:pos="6972"/>
        </w:tabs>
        <w:jc w:val="center"/>
        <w:rPr>
          <w:b/>
        </w:rPr>
      </w:pPr>
    </w:p>
    <w:p w14:paraId="48635846" w14:textId="77777777" w:rsidR="00A64FC1" w:rsidRDefault="00A64FC1" w:rsidP="00A64FC1">
      <w:pPr>
        <w:pStyle w:val="Maintitle"/>
      </w:pPr>
      <w:r>
        <w:t>Twentieth Working Group meeting</w:t>
      </w:r>
    </w:p>
    <w:p w14:paraId="263E54DD" w14:textId="77777777" w:rsidR="00A64FC1" w:rsidRDefault="00A64FC1" w:rsidP="00A64FC1"/>
    <w:p w14:paraId="404A5E14" w14:textId="77777777" w:rsidR="00A64FC1" w:rsidRDefault="00A64FC1" w:rsidP="00A64FC1">
      <w:pPr>
        <w:tabs>
          <w:tab w:val="left" w:pos="0"/>
          <w:tab w:val="left" w:pos="1570"/>
          <w:tab w:val="left" w:pos="1857"/>
        </w:tabs>
        <w:jc w:val="center"/>
        <w:rPr>
          <w:b/>
          <w:bCs/>
          <w:szCs w:val="22"/>
        </w:rPr>
      </w:pPr>
      <w:bookmarkStart w:id="1" w:name="agenda_item"/>
      <w:bookmarkEnd w:id="1"/>
      <w:r>
        <w:rPr>
          <w:b/>
          <w:bCs/>
          <w:szCs w:val="22"/>
        </w:rPr>
        <w:t>Bangkok</w:t>
      </w:r>
      <w:r w:rsidRPr="00EB2AD4">
        <w:rPr>
          <w:b/>
          <w:bCs/>
          <w:szCs w:val="22"/>
        </w:rPr>
        <w:t xml:space="preserve">, </w:t>
      </w:r>
      <w:r>
        <w:rPr>
          <w:b/>
          <w:bCs/>
          <w:szCs w:val="22"/>
        </w:rPr>
        <w:t>Thailand</w:t>
      </w:r>
      <w:r w:rsidRPr="00EB2AD4">
        <w:rPr>
          <w:b/>
          <w:bCs/>
          <w:szCs w:val="22"/>
        </w:rPr>
        <w:t xml:space="preserve">, </w:t>
      </w:r>
      <w:r>
        <w:rPr>
          <w:b/>
          <w:bCs/>
          <w:szCs w:val="22"/>
        </w:rPr>
        <w:t>24 February</w:t>
      </w:r>
      <w:r w:rsidRPr="00EB2AD4">
        <w:rPr>
          <w:b/>
          <w:bCs/>
          <w:szCs w:val="22"/>
        </w:rPr>
        <w:t xml:space="preserve"> to </w:t>
      </w:r>
      <w:r>
        <w:rPr>
          <w:b/>
          <w:bCs/>
          <w:szCs w:val="22"/>
        </w:rPr>
        <w:t>7 March</w:t>
      </w:r>
      <w:r w:rsidRPr="00EB2AD4">
        <w:rPr>
          <w:b/>
          <w:bCs/>
          <w:szCs w:val="22"/>
        </w:rPr>
        <w:t xml:space="preserve"> 202</w:t>
      </w:r>
      <w:r>
        <w:rPr>
          <w:b/>
          <w:bCs/>
          <w:szCs w:val="22"/>
        </w:rPr>
        <w:t>5</w:t>
      </w:r>
    </w:p>
    <w:p w14:paraId="488FDCEC" w14:textId="77777777" w:rsidR="00770160" w:rsidRPr="0034287D" w:rsidRDefault="00770160">
      <w:pPr>
        <w:tabs>
          <w:tab w:val="left" w:pos="0"/>
          <w:tab w:val="left" w:pos="1570"/>
          <w:tab w:val="left" w:pos="1857"/>
        </w:tabs>
      </w:pPr>
    </w:p>
    <w:p w14:paraId="521B2AB1" w14:textId="77777777" w:rsidR="0020272F" w:rsidRPr="0034287D" w:rsidRDefault="0020272F">
      <w:pPr>
        <w:tabs>
          <w:tab w:val="left" w:pos="0"/>
          <w:tab w:val="left" w:pos="1570"/>
          <w:tab w:val="left" w:pos="1857"/>
        </w:tabs>
      </w:pPr>
    </w:p>
    <w:p w14:paraId="7741A3C9" w14:textId="4CF6BF0E" w:rsidR="00770160" w:rsidRPr="0034287D" w:rsidRDefault="00770160">
      <w:pPr>
        <w:pStyle w:val="Agendaitemtitle"/>
      </w:pPr>
      <w:r w:rsidRPr="0034287D">
        <w:t>Agenda Item </w:t>
      </w:r>
      <w:r w:rsidR="00A453A3">
        <w:t>4</w:t>
      </w:r>
      <w:r w:rsidRPr="0034287D">
        <w:t>:</w:t>
      </w:r>
      <w:r w:rsidRPr="0034287D">
        <w:tab/>
      </w:r>
      <w:r w:rsidR="00623CEB" w:rsidRPr="00623CEB">
        <w:t>Any other business</w:t>
      </w:r>
    </w:p>
    <w:p w14:paraId="2C354DE8" w14:textId="77777777" w:rsidR="00770160" w:rsidRPr="0034287D" w:rsidRDefault="00770160">
      <w:pPr>
        <w:pStyle w:val="Agendaitemtitle"/>
        <w:rPr>
          <w:b w:val="0"/>
        </w:rPr>
      </w:pPr>
    </w:p>
    <w:p w14:paraId="56210D3D" w14:textId="77777777" w:rsidR="00623CEB" w:rsidRPr="00623CEB" w:rsidRDefault="00623CEB" w:rsidP="00623CEB">
      <w:pPr>
        <w:ind w:left="1080" w:right="1080"/>
        <w:jc w:val="center"/>
        <w:rPr>
          <w:rFonts w:eastAsia="MS Mincho"/>
          <w:b/>
          <w:snapToGrid w:val="0"/>
          <w:lang w:val="en-US" w:eastAsia="ja-JP"/>
        </w:rPr>
      </w:pPr>
      <w:r w:rsidRPr="00623CEB">
        <w:rPr>
          <w:rFonts w:eastAsia="MS Mincho"/>
          <w:b/>
          <w:snapToGrid w:val="0"/>
          <w:lang w:val="en-US" w:eastAsia="ja-JP"/>
        </w:rPr>
        <w:t xml:space="preserve">Compatibility between DAA and </w:t>
      </w:r>
      <w:proofErr w:type="gramStart"/>
      <w:r w:rsidRPr="00623CEB">
        <w:rPr>
          <w:rFonts w:eastAsia="MS Mincho" w:hint="eastAsia"/>
          <w:b/>
          <w:snapToGrid w:val="0"/>
          <w:lang w:val="en-US" w:eastAsia="ja-JP"/>
        </w:rPr>
        <w:t xml:space="preserve">ASDE </w:t>
      </w:r>
      <w:r w:rsidRPr="00623CEB">
        <w:rPr>
          <w:rFonts w:eastAsia="MS Mincho"/>
          <w:b/>
          <w:snapToGrid w:val="0"/>
          <w:lang w:val="en-US" w:eastAsia="ja-JP"/>
        </w:rPr>
        <w:t xml:space="preserve"> operating</w:t>
      </w:r>
      <w:proofErr w:type="gramEnd"/>
      <w:r w:rsidRPr="00623CEB">
        <w:rPr>
          <w:rFonts w:eastAsia="MS Mincho"/>
          <w:b/>
          <w:snapToGrid w:val="0"/>
          <w:lang w:val="en-US" w:eastAsia="ja-JP"/>
        </w:rPr>
        <w:t xml:space="preserve">                                                  i</w:t>
      </w:r>
      <w:r w:rsidRPr="00623CEB">
        <w:rPr>
          <w:rFonts w:eastAsia="MS Mincho" w:hint="eastAsia"/>
          <w:b/>
          <w:snapToGrid w:val="0"/>
          <w:lang w:val="en-US" w:eastAsia="ja-JP"/>
        </w:rPr>
        <w:t xml:space="preserve">n the frequency Band </w:t>
      </w:r>
      <w:r w:rsidRPr="00623CEB">
        <w:rPr>
          <w:rFonts w:eastAsia="MS Mincho"/>
          <w:b/>
          <w:snapToGrid w:val="0"/>
          <w:lang w:val="en-US" w:eastAsia="ja-JP"/>
        </w:rPr>
        <w:t xml:space="preserve"> </w:t>
      </w:r>
      <w:r w:rsidRPr="00623CEB">
        <w:rPr>
          <w:rFonts w:eastAsia="MS Mincho" w:hint="eastAsia"/>
          <w:b/>
          <w:snapToGrid w:val="0"/>
          <w:lang w:val="en-US" w:eastAsia="ja-JP"/>
        </w:rPr>
        <w:t>24.45-24.65 GHz</w:t>
      </w:r>
      <w:r w:rsidRPr="00623CEB">
        <w:rPr>
          <w:rFonts w:eastAsia="MS Mincho"/>
          <w:b/>
          <w:snapToGrid w:val="0"/>
          <w:lang w:val="en-US" w:eastAsia="ja-JP"/>
        </w:rPr>
        <w:t xml:space="preserve"> </w:t>
      </w:r>
    </w:p>
    <w:p w14:paraId="2D78AC35" w14:textId="77777777" w:rsidR="00770160" w:rsidRPr="00623CEB" w:rsidRDefault="00770160">
      <w:pPr>
        <w:tabs>
          <w:tab w:val="left" w:pos="6972"/>
        </w:tabs>
        <w:rPr>
          <w:lang w:val="en-US"/>
        </w:rPr>
      </w:pPr>
    </w:p>
    <w:p w14:paraId="09734047" w14:textId="77777777" w:rsidR="00770160" w:rsidRDefault="00770160">
      <w:pPr>
        <w:tabs>
          <w:tab w:val="left" w:pos="6972"/>
        </w:tabs>
      </w:pPr>
    </w:p>
    <w:p w14:paraId="61F3282C" w14:textId="77777777" w:rsidR="00390B0F" w:rsidRPr="0034287D" w:rsidRDefault="00390B0F">
      <w:pPr>
        <w:tabs>
          <w:tab w:val="left" w:pos="6972"/>
        </w:tabs>
      </w:pPr>
    </w:p>
    <w:p w14:paraId="2575A129" w14:textId="4965A703" w:rsidR="00770160" w:rsidRPr="0034287D" w:rsidRDefault="00770160">
      <w:pPr>
        <w:jc w:val="center"/>
      </w:pPr>
      <w:r w:rsidRPr="0034287D">
        <w:t>(Presented by</w:t>
      </w:r>
      <w:bookmarkStart w:id="2" w:name="presented_by"/>
      <w:bookmarkEnd w:id="2"/>
      <w:r w:rsidRPr="0034287D">
        <w:t xml:space="preserve"> </w:t>
      </w:r>
      <w:r w:rsidR="00840867">
        <w:t xml:space="preserve">Abed Ferr </w:t>
      </w:r>
      <w:r w:rsidR="00990319">
        <w:t xml:space="preserve">from </w:t>
      </w:r>
      <w:r w:rsidR="004577EA">
        <w:t>NAV CANADA</w:t>
      </w:r>
      <w:r w:rsidRPr="0034287D">
        <w:t>)</w:t>
      </w:r>
    </w:p>
    <w:p w14:paraId="2CB472AB" w14:textId="77777777" w:rsidR="00770160" w:rsidRPr="0034287D" w:rsidRDefault="00770160"/>
    <w:p w14:paraId="219FDC9F" w14:textId="77777777" w:rsidR="00770160" w:rsidRPr="0034287D"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571250" w14:paraId="73409DBC" w14:textId="77777777" w:rsidTr="02F2A64A">
        <w:trPr>
          <w:cantSplit/>
          <w:trHeight w:hRule="exact" w:val="480"/>
          <w:jc w:val="center"/>
        </w:trPr>
        <w:tc>
          <w:tcPr>
            <w:tcW w:w="7200" w:type="dxa"/>
            <w:vAlign w:val="center"/>
          </w:tcPr>
          <w:p w14:paraId="0CDF72B7" w14:textId="77777777" w:rsidR="00770160" w:rsidRPr="00571250" w:rsidRDefault="00770160">
            <w:pPr>
              <w:jc w:val="center"/>
              <w:rPr>
                <w:sz w:val="24"/>
                <w:lang w:val="fr-FR"/>
              </w:rPr>
            </w:pPr>
            <w:r w:rsidRPr="00571250">
              <w:rPr>
                <w:b/>
                <w:lang w:val="fr-FR"/>
              </w:rPr>
              <w:t>SUMMARY</w:t>
            </w:r>
          </w:p>
        </w:tc>
      </w:tr>
      <w:tr w:rsidR="00770160" w:rsidRPr="00FA702C" w14:paraId="68C2F285" w14:textId="77777777" w:rsidTr="02F2A64A">
        <w:trPr>
          <w:cantSplit/>
          <w:jc w:val="center"/>
        </w:trPr>
        <w:tc>
          <w:tcPr>
            <w:tcW w:w="7200" w:type="dxa"/>
          </w:tcPr>
          <w:p w14:paraId="10F02B89" w14:textId="4235ACC0" w:rsidR="00770160" w:rsidRPr="00FA702C" w:rsidRDefault="00623CEB" w:rsidP="005A5CF3">
            <w:pPr>
              <w:pStyle w:val="2para"/>
              <w:numPr>
                <w:ilvl w:val="0"/>
                <w:numId w:val="0"/>
              </w:numPr>
            </w:pPr>
            <w:r w:rsidRPr="00032308">
              <w:rPr>
                <w:lang w:val="en-US"/>
              </w:rPr>
              <w:t xml:space="preserve">This </w:t>
            </w:r>
            <w:r>
              <w:rPr>
                <w:lang w:val="en-US" w:eastAsia="ja-JP"/>
              </w:rPr>
              <w:t>WP</w:t>
            </w:r>
            <w:r w:rsidRPr="00032308">
              <w:rPr>
                <w:lang w:val="en-US"/>
              </w:rPr>
              <w:t xml:space="preserve"> </w:t>
            </w:r>
            <w:r>
              <w:rPr>
                <w:rFonts w:hint="eastAsia"/>
                <w:lang w:val="en-US" w:eastAsia="ja-JP"/>
              </w:rPr>
              <w:t>provides</w:t>
            </w:r>
            <w:r>
              <w:rPr>
                <w:lang w:val="en-US" w:eastAsia="ja-JP"/>
              </w:rPr>
              <w:t xml:space="preserve"> an analysis of the co-</w:t>
            </w:r>
            <w:proofErr w:type="spellStart"/>
            <w:r>
              <w:rPr>
                <w:lang w:val="en-US" w:eastAsia="ja-JP"/>
              </w:rPr>
              <w:t>existance</w:t>
            </w:r>
            <w:proofErr w:type="spellEnd"/>
            <w:r>
              <w:rPr>
                <w:lang w:val="en-US" w:eastAsia="ja-JP"/>
              </w:rPr>
              <w:t xml:space="preserve"> of Detect And Avoid (DAA) radar and </w:t>
            </w:r>
            <w:r>
              <w:rPr>
                <w:rFonts w:hint="eastAsia"/>
                <w:lang w:val="en-US" w:eastAsia="ja-JP"/>
              </w:rPr>
              <w:t>Airport Surface Detection Equipment (ASDE)</w:t>
            </w:r>
            <w:r>
              <w:rPr>
                <w:lang w:val="en-US" w:eastAsia="ja-JP"/>
              </w:rPr>
              <w:t xml:space="preserve"> systems operating </w:t>
            </w:r>
            <w:r w:rsidRPr="008F1C00">
              <w:rPr>
                <w:lang w:val="en-US" w:eastAsia="ja-JP"/>
              </w:rPr>
              <w:t>in the frequency Band 24.45-24.65 GHz</w:t>
            </w:r>
            <w:r w:rsidR="00956B7A">
              <w:t>.</w:t>
            </w:r>
          </w:p>
        </w:tc>
      </w:tr>
    </w:tbl>
    <w:p w14:paraId="19DECAA9" w14:textId="77777777" w:rsidR="00770160" w:rsidRDefault="00770160"/>
    <w:p w14:paraId="31E5781C" w14:textId="77777777" w:rsidR="00390B0F" w:rsidRPr="00FA702C" w:rsidRDefault="00390B0F"/>
    <w:p w14:paraId="1F655B37" w14:textId="77777777" w:rsidR="00C417F4" w:rsidRDefault="00C417F4" w:rsidP="00C417F4">
      <w:pPr>
        <w:pStyle w:val="1Heading"/>
      </w:pPr>
      <w:r>
        <w:t>INTRODUCTION</w:t>
      </w:r>
    </w:p>
    <w:p w14:paraId="0E6909D3" w14:textId="04FDB170" w:rsidR="00C417F4" w:rsidRPr="00623CEB" w:rsidRDefault="00623CEB" w:rsidP="00623CEB">
      <w:pPr>
        <w:pStyle w:val="2para"/>
        <w:numPr>
          <w:ilvl w:val="1"/>
          <w:numId w:val="1"/>
        </w:numPr>
        <w:tabs>
          <w:tab w:val="clear" w:pos="720"/>
        </w:tabs>
        <w:spacing w:after="120"/>
        <w:ind w:left="0" w:firstLine="0"/>
        <w:rPr>
          <w:rStyle w:val="normaltextrun"/>
        </w:rPr>
      </w:pPr>
      <w:r w:rsidRPr="00623CEB">
        <w:t xml:space="preserve">The thirty-third meeting of  ITU-R Working Party 5B meeting  held in Geneva, in 11-28 November 2024, </w:t>
      </w:r>
      <w:proofErr w:type="spellStart"/>
      <w:r w:rsidRPr="00623CEB">
        <w:t>continuied</w:t>
      </w:r>
      <w:proofErr w:type="spellEnd"/>
      <w:r w:rsidRPr="00623CEB">
        <w:t xml:space="preserve"> developing the </w:t>
      </w:r>
      <w:hyperlink r:id="rId11" w:history="1">
        <w:r w:rsidRPr="00997051">
          <w:rPr>
            <w:rStyle w:val="Hyperlink"/>
            <w:i/>
            <w:iCs/>
          </w:rPr>
          <w:t xml:space="preserve">Working Document towards a Preliminary Draft New Recommendation ITU R M.[24.45-24.65 </w:t>
        </w:r>
        <w:proofErr w:type="spellStart"/>
        <w:r w:rsidRPr="00997051">
          <w:rPr>
            <w:rStyle w:val="Hyperlink"/>
            <w:i/>
            <w:iCs/>
          </w:rPr>
          <w:t>GHz_ARNS</w:t>
        </w:r>
        <w:proofErr w:type="spellEnd"/>
        <w:r w:rsidRPr="00997051">
          <w:rPr>
            <w:rStyle w:val="Hyperlink"/>
            <w:i/>
            <w:iCs/>
          </w:rPr>
          <w:t>]</w:t>
        </w:r>
      </w:hyperlink>
      <w:r w:rsidRPr="00F13F24">
        <w:rPr>
          <w:i/>
          <w:iCs/>
          <w:color w:val="0070C0"/>
        </w:rPr>
        <w:t xml:space="preserve"> </w:t>
      </w:r>
      <w:r w:rsidRPr="00623CEB">
        <w:t>– Characteristics of and protection criteria for radars operating in the aeronautical radionavigation service in the frequency band 24.45-24.65 GHz</w:t>
      </w:r>
      <w:r w:rsidR="00380303">
        <w:rPr>
          <w:rStyle w:val="normaltextrun"/>
          <w:color w:val="000000"/>
          <w:bdr w:val="none" w:sz="0" w:space="0" w:color="auto" w:frame="1"/>
        </w:rPr>
        <w:t>.</w:t>
      </w:r>
    </w:p>
    <w:p w14:paraId="753DDF5C" w14:textId="2BD6453A" w:rsidR="00623CEB" w:rsidRDefault="00623CEB" w:rsidP="00C417F4">
      <w:pPr>
        <w:pStyle w:val="2para"/>
        <w:numPr>
          <w:ilvl w:val="1"/>
          <w:numId w:val="1"/>
        </w:numPr>
        <w:tabs>
          <w:tab w:val="clear" w:pos="720"/>
        </w:tabs>
        <w:ind w:left="0" w:firstLine="0"/>
      </w:pPr>
      <w:r w:rsidRPr="00623CEB">
        <w:t>This WP considers the co-</w:t>
      </w:r>
      <w:proofErr w:type="spellStart"/>
      <w:r w:rsidRPr="00623CEB">
        <w:t>existance</w:t>
      </w:r>
      <w:proofErr w:type="spellEnd"/>
      <w:r w:rsidRPr="00623CEB">
        <w:t xml:space="preserve"> of Detect </w:t>
      </w:r>
      <w:proofErr w:type="gramStart"/>
      <w:r w:rsidRPr="00623CEB">
        <w:t>And</w:t>
      </w:r>
      <w:proofErr w:type="gramEnd"/>
      <w:r w:rsidRPr="00623CEB">
        <w:t xml:space="preserve"> Avoid (DAA) radar and Airport Surface Detection Equipment (ASDE) systems that would share the identical frequency Band 24.45-24.65 GHz, and assess ASDE system performance impacts in presence of DAA radar, and </w:t>
      </w:r>
      <w:proofErr w:type="spellStart"/>
      <w:r w:rsidRPr="00623CEB">
        <w:t>and</w:t>
      </w:r>
      <w:proofErr w:type="spellEnd"/>
      <w:r w:rsidRPr="00623CEB">
        <w:t xml:space="preserve"> propose mitigation strategies</w:t>
      </w:r>
      <w:r>
        <w:t>.</w:t>
      </w:r>
    </w:p>
    <w:p w14:paraId="6EAAAA02" w14:textId="77777777" w:rsidR="00C417F4" w:rsidRDefault="00C417F4" w:rsidP="007028A4">
      <w:pPr>
        <w:pStyle w:val="1Heading"/>
        <w:spacing w:after="120"/>
      </w:pPr>
      <w:r>
        <w:t>DISCUSSION</w:t>
      </w:r>
    </w:p>
    <w:p w14:paraId="2448FE12" w14:textId="1E3A2FC9" w:rsidR="00C417F4" w:rsidRDefault="00623CEB" w:rsidP="007028A4">
      <w:pPr>
        <w:pStyle w:val="2para"/>
        <w:numPr>
          <w:ilvl w:val="1"/>
          <w:numId w:val="1"/>
        </w:numPr>
        <w:tabs>
          <w:tab w:val="clear" w:pos="720"/>
        </w:tabs>
        <w:spacing w:after="120"/>
        <w:ind w:left="0" w:firstLine="0"/>
      </w:pPr>
      <w:r w:rsidRPr="00623CEB">
        <w:rPr>
          <w:sz w:val="24"/>
          <w:szCs w:val="24"/>
          <w:lang w:eastAsia="en-CA"/>
        </w:rPr>
        <w:t>Based on the specification of ASDE deployed in Japan in the frequency Band 24.45-24.65 GHz</w:t>
      </w:r>
      <w:r w:rsidR="00465C8A">
        <w:rPr>
          <w:sz w:val="24"/>
          <w:szCs w:val="24"/>
          <w:lang w:eastAsia="en-CA"/>
        </w:rPr>
        <w:t xml:space="preserve"> </w:t>
      </w:r>
      <w:r w:rsidR="00225CB3">
        <w:rPr>
          <w:sz w:val="24"/>
          <w:szCs w:val="24"/>
          <w:lang w:eastAsia="en-CA"/>
        </w:rPr>
        <w:t xml:space="preserve">, </w:t>
      </w:r>
      <w:hyperlink r:id="rId12" w:history="1">
        <w:r w:rsidR="00FE1982" w:rsidRPr="00997051">
          <w:rPr>
            <w:rStyle w:val="Hyperlink"/>
            <w:i/>
            <w:iCs/>
            <w:szCs w:val="22"/>
            <w:lang w:eastAsia="en-CA"/>
          </w:rPr>
          <w:t>FSMP-WG 20 IP07_ASDE specification 24.5GHz in Japan</w:t>
        </w:r>
      </w:hyperlink>
      <w:r w:rsidRPr="00623CEB">
        <w:rPr>
          <w:sz w:val="24"/>
          <w:szCs w:val="24"/>
          <w:lang w:eastAsia="en-CA"/>
        </w:rPr>
        <w:t>, the ASDE radar uses very high-peak-power, ultra-short pulses to illuminate a wide airport surface with a narrow, highly directional beam. Although the transmitted duty cycle is extremely low (approximately 0.05%), the high peak power is intended to achieve very high resolution and to overcome clutter on the ground</w:t>
      </w:r>
      <w:r w:rsidR="00055466">
        <w:t>.</w:t>
      </w:r>
    </w:p>
    <w:p w14:paraId="669E9448" w14:textId="4FCCCB12" w:rsidR="00623CEB" w:rsidRDefault="00623CEB" w:rsidP="00623CEB">
      <w:pPr>
        <w:pStyle w:val="1Heading"/>
        <w:numPr>
          <w:ilvl w:val="0"/>
          <w:numId w:val="0"/>
        </w:numPr>
        <w:spacing w:before="120" w:after="0"/>
        <w:ind w:left="2694"/>
        <w:jc w:val="center"/>
        <w:rPr>
          <w:lang w:eastAsia="en-CA"/>
        </w:rPr>
      </w:pPr>
      <w:r>
        <w:rPr>
          <w:lang w:eastAsia="en-CA"/>
        </w:rPr>
        <w:lastRenderedPageBreak/>
        <w:t xml:space="preserve">Table 1: </w:t>
      </w:r>
      <w:r w:rsidRPr="00817E69">
        <w:rPr>
          <w:lang w:eastAsia="en-CA"/>
        </w:rPr>
        <w:t>Specification of ASDEs in Japan</w:t>
      </w:r>
      <w:r>
        <w:rPr>
          <w:lang w:eastAsia="en-CA"/>
        </w:rPr>
        <w:t>.</w:t>
      </w:r>
    </w:p>
    <w:p w14:paraId="6A0E04D4" w14:textId="77777777" w:rsidR="00623CEB" w:rsidRPr="00623CEB" w:rsidRDefault="00623CEB" w:rsidP="00623CEB">
      <w:pPr>
        <w:pStyle w:val="2para"/>
        <w:spacing w:after="120"/>
        <w:rPr>
          <w:lang w:eastAsia="en-CA"/>
        </w:rPr>
      </w:pPr>
    </w:p>
    <w:tbl>
      <w:tblPr>
        <w:tblStyle w:val="TableGrid"/>
        <w:tblpPr w:leftFromText="180" w:rightFromText="180" w:vertAnchor="text" w:horzAnchor="page" w:tblpX="3403" w:tblpY="-225"/>
        <w:tblW w:w="0" w:type="auto"/>
        <w:tblLook w:val="04A0" w:firstRow="1" w:lastRow="0" w:firstColumn="1" w:lastColumn="0" w:noHBand="0" w:noVBand="1"/>
      </w:tblPr>
      <w:tblGrid>
        <w:gridCol w:w="2830"/>
        <w:gridCol w:w="2977"/>
      </w:tblGrid>
      <w:tr w:rsidR="00623CEB" w14:paraId="47FB03E8" w14:textId="77777777" w:rsidTr="00623CEB">
        <w:trPr>
          <w:trHeight w:hRule="exact" w:val="435"/>
        </w:trPr>
        <w:tc>
          <w:tcPr>
            <w:tcW w:w="2830" w:type="dxa"/>
            <w:shd w:val="clear" w:color="auto" w:fill="D9D9D9" w:themeFill="background1" w:themeFillShade="D9"/>
            <w:vAlign w:val="center"/>
          </w:tcPr>
          <w:p w14:paraId="6CAB794D" w14:textId="77777777" w:rsidR="00623CEB" w:rsidRPr="00D46CD6" w:rsidRDefault="00623CEB" w:rsidP="00623CEB">
            <w:pPr>
              <w:pStyle w:val="1Heading"/>
              <w:numPr>
                <w:ilvl w:val="0"/>
                <w:numId w:val="0"/>
              </w:numPr>
              <w:spacing w:before="0"/>
              <w:ind w:right="-110"/>
              <w:jc w:val="center"/>
              <w:rPr>
                <w:szCs w:val="22"/>
                <w:lang w:eastAsia="en-CA"/>
              </w:rPr>
            </w:pPr>
            <w:bookmarkStart w:id="3" w:name="_Hlk190782236"/>
            <w:r w:rsidRPr="00407A01">
              <w:rPr>
                <w:szCs w:val="22"/>
              </w:rPr>
              <w:t>Parameter</w:t>
            </w:r>
          </w:p>
        </w:tc>
        <w:tc>
          <w:tcPr>
            <w:tcW w:w="2977" w:type="dxa"/>
            <w:shd w:val="clear" w:color="auto" w:fill="D9D9D9" w:themeFill="background1" w:themeFillShade="D9"/>
            <w:vAlign w:val="center"/>
          </w:tcPr>
          <w:p w14:paraId="09597570" w14:textId="77777777" w:rsidR="00623CEB" w:rsidRPr="00D46CD6" w:rsidRDefault="00623CEB" w:rsidP="00623CEB">
            <w:pPr>
              <w:pStyle w:val="1Heading"/>
              <w:numPr>
                <w:ilvl w:val="0"/>
                <w:numId w:val="0"/>
              </w:numPr>
              <w:spacing w:before="0"/>
              <w:ind w:right="0"/>
              <w:jc w:val="center"/>
              <w:rPr>
                <w:szCs w:val="22"/>
                <w:lang w:eastAsia="en-CA"/>
              </w:rPr>
            </w:pPr>
            <w:r w:rsidRPr="00407A01">
              <w:rPr>
                <w:szCs w:val="22"/>
              </w:rPr>
              <w:t>Value</w:t>
            </w:r>
          </w:p>
        </w:tc>
      </w:tr>
      <w:tr w:rsidR="00623CEB" w14:paraId="1E4F2FAC" w14:textId="77777777" w:rsidTr="00623CEB">
        <w:trPr>
          <w:trHeight w:hRule="exact" w:val="430"/>
        </w:trPr>
        <w:tc>
          <w:tcPr>
            <w:tcW w:w="2830" w:type="dxa"/>
            <w:tcMar>
              <w:top w:w="0" w:type="dxa"/>
              <w:left w:w="57" w:type="dxa"/>
              <w:bottom w:w="0" w:type="dxa"/>
              <w:right w:w="57" w:type="dxa"/>
            </w:tcMar>
          </w:tcPr>
          <w:p w14:paraId="03D1BA4B" w14:textId="77777777" w:rsidR="00623CEB" w:rsidRPr="00D46CD6" w:rsidRDefault="00623CEB" w:rsidP="00623CEB">
            <w:pPr>
              <w:pStyle w:val="1Heading"/>
              <w:numPr>
                <w:ilvl w:val="0"/>
                <w:numId w:val="0"/>
              </w:numPr>
              <w:spacing w:before="0"/>
              <w:ind w:right="-110"/>
              <w:jc w:val="left"/>
              <w:rPr>
                <w:b w:val="0"/>
                <w:bCs/>
                <w:szCs w:val="22"/>
              </w:rPr>
            </w:pPr>
            <w:r w:rsidRPr="00D46CD6">
              <w:rPr>
                <w:b w:val="0"/>
                <w:bCs/>
                <w:szCs w:val="22"/>
              </w:rPr>
              <w:t>Frequency Range</w:t>
            </w:r>
          </w:p>
        </w:tc>
        <w:tc>
          <w:tcPr>
            <w:tcW w:w="2977" w:type="dxa"/>
            <w:tcMar>
              <w:top w:w="0" w:type="dxa"/>
              <w:left w:w="57" w:type="dxa"/>
              <w:bottom w:w="0" w:type="dxa"/>
              <w:right w:w="57" w:type="dxa"/>
            </w:tcMar>
          </w:tcPr>
          <w:p w14:paraId="1FE48F03" w14:textId="77777777" w:rsidR="00623CEB" w:rsidRPr="00D46CD6" w:rsidRDefault="00623CEB" w:rsidP="00623CEB">
            <w:pPr>
              <w:pStyle w:val="1Heading"/>
              <w:numPr>
                <w:ilvl w:val="0"/>
                <w:numId w:val="0"/>
              </w:numPr>
              <w:spacing w:before="0"/>
              <w:ind w:right="0"/>
              <w:rPr>
                <w:b w:val="0"/>
                <w:bCs/>
                <w:szCs w:val="22"/>
              </w:rPr>
            </w:pPr>
            <w:r w:rsidRPr="00D46CD6">
              <w:rPr>
                <w:b w:val="0"/>
                <w:bCs/>
                <w:szCs w:val="22"/>
              </w:rPr>
              <w:t>24.25 – 24.65 GHz</w:t>
            </w:r>
          </w:p>
        </w:tc>
      </w:tr>
      <w:tr w:rsidR="00623CEB" w14:paraId="65256F3F" w14:textId="77777777" w:rsidTr="00623CEB">
        <w:trPr>
          <w:trHeight w:hRule="exact" w:val="421"/>
        </w:trPr>
        <w:tc>
          <w:tcPr>
            <w:tcW w:w="2830" w:type="dxa"/>
            <w:tcMar>
              <w:top w:w="0" w:type="dxa"/>
              <w:left w:w="57" w:type="dxa"/>
              <w:bottom w:w="0" w:type="dxa"/>
              <w:right w:w="57" w:type="dxa"/>
            </w:tcMar>
          </w:tcPr>
          <w:p w14:paraId="5EE49B32" w14:textId="77777777" w:rsidR="00623CEB" w:rsidRPr="00D46CD6" w:rsidRDefault="00623CEB" w:rsidP="00623CEB">
            <w:pPr>
              <w:pStyle w:val="1Heading"/>
              <w:numPr>
                <w:ilvl w:val="0"/>
                <w:numId w:val="0"/>
              </w:numPr>
              <w:spacing w:before="0"/>
              <w:ind w:right="-110"/>
              <w:jc w:val="left"/>
              <w:rPr>
                <w:b w:val="0"/>
                <w:bCs/>
                <w:szCs w:val="22"/>
              </w:rPr>
            </w:pPr>
            <w:r w:rsidRPr="00D46CD6">
              <w:rPr>
                <w:b w:val="0"/>
                <w:bCs/>
                <w:szCs w:val="22"/>
              </w:rPr>
              <w:t>Peak Transmitter Power</w:t>
            </w:r>
          </w:p>
        </w:tc>
        <w:tc>
          <w:tcPr>
            <w:tcW w:w="2977" w:type="dxa"/>
            <w:tcMar>
              <w:top w:w="0" w:type="dxa"/>
              <w:left w:w="57" w:type="dxa"/>
              <w:bottom w:w="0" w:type="dxa"/>
              <w:right w:w="57" w:type="dxa"/>
            </w:tcMar>
          </w:tcPr>
          <w:p w14:paraId="0322B279" w14:textId="77777777" w:rsidR="00623CEB" w:rsidRPr="00D46CD6" w:rsidRDefault="00623CEB" w:rsidP="00623CEB">
            <w:pPr>
              <w:pStyle w:val="1Heading"/>
              <w:numPr>
                <w:ilvl w:val="0"/>
                <w:numId w:val="0"/>
              </w:numPr>
              <w:spacing w:before="0"/>
              <w:ind w:right="0"/>
              <w:rPr>
                <w:b w:val="0"/>
                <w:bCs/>
                <w:szCs w:val="22"/>
              </w:rPr>
            </w:pPr>
            <w:r w:rsidRPr="00D46CD6">
              <w:rPr>
                <w:b w:val="0"/>
                <w:bCs/>
                <w:szCs w:val="22"/>
              </w:rPr>
              <w:t>3 kW</w:t>
            </w:r>
          </w:p>
        </w:tc>
      </w:tr>
      <w:tr w:rsidR="00623CEB" w14:paraId="13033D45" w14:textId="77777777" w:rsidTr="00623CEB">
        <w:trPr>
          <w:trHeight w:hRule="exact" w:val="283"/>
        </w:trPr>
        <w:tc>
          <w:tcPr>
            <w:tcW w:w="2830" w:type="dxa"/>
            <w:tcMar>
              <w:top w:w="0" w:type="dxa"/>
              <w:left w:w="57" w:type="dxa"/>
              <w:bottom w:w="0" w:type="dxa"/>
              <w:right w:w="57" w:type="dxa"/>
            </w:tcMar>
          </w:tcPr>
          <w:p w14:paraId="6829B2EE" w14:textId="77777777" w:rsidR="00623CEB" w:rsidRPr="00D46CD6" w:rsidRDefault="00623CEB" w:rsidP="00623CEB">
            <w:pPr>
              <w:pStyle w:val="1Heading"/>
              <w:numPr>
                <w:ilvl w:val="0"/>
                <w:numId w:val="0"/>
              </w:numPr>
              <w:spacing w:before="0"/>
              <w:ind w:right="-110"/>
              <w:jc w:val="left"/>
              <w:rPr>
                <w:b w:val="0"/>
                <w:bCs/>
                <w:szCs w:val="22"/>
              </w:rPr>
            </w:pPr>
            <w:r w:rsidRPr="00D46CD6">
              <w:rPr>
                <w:b w:val="0"/>
                <w:bCs/>
                <w:szCs w:val="22"/>
              </w:rPr>
              <w:t>Pulse Width</w:t>
            </w:r>
          </w:p>
        </w:tc>
        <w:tc>
          <w:tcPr>
            <w:tcW w:w="2977" w:type="dxa"/>
            <w:tcMar>
              <w:top w:w="0" w:type="dxa"/>
              <w:left w:w="57" w:type="dxa"/>
              <w:bottom w:w="0" w:type="dxa"/>
              <w:right w:w="57" w:type="dxa"/>
            </w:tcMar>
          </w:tcPr>
          <w:p w14:paraId="22C24CA6" w14:textId="77777777" w:rsidR="00623CEB" w:rsidRPr="00D46CD6" w:rsidRDefault="00623CEB" w:rsidP="00623CEB">
            <w:pPr>
              <w:pStyle w:val="1Heading"/>
              <w:numPr>
                <w:ilvl w:val="0"/>
                <w:numId w:val="0"/>
              </w:numPr>
              <w:spacing w:before="0"/>
              <w:ind w:right="0"/>
              <w:rPr>
                <w:b w:val="0"/>
                <w:bCs/>
                <w:szCs w:val="22"/>
              </w:rPr>
            </w:pPr>
            <w:r w:rsidRPr="00D46CD6">
              <w:rPr>
                <w:b w:val="0"/>
                <w:bCs/>
                <w:szCs w:val="22"/>
              </w:rPr>
              <w:t>20 ns</w:t>
            </w:r>
          </w:p>
        </w:tc>
      </w:tr>
      <w:tr w:rsidR="00623CEB" w14:paraId="4611CF14" w14:textId="77777777" w:rsidTr="00623CEB">
        <w:trPr>
          <w:trHeight w:hRule="exact" w:val="429"/>
        </w:trPr>
        <w:tc>
          <w:tcPr>
            <w:tcW w:w="2830" w:type="dxa"/>
            <w:tcMar>
              <w:top w:w="0" w:type="dxa"/>
              <w:left w:w="57" w:type="dxa"/>
              <w:bottom w:w="0" w:type="dxa"/>
              <w:right w:w="57" w:type="dxa"/>
            </w:tcMar>
          </w:tcPr>
          <w:p w14:paraId="7E52460C" w14:textId="77777777" w:rsidR="00623CEB" w:rsidRPr="00D46CD6" w:rsidRDefault="00623CEB" w:rsidP="00623CEB">
            <w:pPr>
              <w:pStyle w:val="1Heading"/>
              <w:numPr>
                <w:ilvl w:val="0"/>
                <w:numId w:val="0"/>
              </w:numPr>
              <w:spacing w:before="0"/>
              <w:ind w:right="-110"/>
              <w:jc w:val="left"/>
              <w:rPr>
                <w:b w:val="0"/>
                <w:bCs/>
                <w:szCs w:val="22"/>
              </w:rPr>
            </w:pPr>
            <w:r w:rsidRPr="00D46CD6">
              <w:rPr>
                <w:b w:val="0"/>
                <w:bCs/>
                <w:szCs w:val="22"/>
              </w:rPr>
              <w:t>Pulse Repetition Frequency</w:t>
            </w:r>
          </w:p>
        </w:tc>
        <w:tc>
          <w:tcPr>
            <w:tcW w:w="2977" w:type="dxa"/>
            <w:tcMar>
              <w:top w:w="0" w:type="dxa"/>
              <w:left w:w="57" w:type="dxa"/>
              <w:bottom w:w="0" w:type="dxa"/>
              <w:right w:w="57" w:type="dxa"/>
            </w:tcMar>
          </w:tcPr>
          <w:p w14:paraId="35562D3A" w14:textId="77777777" w:rsidR="00623CEB" w:rsidRPr="00D46CD6" w:rsidRDefault="00623CEB" w:rsidP="00623CEB">
            <w:pPr>
              <w:pStyle w:val="1Heading"/>
              <w:numPr>
                <w:ilvl w:val="0"/>
                <w:numId w:val="0"/>
              </w:numPr>
              <w:spacing w:before="0"/>
              <w:ind w:right="0"/>
              <w:jc w:val="left"/>
              <w:rPr>
                <w:b w:val="0"/>
                <w:bCs/>
                <w:szCs w:val="22"/>
              </w:rPr>
            </w:pPr>
            <w:r w:rsidRPr="00D46CD6">
              <w:rPr>
                <w:b w:val="0"/>
                <w:bCs/>
                <w:szCs w:val="22"/>
              </w:rPr>
              <w:t>25,300 pulses per second</w:t>
            </w:r>
          </w:p>
        </w:tc>
      </w:tr>
      <w:tr w:rsidR="00623CEB" w14:paraId="5EC09EC8" w14:textId="77777777" w:rsidTr="00623CEB">
        <w:trPr>
          <w:trHeight w:hRule="exact" w:val="425"/>
        </w:trPr>
        <w:tc>
          <w:tcPr>
            <w:tcW w:w="2830" w:type="dxa"/>
            <w:tcMar>
              <w:top w:w="0" w:type="dxa"/>
              <w:left w:w="57" w:type="dxa"/>
              <w:bottom w:w="0" w:type="dxa"/>
              <w:right w:w="57" w:type="dxa"/>
            </w:tcMar>
          </w:tcPr>
          <w:p w14:paraId="34421745" w14:textId="77777777" w:rsidR="00623CEB" w:rsidRPr="00D46CD6" w:rsidRDefault="00623CEB" w:rsidP="00623CEB">
            <w:pPr>
              <w:pStyle w:val="1Heading"/>
              <w:numPr>
                <w:ilvl w:val="0"/>
                <w:numId w:val="0"/>
              </w:numPr>
              <w:spacing w:before="0"/>
              <w:ind w:right="-110"/>
              <w:jc w:val="left"/>
              <w:rPr>
                <w:b w:val="0"/>
                <w:bCs/>
                <w:szCs w:val="22"/>
              </w:rPr>
            </w:pPr>
            <w:r w:rsidRPr="00D46CD6">
              <w:rPr>
                <w:b w:val="0"/>
                <w:bCs/>
                <w:szCs w:val="22"/>
              </w:rPr>
              <w:t>Receiver Noise Figure</w:t>
            </w:r>
          </w:p>
        </w:tc>
        <w:tc>
          <w:tcPr>
            <w:tcW w:w="2977" w:type="dxa"/>
            <w:tcMar>
              <w:top w:w="0" w:type="dxa"/>
              <w:left w:w="57" w:type="dxa"/>
              <w:bottom w:w="0" w:type="dxa"/>
              <w:right w:w="57" w:type="dxa"/>
            </w:tcMar>
          </w:tcPr>
          <w:p w14:paraId="66838635" w14:textId="77777777" w:rsidR="00623CEB" w:rsidRPr="00D46CD6" w:rsidRDefault="00623CEB" w:rsidP="00623CEB">
            <w:pPr>
              <w:pStyle w:val="1Heading"/>
              <w:numPr>
                <w:ilvl w:val="0"/>
                <w:numId w:val="0"/>
              </w:numPr>
              <w:spacing w:before="0"/>
              <w:ind w:right="0"/>
              <w:rPr>
                <w:b w:val="0"/>
                <w:bCs/>
                <w:szCs w:val="22"/>
              </w:rPr>
            </w:pPr>
            <w:r w:rsidRPr="00D46CD6">
              <w:rPr>
                <w:b w:val="0"/>
                <w:bCs/>
                <w:szCs w:val="22"/>
              </w:rPr>
              <w:t>2 dB</w:t>
            </w:r>
          </w:p>
        </w:tc>
      </w:tr>
      <w:tr w:rsidR="00623CEB" w14:paraId="7843EF0F" w14:textId="77777777" w:rsidTr="00623CEB">
        <w:trPr>
          <w:trHeight w:hRule="exact" w:val="285"/>
        </w:trPr>
        <w:tc>
          <w:tcPr>
            <w:tcW w:w="2830" w:type="dxa"/>
            <w:tcMar>
              <w:top w:w="0" w:type="dxa"/>
              <w:left w:w="57" w:type="dxa"/>
              <w:bottom w:w="0" w:type="dxa"/>
              <w:right w:w="57" w:type="dxa"/>
            </w:tcMar>
          </w:tcPr>
          <w:p w14:paraId="1E983E58" w14:textId="77777777" w:rsidR="00623CEB" w:rsidRPr="00D46CD6" w:rsidRDefault="00623CEB" w:rsidP="00623CEB">
            <w:pPr>
              <w:pStyle w:val="1Heading"/>
              <w:numPr>
                <w:ilvl w:val="0"/>
                <w:numId w:val="0"/>
              </w:numPr>
              <w:spacing w:before="0"/>
              <w:ind w:right="-110"/>
              <w:jc w:val="left"/>
              <w:rPr>
                <w:b w:val="0"/>
                <w:bCs/>
                <w:szCs w:val="22"/>
              </w:rPr>
            </w:pPr>
            <w:r w:rsidRPr="00D46CD6">
              <w:rPr>
                <w:b w:val="0"/>
                <w:bCs/>
                <w:szCs w:val="22"/>
              </w:rPr>
              <w:t>Receiver Noise Power</w:t>
            </w:r>
          </w:p>
        </w:tc>
        <w:tc>
          <w:tcPr>
            <w:tcW w:w="2977" w:type="dxa"/>
            <w:tcMar>
              <w:top w:w="0" w:type="dxa"/>
              <w:left w:w="57" w:type="dxa"/>
              <w:bottom w:w="0" w:type="dxa"/>
              <w:right w:w="57" w:type="dxa"/>
            </w:tcMar>
          </w:tcPr>
          <w:p w14:paraId="519C67B8" w14:textId="77777777" w:rsidR="00623CEB" w:rsidRPr="00D46CD6" w:rsidRDefault="00623CEB" w:rsidP="00623CEB">
            <w:pPr>
              <w:pStyle w:val="1Heading"/>
              <w:numPr>
                <w:ilvl w:val="0"/>
                <w:numId w:val="0"/>
              </w:numPr>
              <w:spacing w:before="0"/>
              <w:ind w:right="0"/>
              <w:rPr>
                <w:b w:val="0"/>
                <w:bCs/>
                <w:szCs w:val="22"/>
              </w:rPr>
            </w:pPr>
            <w:r w:rsidRPr="00D46CD6">
              <w:rPr>
                <w:b w:val="0"/>
                <w:bCs/>
                <w:szCs w:val="22"/>
              </w:rPr>
              <w:t>–105 dBm</w:t>
            </w:r>
          </w:p>
        </w:tc>
      </w:tr>
      <w:tr w:rsidR="00623CEB" w14:paraId="2E45A906" w14:textId="77777777" w:rsidTr="00623CEB">
        <w:trPr>
          <w:trHeight w:hRule="exact" w:val="417"/>
        </w:trPr>
        <w:tc>
          <w:tcPr>
            <w:tcW w:w="2830" w:type="dxa"/>
            <w:tcMar>
              <w:top w:w="0" w:type="dxa"/>
              <w:left w:w="57" w:type="dxa"/>
              <w:bottom w:w="0" w:type="dxa"/>
              <w:right w:w="57" w:type="dxa"/>
            </w:tcMar>
          </w:tcPr>
          <w:p w14:paraId="6136FDE5" w14:textId="77777777" w:rsidR="00623CEB" w:rsidRPr="00D46CD6" w:rsidRDefault="00623CEB" w:rsidP="00623CEB">
            <w:pPr>
              <w:pStyle w:val="1Heading"/>
              <w:numPr>
                <w:ilvl w:val="0"/>
                <w:numId w:val="0"/>
              </w:numPr>
              <w:spacing w:before="0"/>
              <w:ind w:right="-110"/>
              <w:jc w:val="left"/>
              <w:rPr>
                <w:b w:val="0"/>
                <w:bCs/>
                <w:szCs w:val="22"/>
              </w:rPr>
            </w:pPr>
            <w:r w:rsidRPr="00D46CD6">
              <w:rPr>
                <w:b w:val="0"/>
                <w:bCs/>
                <w:szCs w:val="22"/>
              </w:rPr>
              <w:t>Horizontal Beamwidth</w:t>
            </w:r>
          </w:p>
        </w:tc>
        <w:tc>
          <w:tcPr>
            <w:tcW w:w="2977" w:type="dxa"/>
            <w:tcMar>
              <w:top w:w="0" w:type="dxa"/>
              <w:left w:w="57" w:type="dxa"/>
              <w:bottom w:w="0" w:type="dxa"/>
              <w:right w:w="57" w:type="dxa"/>
            </w:tcMar>
          </w:tcPr>
          <w:p w14:paraId="15B72651" w14:textId="77777777" w:rsidR="00623CEB" w:rsidRPr="00D46CD6" w:rsidRDefault="00623CEB" w:rsidP="00623CEB">
            <w:pPr>
              <w:pStyle w:val="1Heading"/>
              <w:numPr>
                <w:ilvl w:val="0"/>
                <w:numId w:val="0"/>
              </w:numPr>
              <w:spacing w:before="0"/>
              <w:ind w:right="0"/>
              <w:rPr>
                <w:b w:val="0"/>
                <w:bCs/>
                <w:szCs w:val="22"/>
              </w:rPr>
            </w:pPr>
            <w:r w:rsidRPr="00D46CD6">
              <w:rPr>
                <w:b w:val="0"/>
                <w:bCs/>
                <w:szCs w:val="22"/>
              </w:rPr>
              <w:t>0.3°</w:t>
            </w:r>
          </w:p>
        </w:tc>
      </w:tr>
      <w:tr w:rsidR="00623CEB" w14:paraId="1A282744" w14:textId="77777777" w:rsidTr="00623CEB">
        <w:trPr>
          <w:trHeight w:hRule="exact" w:val="294"/>
        </w:trPr>
        <w:tc>
          <w:tcPr>
            <w:tcW w:w="2830" w:type="dxa"/>
            <w:tcMar>
              <w:top w:w="0" w:type="dxa"/>
              <w:left w:w="57" w:type="dxa"/>
              <w:bottom w:w="0" w:type="dxa"/>
              <w:right w:w="57" w:type="dxa"/>
            </w:tcMar>
          </w:tcPr>
          <w:p w14:paraId="41721C7A" w14:textId="77777777" w:rsidR="00623CEB" w:rsidRPr="00D46CD6" w:rsidRDefault="00623CEB" w:rsidP="00623CEB">
            <w:pPr>
              <w:pStyle w:val="1Heading"/>
              <w:numPr>
                <w:ilvl w:val="0"/>
                <w:numId w:val="0"/>
              </w:numPr>
              <w:spacing w:before="0"/>
              <w:ind w:right="-110"/>
              <w:jc w:val="left"/>
              <w:rPr>
                <w:b w:val="0"/>
                <w:bCs/>
                <w:szCs w:val="22"/>
              </w:rPr>
            </w:pPr>
            <w:r w:rsidRPr="00D46CD6">
              <w:rPr>
                <w:b w:val="0"/>
                <w:bCs/>
                <w:szCs w:val="22"/>
              </w:rPr>
              <w:t>Polarization</w:t>
            </w:r>
          </w:p>
        </w:tc>
        <w:tc>
          <w:tcPr>
            <w:tcW w:w="2977" w:type="dxa"/>
            <w:tcMar>
              <w:top w:w="0" w:type="dxa"/>
              <w:left w:w="57" w:type="dxa"/>
              <w:bottom w:w="0" w:type="dxa"/>
              <w:right w:w="57" w:type="dxa"/>
            </w:tcMar>
          </w:tcPr>
          <w:p w14:paraId="51BB513B" w14:textId="77777777" w:rsidR="00623CEB" w:rsidRPr="00D46CD6" w:rsidRDefault="00623CEB" w:rsidP="00623CEB">
            <w:pPr>
              <w:pStyle w:val="1Heading"/>
              <w:numPr>
                <w:ilvl w:val="0"/>
                <w:numId w:val="0"/>
              </w:numPr>
              <w:spacing w:before="0"/>
              <w:ind w:right="0"/>
              <w:rPr>
                <w:b w:val="0"/>
                <w:bCs/>
                <w:szCs w:val="22"/>
              </w:rPr>
            </w:pPr>
            <w:r w:rsidRPr="00D46CD6">
              <w:rPr>
                <w:b w:val="0"/>
                <w:bCs/>
                <w:szCs w:val="22"/>
              </w:rPr>
              <w:t>Circular</w:t>
            </w:r>
          </w:p>
        </w:tc>
      </w:tr>
      <w:tr w:rsidR="00623CEB" w14:paraId="78141B4C" w14:textId="77777777" w:rsidTr="00623CEB">
        <w:trPr>
          <w:trHeight w:hRule="exact" w:val="412"/>
        </w:trPr>
        <w:tc>
          <w:tcPr>
            <w:tcW w:w="2830" w:type="dxa"/>
            <w:tcMar>
              <w:top w:w="0" w:type="dxa"/>
              <w:left w:w="57" w:type="dxa"/>
              <w:bottom w:w="0" w:type="dxa"/>
              <w:right w:w="57" w:type="dxa"/>
            </w:tcMar>
          </w:tcPr>
          <w:p w14:paraId="11772596" w14:textId="77777777" w:rsidR="00623CEB" w:rsidRPr="00D46CD6" w:rsidRDefault="00623CEB" w:rsidP="00623CEB">
            <w:pPr>
              <w:pStyle w:val="1Heading"/>
              <w:numPr>
                <w:ilvl w:val="0"/>
                <w:numId w:val="0"/>
              </w:numPr>
              <w:spacing w:before="0"/>
              <w:ind w:right="-110"/>
              <w:jc w:val="left"/>
              <w:rPr>
                <w:b w:val="0"/>
                <w:bCs/>
                <w:szCs w:val="22"/>
              </w:rPr>
            </w:pPr>
            <w:r w:rsidRPr="00D46CD6">
              <w:rPr>
                <w:b w:val="0"/>
                <w:bCs/>
                <w:szCs w:val="22"/>
              </w:rPr>
              <w:t>Antenna Gain</w:t>
            </w:r>
          </w:p>
        </w:tc>
        <w:tc>
          <w:tcPr>
            <w:tcW w:w="2977" w:type="dxa"/>
            <w:tcMar>
              <w:top w:w="0" w:type="dxa"/>
              <w:left w:w="57" w:type="dxa"/>
              <w:bottom w:w="0" w:type="dxa"/>
              <w:right w:w="57" w:type="dxa"/>
            </w:tcMar>
          </w:tcPr>
          <w:p w14:paraId="22E9A2B7" w14:textId="77777777" w:rsidR="00623CEB" w:rsidRPr="00D46CD6" w:rsidRDefault="00623CEB" w:rsidP="00623CEB">
            <w:pPr>
              <w:pStyle w:val="1Heading"/>
              <w:numPr>
                <w:ilvl w:val="0"/>
                <w:numId w:val="0"/>
              </w:numPr>
              <w:spacing w:before="0"/>
              <w:ind w:right="0"/>
              <w:jc w:val="left"/>
              <w:rPr>
                <w:b w:val="0"/>
                <w:bCs/>
                <w:szCs w:val="22"/>
              </w:rPr>
            </w:pPr>
            <w:r w:rsidRPr="00D46CD6">
              <w:rPr>
                <w:b w:val="0"/>
                <w:bCs/>
                <w:szCs w:val="22"/>
              </w:rPr>
              <w:t xml:space="preserve">45 </w:t>
            </w:r>
            <w:proofErr w:type="spellStart"/>
            <w:r w:rsidRPr="00D46CD6">
              <w:rPr>
                <w:b w:val="0"/>
                <w:bCs/>
                <w:szCs w:val="22"/>
              </w:rPr>
              <w:t>dBi</w:t>
            </w:r>
            <w:proofErr w:type="spellEnd"/>
          </w:p>
        </w:tc>
      </w:tr>
      <w:tr w:rsidR="00623CEB" w14:paraId="0671CF7E" w14:textId="77777777" w:rsidTr="00623CEB">
        <w:trPr>
          <w:trHeight w:hRule="exact" w:val="276"/>
        </w:trPr>
        <w:tc>
          <w:tcPr>
            <w:tcW w:w="2830" w:type="dxa"/>
            <w:tcMar>
              <w:top w:w="0" w:type="dxa"/>
              <w:left w:w="57" w:type="dxa"/>
              <w:bottom w:w="0" w:type="dxa"/>
              <w:right w:w="57" w:type="dxa"/>
            </w:tcMar>
          </w:tcPr>
          <w:p w14:paraId="36682420" w14:textId="77777777" w:rsidR="00623CEB" w:rsidRPr="00D46CD6" w:rsidRDefault="00623CEB" w:rsidP="00623CEB">
            <w:pPr>
              <w:pStyle w:val="1Heading"/>
              <w:numPr>
                <w:ilvl w:val="0"/>
                <w:numId w:val="0"/>
              </w:numPr>
              <w:spacing w:before="0"/>
              <w:ind w:right="-110"/>
              <w:jc w:val="left"/>
              <w:rPr>
                <w:b w:val="0"/>
                <w:bCs/>
                <w:szCs w:val="22"/>
              </w:rPr>
            </w:pPr>
            <w:r w:rsidRPr="00407A01">
              <w:rPr>
                <w:b w:val="0"/>
                <w:bCs/>
                <w:szCs w:val="22"/>
              </w:rPr>
              <w:t>Antenna Rotations</w:t>
            </w:r>
          </w:p>
        </w:tc>
        <w:tc>
          <w:tcPr>
            <w:tcW w:w="2977" w:type="dxa"/>
            <w:tcMar>
              <w:top w:w="0" w:type="dxa"/>
              <w:left w:w="57" w:type="dxa"/>
              <w:bottom w:w="0" w:type="dxa"/>
              <w:right w:w="57" w:type="dxa"/>
            </w:tcMar>
          </w:tcPr>
          <w:p w14:paraId="543EC0A8" w14:textId="77777777" w:rsidR="00623CEB" w:rsidRPr="00D46CD6" w:rsidRDefault="00623CEB" w:rsidP="00623CEB">
            <w:pPr>
              <w:pStyle w:val="1Heading"/>
              <w:numPr>
                <w:ilvl w:val="0"/>
                <w:numId w:val="0"/>
              </w:numPr>
              <w:spacing w:before="0"/>
              <w:ind w:right="0"/>
              <w:jc w:val="left"/>
              <w:rPr>
                <w:b w:val="0"/>
                <w:bCs/>
                <w:szCs w:val="22"/>
              </w:rPr>
            </w:pPr>
            <w:r w:rsidRPr="00407A01">
              <w:rPr>
                <w:b w:val="0"/>
                <w:bCs/>
                <w:szCs w:val="22"/>
              </w:rPr>
              <w:t>60 rpm</w:t>
            </w:r>
          </w:p>
        </w:tc>
      </w:tr>
      <w:bookmarkEnd w:id="3"/>
    </w:tbl>
    <w:p w14:paraId="40A30210" w14:textId="77777777" w:rsidR="00623CEB" w:rsidRDefault="00623CEB" w:rsidP="00623CEB">
      <w:pPr>
        <w:pStyle w:val="2para"/>
        <w:numPr>
          <w:ilvl w:val="0"/>
          <w:numId w:val="0"/>
        </w:numPr>
      </w:pPr>
    </w:p>
    <w:p w14:paraId="00B13632" w14:textId="77777777" w:rsidR="00623CEB" w:rsidRDefault="00623CEB" w:rsidP="00623CEB">
      <w:pPr>
        <w:pStyle w:val="2para"/>
        <w:numPr>
          <w:ilvl w:val="0"/>
          <w:numId w:val="0"/>
        </w:numPr>
      </w:pPr>
    </w:p>
    <w:p w14:paraId="566DCDA3" w14:textId="77777777" w:rsidR="00623CEB" w:rsidRDefault="00623CEB" w:rsidP="00623CEB">
      <w:pPr>
        <w:pStyle w:val="2para"/>
        <w:numPr>
          <w:ilvl w:val="0"/>
          <w:numId w:val="0"/>
        </w:numPr>
      </w:pPr>
    </w:p>
    <w:p w14:paraId="6209FFC1" w14:textId="77777777" w:rsidR="00623CEB" w:rsidRDefault="00623CEB" w:rsidP="00623CEB">
      <w:pPr>
        <w:pStyle w:val="2para"/>
        <w:numPr>
          <w:ilvl w:val="0"/>
          <w:numId w:val="0"/>
        </w:numPr>
      </w:pPr>
    </w:p>
    <w:p w14:paraId="4B980934" w14:textId="77777777" w:rsidR="00623CEB" w:rsidRDefault="00623CEB" w:rsidP="00623CEB">
      <w:pPr>
        <w:pStyle w:val="2para"/>
        <w:numPr>
          <w:ilvl w:val="0"/>
          <w:numId w:val="0"/>
        </w:numPr>
      </w:pPr>
    </w:p>
    <w:p w14:paraId="54D31C46" w14:textId="77777777" w:rsidR="00623CEB" w:rsidRDefault="00623CEB" w:rsidP="00623CEB">
      <w:pPr>
        <w:pStyle w:val="2para"/>
        <w:numPr>
          <w:ilvl w:val="0"/>
          <w:numId w:val="0"/>
        </w:numPr>
      </w:pPr>
    </w:p>
    <w:p w14:paraId="43AC36F2" w14:textId="77777777" w:rsidR="00623CEB" w:rsidRDefault="00623CEB" w:rsidP="00623CEB">
      <w:pPr>
        <w:pStyle w:val="2para"/>
        <w:numPr>
          <w:ilvl w:val="0"/>
          <w:numId w:val="0"/>
        </w:numPr>
      </w:pPr>
    </w:p>
    <w:p w14:paraId="549201BC" w14:textId="77777777" w:rsidR="00623CEB" w:rsidRDefault="00623CEB" w:rsidP="00623CEB">
      <w:pPr>
        <w:pStyle w:val="2para"/>
        <w:numPr>
          <w:ilvl w:val="0"/>
          <w:numId w:val="0"/>
        </w:numPr>
      </w:pPr>
    </w:p>
    <w:p w14:paraId="1AD73A37" w14:textId="77777777" w:rsidR="00623CEB" w:rsidRDefault="00623CEB" w:rsidP="00623CEB">
      <w:pPr>
        <w:pStyle w:val="2para"/>
        <w:numPr>
          <w:ilvl w:val="0"/>
          <w:numId w:val="0"/>
        </w:numPr>
      </w:pPr>
    </w:p>
    <w:p w14:paraId="1F47CF62" w14:textId="0382A5F8" w:rsidR="00C417F4" w:rsidRDefault="00623CEB" w:rsidP="00623CEB">
      <w:pPr>
        <w:pStyle w:val="2para"/>
        <w:numPr>
          <w:ilvl w:val="1"/>
          <w:numId w:val="1"/>
        </w:numPr>
        <w:tabs>
          <w:tab w:val="clear" w:pos="720"/>
        </w:tabs>
        <w:spacing w:after="0"/>
        <w:ind w:left="0" w:firstLine="0"/>
      </w:pPr>
      <w:r w:rsidRPr="00817E69">
        <w:rPr>
          <w:sz w:val="24"/>
          <w:szCs w:val="24"/>
          <w:lang w:eastAsia="en-CA"/>
        </w:rPr>
        <w:t>The document being established by WP 5B</w:t>
      </w:r>
      <w:r>
        <w:rPr>
          <w:sz w:val="24"/>
          <w:szCs w:val="24"/>
          <w:lang w:eastAsia="en-CA"/>
        </w:rPr>
        <w:t xml:space="preserve"> mentions (03) </w:t>
      </w:r>
      <w:r w:rsidRPr="0068633E">
        <w:rPr>
          <w:sz w:val="24"/>
          <w:szCs w:val="24"/>
          <w:lang w:eastAsia="en-CA"/>
        </w:rPr>
        <w:t>representative DAA radars (Radar 1, Radar 2, Radar 3)</w:t>
      </w:r>
      <w:r>
        <w:rPr>
          <w:sz w:val="24"/>
          <w:szCs w:val="24"/>
          <w:lang w:eastAsia="en-CA"/>
        </w:rPr>
        <w:t xml:space="preserve"> (Table 2). </w:t>
      </w:r>
      <w:r w:rsidRPr="00E47FBD">
        <w:rPr>
          <w:sz w:val="24"/>
          <w:szCs w:val="24"/>
          <w:lang w:eastAsia="en-CA"/>
        </w:rPr>
        <w:t>These DAA systems</w:t>
      </w:r>
      <w:r>
        <w:rPr>
          <w:sz w:val="24"/>
          <w:szCs w:val="24"/>
          <w:lang w:eastAsia="en-CA"/>
        </w:rPr>
        <w:t xml:space="preserve"> are </w:t>
      </w:r>
      <w:r w:rsidRPr="00E47FBD">
        <w:rPr>
          <w:sz w:val="24"/>
          <w:szCs w:val="24"/>
          <w:lang w:eastAsia="en-CA"/>
        </w:rPr>
        <w:t>operat</w:t>
      </w:r>
      <w:r>
        <w:rPr>
          <w:sz w:val="24"/>
          <w:szCs w:val="24"/>
          <w:lang w:eastAsia="en-CA"/>
        </w:rPr>
        <w:t>ing</w:t>
      </w:r>
      <w:r w:rsidRPr="00E47FBD">
        <w:rPr>
          <w:sz w:val="24"/>
          <w:szCs w:val="24"/>
          <w:lang w:eastAsia="en-CA"/>
        </w:rPr>
        <w:t xml:space="preserve"> in 24.45–24.65 GHz, typically use longer pulses (tens to hundreds of microseconds) and operate continuously with relatively low average power</w:t>
      </w:r>
      <w:r w:rsidR="00430C40">
        <w:t>.</w:t>
      </w:r>
    </w:p>
    <w:p w14:paraId="109CA546" w14:textId="77777777" w:rsidR="00623CEB" w:rsidRDefault="00623CEB" w:rsidP="00623CEB">
      <w:pPr>
        <w:pStyle w:val="1Heading"/>
        <w:numPr>
          <w:ilvl w:val="0"/>
          <w:numId w:val="0"/>
        </w:numPr>
        <w:spacing w:before="120" w:after="0"/>
        <w:ind w:left="1559" w:right="1525"/>
        <w:jc w:val="center"/>
        <w:rPr>
          <w:lang w:eastAsia="en-CA"/>
        </w:rPr>
      </w:pPr>
      <w:r>
        <w:rPr>
          <w:lang w:eastAsia="en-CA"/>
        </w:rPr>
        <w:t xml:space="preserve">Table 2: </w:t>
      </w:r>
      <w:r w:rsidRPr="00817E69">
        <w:rPr>
          <w:lang w:eastAsia="en-CA"/>
        </w:rPr>
        <w:t>Specification of DAA radars</w:t>
      </w:r>
      <w:r>
        <w:rPr>
          <w:lang w:eastAsia="en-CA"/>
        </w:rPr>
        <w:t xml:space="preserve"> in </w:t>
      </w:r>
      <w:r w:rsidRPr="00817E69">
        <w:rPr>
          <w:lang w:eastAsia="en-CA"/>
        </w:rPr>
        <w:t>24.45–24.65 GHz</w:t>
      </w:r>
    </w:p>
    <w:p w14:paraId="647D23A0" w14:textId="77777777" w:rsidR="00623CEB" w:rsidRPr="00D46CD6" w:rsidRDefault="00623CEB" w:rsidP="00623CEB">
      <w:pPr>
        <w:pStyle w:val="1Heading"/>
        <w:numPr>
          <w:ilvl w:val="0"/>
          <w:numId w:val="0"/>
        </w:numPr>
        <w:spacing w:before="0"/>
        <w:ind w:left="720"/>
        <w:rPr>
          <w:lang w:eastAsia="en-CA"/>
        </w:rPr>
      </w:pPr>
    </w:p>
    <w:tbl>
      <w:tblPr>
        <w:tblStyle w:val="TableGrid"/>
        <w:tblpPr w:leftFromText="180" w:rightFromText="180" w:vertAnchor="text" w:horzAnchor="page" w:tblpX="1990" w:tblpY="-225"/>
        <w:tblW w:w="0" w:type="auto"/>
        <w:tblLook w:val="04A0" w:firstRow="1" w:lastRow="0" w:firstColumn="1" w:lastColumn="0" w:noHBand="0" w:noVBand="1"/>
      </w:tblPr>
      <w:tblGrid>
        <w:gridCol w:w="3743"/>
        <w:gridCol w:w="1417"/>
        <w:gridCol w:w="1560"/>
        <w:gridCol w:w="1786"/>
      </w:tblGrid>
      <w:tr w:rsidR="00623CEB" w14:paraId="3EFABBA2" w14:textId="77777777" w:rsidTr="007B141E">
        <w:trPr>
          <w:trHeight w:hRule="exact" w:val="579"/>
        </w:trPr>
        <w:tc>
          <w:tcPr>
            <w:tcW w:w="3743" w:type="dxa"/>
            <w:shd w:val="clear" w:color="auto" w:fill="D9D9D9" w:themeFill="background1" w:themeFillShade="D9"/>
            <w:tcMar>
              <w:top w:w="0" w:type="dxa"/>
              <w:left w:w="57" w:type="dxa"/>
              <w:bottom w:w="0" w:type="dxa"/>
              <w:right w:w="57" w:type="dxa"/>
            </w:tcMar>
            <w:vAlign w:val="center"/>
          </w:tcPr>
          <w:p w14:paraId="2FCCAFFB" w14:textId="77777777" w:rsidR="00623CEB" w:rsidRPr="007028A4" w:rsidRDefault="00623CEB" w:rsidP="00A113AB">
            <w:pPr>
              <w:pStyle w:val="1Heading"/>
              <w:numPr>
                <w:ilvl w:val="0"/>
                <w:numId w:val="0"/>
              </w:numPr>
              <w:ind w:right="-110"/>
              <w:jc w:val="center"/>
              <w:rPr>
                <w:szCs w:val="22"/>
                <w:lang w:eastAsia="en-CA"/>
              </w:rPr>
            </w:pPr>
            <w:r w:rsidRPr="007028A4">
              <w:rPr>
                <w:szCs w:val="22"/>
              </w:rPr>
              <w:t>Parameter</w:t>
            </w:r>
          </w:p>
        </w:tc>
        <w:tc>
          <w:tcPr>
            <w:tcW w:w="1417" w:type="dxa"/>
            <w:shd w:val="clear" w:color="auto" w:fill="D9D9D9" w:themeFill="background1" w:themeFillShade="D9"/>
            <w:tcMar>
              <w:top w:w="0" w:type="dxa"/>
              <w:left w:w="57" w:type="dxa"/>
              <w:bottom w:w="0" w:type="dxa"/>
              <w:right w:w="57" w:type="dxa"/>
            </w:tcMar>
            <w:vAlign w:val="center"/>
          </w:tcPr>
          <w:p w14:paraId="5A87F784" w14:textId="77777777" w:rsidR="00623CEB" w:rsidRPr="007028A4" w:rsidRDefault="00623CEB" w:rsidP="00A113AB">
            <w:pPr>
              <w:pStyle w:val="1Heading"/>
              <w:numPr>
                <w:ilvl w:val="0"/>
                <w:numId w:val="0"/>
              </w:numPr>
              <w:ind w:right="0"/>
              <w:jc w:val="center"/>
              <w:rPr>
                <w:szCs w:val="22"/>
                <w:lang w:eastAsia="en-CA"/>
              </w:rPr>
            </w:pPr>
            <w:r w:rsidRPr="007028A4">
              <w:rPr>
                <w:rFonts w:eastAsia="Times New Roman"/>
                <w:bCs/>
                <w:szCs w:val="22"/>
                <w:lang w:eastAsia="en-CA"/>
              </w:rPr>
              <w:t>Radar 1</w:t>
            </w:r>
          </w:p>
        </w:tc>
        <w:tc>
          <w:tcPr>
            <w:tcW w:w="1560" w:type="dxa"/>
            <w:shd w:val="clear" w:color="auto" w:fill="D9D9D9" w:themeFill="background1" w:themeFillShade="D9"/>
            <w:vAlign w:val="center"/>
          </w:tcPr>
          <w:p w14:paraId="2D2F59CC" w14:textId="77777777" w:rsidR="00623CEB" w:rsidRPr="007028A4" w:rsidRDefault="00623CEB" w:rsidP="00A113AB">
            <w:pPr>
              <w:pStyle w:val="1Heading"/>
              <w:numPr>
                <w:ilvl w:val="0"/>
                <w:numId w:val="0"/>
              </w:numPr>
              <w:ind w:right="0"/>
              <w:jc w:val="center"/>
              <w:rPr>
                <w:szCs w:val="22"/>
              </w:rPr>
            </w:pPr>
            <w:r w:rsidRPr="007028A4">
              <w:rPr>
                <w:rFonts w:eastAsia="Times New Roman"/>
                <w:bCs/>
                <w:szCs w:val="22"/>
                <w:lang w:eastAsia="en-CA"/>
              </w:rPr>
              <w:t>Radar 2</w:t>
            </w:r>
          </w:p>
        </w:tc>
        <w:tc>
          <w:tcPr>
            <w:tcW w:w="1786" w:type="dxa"/>
            <w:shd w:val="clear" w:color="auto" w:fill="D9D9D9" w:themeFill="background1" w:themeFillShade="D9"/>
            <w:vAlign w:val="center"/>
          </w:tcPr>
          <w:p w14:paraId="0C94AE98" w14:textId="77777777" w:rsidR="00623CEB" w:rsidRPr="007028A4" w:rsidRDefault="00623CEB" w:rsidP="00A113AB">
            <w:pPr>
              <w:pStyle w:val="1Heading"/>
              <w:numPr>
                <w:ilvl w:val="0"/>
                <w:numId w:val="0"/>
              </w:numPr>
              <w:ind w:right="0"/>
              <w:jc w:val="center"/>
              <w:rPr>
                <w:szCs w:val="22"/>
              </w:rPr>
            </w:pPr>
            <w:r w:rsidRPr="007028A4">
              <w:rPr>
                <w:rFonts w:eastAsia="Times New Roman"/>
                <w:bCs/>
                <w:szCs w:val="22"/>
                <w:lang w:eastAsia="en-CA"/>
              </w:rPr>
              <w:t>Radar 3</w:t>
            </w:r>
          </w:p>
        </w:tc>
      </w:tr>
      <w:tr w:rsidR="00623CEB" w14:paraId="5A826A22" w14:textId="77777777" w:rsidTr="00A113AB">
        <w:trPr>
          <w:trHeight w:hRule="exact" w:val="432"/>
        </w:trPr>
        <w:tc>
          <w:tcPr>
            <w:tcW w:w="3743" w:type="dxa"/>
            <w:tcMar>
              <w:top w:w="0" w:type="dxa"/>
              <w:left w:w="57" w:type="dxa"/>
              <w:bottom w:w="0" w:type="dxa"/>
              <w:right w:w="57" w:type="dxa"/>
            </w:tcMar>
            <w:vAlign w:val="center"/>
          </w:tcPr>
          <w:p w14:paraId="33FD1B75" w14:textId="77777777" w:rsidR="00623CEB" w:rsidRPr="007028A4" w:rsidRDefault="00623CEB" w:rsidP="00A113AB">
            <w:pPr>
              <w:pStyle w:val="1Heading"/>
              <w:numPr>
                <w:ilvl w:val="0"/>
                <w:numId w:val="0"/>
              </w:numPr>
              <w:spacing w:before="0" w:after="0"/>
              <w:ind w:right="-110"/>
              <w:jc w:val="left"/>
              <w:rPr>
                <w:b w:val="0"/>
                <w:bCs/>
                <w:szCs w:val="22"/>
                <w:lang w:eastAsia="en-CA"/>
              </w:rPr>
            </w:pPr>
            <w:r w:rsidRPr="007028A4">
              <w:rPr>
                <w:rFonts w:eastAsia="Times New Roman"/>
                <w:b w:val="0"/>
                <w:bCs/>
                <w:szCs w:val="22"/>
                <w:lang w:eastAsia="en-CA"/>
              </w:rPr>
              <w:t>Operating Range (km)</w:t>
            </w:r>
          </w:p>
        </w:tc>
        <w:tc>
          <w:tcPr>
            <w:tcW w:w="1417" w:type="dxa"/>
            <w:tcMar>
              <w:top w:w="0" w:type="dxa"/>
              <w:left w:w="57" w:type="dxa"/>
              <w:bottom w:w="0" w:type="dxa"/>
              <w:right w:w="57" w:type="dxa"/>
            </w:tcMar>
            <w:vAlign w:val="center"/>
          </w:tcPr>
          <w:p w14:paraId="101316AC" w14:textId="77777777" w:rsidR="00623CEB" w:rsidRPr="007028A4" w:rsidRDefault="00623CEB" w:rsidP="00A113AB">
            <w:pPr>
              <w:pStyle w:val="1Heading"/>
              <w:numPr>
                <w:ilvl w:val="0"/>
                <w:numId w:val="0"/>
              </w:numPr>
              <w:spacing w:before="0" w:after="0"/>
              <w:ind w:right="0"/>
              <w:rPr>
                <w:b w:val="0"/>
                <w:bCs/>
                <w:szCs w:val="22"/>
                <w:lang w:eastAsia="en-CA"/>
              </w:rPr>
            </w:pPr>
            <w:r w:rsidRPr="007028A4">
              <w:rPr>
                <w:rFonts w:eastAsia="Times New Roman"/>
                <w:b w:val="0"/>
                <w:bCs/>
                <w:szCs w:val="22"/>
                <w:lang w:eastAsia="en-CA"/>
              </w:rPr>
              <w:t>6</w:t>
            </w:r>
          </w:p>
        </w:tc>
        <w:tc>
          <w:tcPr>
            <w:tcW w:w="1560" w:type="dxa"/>
            <w:vAlign w:val="center"/>
          </w:tcPr>
          <w:p w14:paraId="47597CAE"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6</w:t>
            </w:r>
          </w:p>
        </w:tc>
        <w:tc>
          <w:tcPr>
            <w:tcW w:w="1786" w:type="dxa"/>
            <w:vAlign w:val="center"/>
          </w:tcPr>
          <w:p w14:paraId="4F1101E4"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3.5</w:t>
            </w:r>
          </w:p>
        </w:tc>
      </w:tr>
      <w:tr w:rsidR="00623CEB" w14:paraId="2A277CBE" w14:textId="77777777" w:rsidTr="00A113AB">
        <w:trPr>
          <w:trHeight w:hRule="exact" w:val="424"/>
        </w:trPr>
        <w:tc>
          <w:tcPr>
            <w:tcW w:w="3743" w:type="dxa"/>
            <w:tcMar>
              <w:top w:w="0" w:type="dxa"/>
              <w:left w:w="57" w:type="dxa"/>
              <w:bottom w:w="0" w:type="dxa"/>
              <w:right w:w="57" w:type="dxa"/>
            </w:tcMar>
            <w:vAlign w:val="center"/>
          </w:tcPr>
          <w:p w14:paraId="582E802E" w14:textId="77777777" w:rsidR="00623CEB" w:rsidRPr="007028A4" w:rsidRDefault="00623CEB" w:rsidP="00A113AB">
            <w:pPr>
              <w:pStyle w:val="1Heading"/>
              <w:numPr>
                <w:ilvl w:val="0"/>
                <w:numId w:val="0"/>
              </w:numPr>
              <w:spacing w:before="0" w:after="0"/>
              <w:ind w:right="-110"/>
              <w:jc w:val="left"/>
              <w:rPr>
                <w:b w:val="0"/>
                <w:bCs/>
                <w:szCs w:val="22"/>
                <w:lang w:eastAsia="en-CA"/>
              </w:rPr>
            </w:pPr>
            <w:r w:rsidRPr="007028A4">
              <w:rPr>
                <w:rFonts w:eastAsia="Times New Roman"/>
                <w:b w:val="0"/>
                <w:bCs/>
                <w:szCs w:val="22"/>
                <w:lang w:eastAsia="en-CA"/>
              </w:rPr>
              <w:t>RF Bandwidth (MHz)</w:t>
            </w:r>
          </w:p>
        </w:tc>
        <w:tc>
          <w:tcPr>
            <w:tcW w:w="1417" w:type="dxa"/>
            <w:tcMar>
              <w:top w:w="0" w:type="dxa"/>
              <w:left w:w="57" w:type="dxa"/>
              <w:bottom w:w="0" w:type="dxa"/>
              <w:right w:w="57" w:type="dxa"/>
            </w:tcMar>
            <w:vAlign w:val="center"/>
          </w:tcPr>
          <w:p w14:paraId="0AF838C9" w14:textId="77777777" w:rsidR="00623CEB" w:rsidRPr="007028A4" w:rsidRDefault="00623CEB" w:rsidP="00A113AB">
            <w:pPr>
              <w:pStyle w:val="1Heading"/>
              <w:numPr>
                <w:ilvl w:val="0"/>
                <w:numId w:val="0"/>
              </w:numPr>
              <w:spacing w:before="0" w:after="0"/>
              <w:ind w:right="0"/>
              <w:rPr>
                <w:b w:val="0"/>
                <w:bCs/>
                <w:szCs w:val="22"/>
                <w:lang w:eastAsia="en-CA"/>
              </w:rPr>
            </w:pPr>
            <w:r w:rsidRPr="007028A4">
              <w:rPr>
                <w:rFonts w:eastAsia="Times New Roman"/>
                <w:b w:val="0"/>
                <w:bCs/>
                <w:szCs w:val="22"/>
                <w:lang w:eastAsia="en-CA"/>
              </w:rPr>
              <w:t>45</w:t>
            </w:r>
          </w:p>
        </w:tc>
        <w:tc>
          <w:tcPr>
            <w:tcW w:w="1560" w:type="dxa"/>
            <w:vAlign w:val="center"/>
          </w:tcPr>
          <w:p w14:paraId="6FA722DA"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10–50</w:t>
            </w:r>
          </w:p>
        </w:tc>
        <w:tc>
          <w:tcPr>
            <w:tcW w:w="1786" w:type="dxa"/>
            <w:vAlign w:val="center"/>
          </w:tcPr>
          <w:p w14:paraId="79F0E8FF"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40</w:t>
            </w:r>
          </w:p>
        </w:tc>
      </w:tr>
      <w:tr w:rsidR="00623CEB" w14:paraId="4DA5CC09" w14:textId="77777777" w:rsidTr="00A113AB">
        <w:trPr>
          <w:trHeight w:hRule="exact" w:val="415"/>
        </w:trPr>
        <w:tc>
          <w:tcPr>
            <w:tcW w:w="3743" w:type="dxa"/>
            <w:tcMar>
              <w:top w:w="0" w:type="dxa"/>
              <w:left w:w="57" w:type="dxa"/>
              <w:bottom w:w="0" w:type="dxa"/>
              <w:right w:w="57" w:type="dxa"/>
            </w:tcMar>
            <w:vAlign w:val="center"/>
          </w:tcPr>
          <w:p w14:paraId="47E95379" w14:textId="77777777" w:rsidR="00623CEB" w:rsidRPr="007028A4" w:rsidRDefault="00623CEB" w:rsidP="00A113AB">
            <w:pPr>
              <w:pStyle w:val="1Heading"/>
              <w:numPr>
                <w:ilvl w:val="0"/>
                <w:numId w:val="0"/>
              </w:numPr>
              <w:spacing w:before="0" w:after="0"/>
              <w:ind w:right="-110"/>
              <w:jc w:val="left"/>
              <w:rPr>
                <w:b w:val="0"/>
                <w:bCs/>
                <w:szCs w:val="22"/>
                <w:lang w:eastAsia="en-CA"/>
              </w:rPr>
            </w:pPr>
            <w:r w:rsidRPr="007028A4">
              <w:rPr>
                <w:rFonts w:eastAsia="Times New Roman"/>
                <w:b w:val="0"/>
                <w:bCs/>
                <w:szCs w:val="22"/>
                <w:lang w:eastAsia="en-CA"/>
              </w:rPr>
              <w:t>Pulse Width (µs)</w:t>
            </w:r>
          </w:p>
        </w:tc>
        <w:tc>
          <w:tcPr>
            <w:tcW w:w="1417" w:type="dxa"/>
            <w:tcMar>
              <w:top w:w="0" w:type="dxa"/>
              <w:left w:w="57" w:type="dxa"/>
              <w:bottom w:w="0" w:type="dxa"/>
              <w:right w:w="57" w:type="dxa"/>
            </w:tcMar>
            <w:vAlign w:val="center"/>
          </w:tcPr>
          <w:p w14:paraId="5D34299D" w14:textId="77777777" w:rsidR="00623CEB" w:rsidRPr="007028A4" w:rsidRDefault="00623CEB" w:rsidP="00A113AB">
            <w:pPr>
              <w:pStyle w:val="1Heading"/>
              <w:numPr>
                <w:ilvl w:val="0"/>
                <w:numId w:val="0"/>
              </w:numPr>
              <w:spacing w:before="0" w:after="0"/>
              <w:ind w:right="0"/>
              <w:rPr>
                <w:b w:val="0"/>
                <w:bCs/>
                <w:szCs w:val="22"/>
                <w:lang w:eastAsia="en-CA"/>
              </w:rPr>
            </w:pPr>
            <w:r w:rsidRPr="007028A4">
              <w:rPr>
                <w:rFonts w:eastAsia="Times New Roman"/>
                <w:b w:val="0"/>
                <w:bCs/>
                <w:szCs w:val="22"/>
                <w:lang w:eastAsia="en-CA"/>
              </w:rPr>
              <w:t>200</w:t>
            </w:r>
          </w:p>
        </w:tc>
        <w:tc>
          <w:tcPr>
            <w:tcW w:w="1560" w:type="dxa"/>
            <w:vAlign w:val="center"/>
          </w:tcPr>
          <w:p w14:paraId="352D5203"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50–200</w:t>
            </w:r>
          </w:p>
        </w:tc>
        <w:tc>
          <w:tcPr>
            <w:tcW w:w="1786" w:type="dxa"/>
            <w:vAlign w:val="center"/>
          </w:tcPr>
          <w:p w14:paraId="26B01F19"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33 (chirp time)</w:t>
            </w:r>
          </w:p>
        </w:tc>
      </w:tr>
      <w:tr w:rsidR="00623CEB" w14:paraId="6D68E036" w14:textId="77777777" w:rsidTr="00A113AB">
        <w:trPr>
          <w:trHeight w:hRule="exact" w:val="434"/>
        </w:trPr>
        <w:tc>
          <w:tcPr>
            <w:tcW w:w="3743" w:type="dxa"/>
            <w:tcMar>
              <w:top w:w="0" w:type="dxa"/>
              <w:left w:w="57" w:type="dxa"/>
              <w:bottom w:w="0" w:type="dxa"/>
              <w:right w:w="57" w:type="dxa"/>
            </w:tcMar>
            <w:vAlign w:val="center"/>
          </w:tcPr>
          <w:p w14:paraId="6C9159D2" w14:textId="77777777" w:rsidR="00623CEB" w:rsidRPr="007028A4" w:rsidRDefault="00623CEB" w:rsidP="00A113AB">
            <w:pPr>
              <w:pStyle w:val="1Heading"/>
              <w:numPr>
                <w:ilvl w:val="0"/>
                <w:numId w:val="0"/>
              </w:numPr>
              <w:spacing w:before="0" w:after="0"/>
              <w:ind w:right="-110"/>
              <w:jc w:val="left"/>
              <w:rPr>
                <w:b w:val="0"/>
                <w:bCs/>
                <w:szCs w:val="22"/>
                <w:lang w:eastAsia="en-CA"/>
              </w:rPr>
            </w:pPr>
            <w:r w:rsidRPr="007028A4">
              <w:rPr>
                <w:rFonts w:eastAsia="Times New Roman"/>
                <w:b w:val="0"/>
                <w:bCs/>
                <w:szCs w:val="22"/>
                <w:lang w:eastAsia="en-CA"/>
              </w:rPr>
              <w:t>Pulse Repetition Frequency (kHz)</w:t>
            </w:r>
          </w:p>
        </w:tc>
        <w:tc>
          <w:tcPr>
            <w:tcW w:w="1417" w:type="dxa"/>
            <w:tcMar>
              <w:top w:w="0" w:type="dxa"/>
              <w:left w:w="57" w:type="dxa"/>
              <w:bottom w:w="0" w:type="dxa"/>
              <w:right w:w="57" w:type="dxa"/>
            </w:tcMar>
            <w:vAlign w:val="center"/>
          </w:tcPr>
          <w:p w14:paraId="1F2FC45A" w14:textId="77777777" w:rsidR="00623CEB" w:rsidRPr="007028A4" w:rsidRDefault="00623CEB" w:rsidP="00A113AB">
            <w:pPr>
              <w:pStyle w:val="1Heading"/>
              <w:numPr>
                <w:ilvl w:val="0"/>
                <w:numId w:val="0"/>
              </w:numPr>
              <w:spacing w:before="0" w:after="0"/>
              <w:ind w:right="0"/>
              <w:jc w:val="left"/>
              <w:rPr>
                <w:b w:val="0"/>
                <w:bCs/>
                <w:szCs w:val="22"/>
                <w:lang w:eastAsia="en-CA"/>
              </w:rPr>
            </w:pPr>
            <w:r w:rsidRPr="007028A4">
              <w:rPr>
                <w:rFonts w:eastAsia="Times New Roman"/>
                <w:b w:val="0"/>
                <w:bCs/>
                <w:szCs w:val="22"/>
                <w:lang w:eastAsia="en-CA"/>
              </w:rPr>
              <w:t>4.7</w:t>
            </w:r>
          </w:p>
        </w:tc>
        <w:tc>
          <w:tcPr>
            <w:tcW w:w="1560" w:type="dxa"/>
            <w:vAlign w:val="center"/>
          </w:tcPr>
          <w:p w14:paraId="068C7C4D" w14:textId="77777777" w:rsidR="00623CEB" w:rsidRPr="007028A4" w:rsidRDefault="00623CEB" w:rsidP="00A113AB">
            <w:pPr>
              <w:pStyle w:val="1Heading"/>
              <w:numPr>
                <w:ilvl w:val="0"/>
                <w:numId w:val="0"/>
              </w:numPr>
              <w:spacing w:before="0" w:after="0"/>
              <w:ind w:right="0"/>
              <w:jc w:val="left"/>
              <w:rPr>
                <w:b w:val="0"/>
                <w:bCs/>
                <w:szCs w:val="22"/>
              </w:rPr>
            </w:pPr>
            <w:r w:rsidRPr="007028A4">
              <w:rPr>
                <w:rFonts w:eastAsia="Times New Roman"/>
                <w:b w:val="0"/>
                <w:bCs/>
                <w:szCs w:val="22"/>
                <w:lang w:eastAsia="en-CA"/>
              </w:rPr>
              <w:t>2–10</w:t>
            </w:r>
          </w:p>
        </w:tc>
        <w:tc>
          <w:tcPr>
            <w:tcW w:w="1786" w:type="dxa"/>
            <w:vAlign w:val="center"/>
          </w:tcPr>
          <w:p w14:paraId="56895403" w14:textId="77777777" w:rsidR="00623CEB" w:rsidRPr="007028A4" w:rsidRDefault="00623CEB" w:rsidP="00A113AB">
            <w:pPr>
              <w:pStyle w:val="1Heading"/>
              <w:numPr>
                <w:ilvl w:val="0"/>
                <w:numId w:val="0"/>
              </w:numPr>
              <w:spacing w:before="0" w:after="0"/>
              <w:ind w:right="0"/>
              <w:jc w:val="left"/>
              <w:rPr>
                <w:b w:val="0"/>
                <w:bCs/>
                <w:szCs w:val="22"/>
              </w:rPr>
            </w:pPr>
            <w:r w:rsidRPr="007028A4">
              <w:rPr>
                <w:rFonts w:eastAsia="Times New Roman"/>
                <w:b w:val="0"/>
                <w:bCs/>
                <w:szCs w:val="22"/>
                <w:lang w:eastAsia="en-CA"/>
              </w:rPr>
              <w:t>30.3</w:t>
            </w:r>
          </w:p>
        </w:tc>
      </w:tr>
      <w:tr w:rsidR="00623CEB" w14:paraId="36F4848D" w14:textId="77777777" w:rsidTr="00A113AB">
        <w:trPr>
          <w:trHeight w:hRule="exact" w:val="426"/>
        </w:trPr>
        <w:tc>
          <w:tcPr>
            <w:tcW w:w="3743" w:type="dxa"/>
            <w:tcMar>
              <w:top w:w="0" w:type="dxa"/>
              <w:left w:w="57" w:type="dxa"/>
              <w:bottom w:w="0" w:type="dxa"/>
              <w:right w:w="57" w:type="dxa"/>
            </w:tcMar>
            <w:vAlign w:val="center"/>
          </w:tcPr>
          <w:p w14:paraId="6B6E71BF" w14:textId="77777777" w:rsidR="00623CEB" w:rsidRPr="007028A4" w:rsidRDefault="00623CEB" w:rsidP="00A113AB">
            <w:pPr>
              <w:pStyle w:val="1Heading"/>
              <w:numPr>
                <w:ilvl w:val="0"/>
                <w:numId w:val="0"/>
              </w:numPr>
              <w:spacing w:before="0" w:after="0"/>
              <w:ind w:right="-110"/>
              <w:jc w:val="left"/>
              <w:rPr>
                <w:b w:val="0"/>
                <w:bCs/>
                <w:szCs w:val="22"/>
                <w:lang w:eastAsia="en-CA"/>
              </w:rPr>
            </w:pPr>
            <w:r w:rsidRPr="007028A4">
              <w:rPr>
                <w:rFonts w:eastAsia="Times New Roman"/>
                <w:b w:val="0"/>
                <w:bCs/>
                <w:szCs w:val="22"/>
                <w:lang w:eastAsia="en-CA"/>
              </w:rPr>
              <w:t>Average Transmitter Power (W)</w:t>
            </w:r>
          </w:p>
        </w:tc>
        <w:tc>
          <w:tcPr>
            <w:tcW w:w="1417" w:type="dxa"/>
            <w:tcMar>
              <w:top w:w="0" w:type="dxa"/>
              <w:left w:w="57" w:type="dxa"/>
              <w:bottom w:w="0" w:type="dxa"/>
              <w:right w:w="57" w:type="dxa"/>
            </w:tcMar>
            <w:vAlign w:val="center"/>
          </w:tcPr>
          <w:p w14:paraId="070EAF97" w14:textId="77777777" w:rsidR="00623CEB" w:rsidRPr="007028A4" w:rsidRDefault="00623CEB" w:rsidP="00A113AB">
            <w:pPr>
              <w:pStyle w:val="1Heading"/>
              <w:numPr>
                <w:ilvl w:val="0"/>
                <w:numId w:val="0"/>
              </w:numPr>
              <w:spacing w:before="0" w:after="0"/>
              <w:ind w:right="0"/>
              <w:rPr>
                <w:b w:val="0"/>
                <w:bCs/>
                <w:szCs w:val="22"/>
                <w:lang w:eastAsia="en-CA"/>
              </w:rPr>
            </w:pPr>
            <w:r w:rsidRPr="007028A4">
              <w:rPr>
                <w:rFonts w:eastAsia="Times New Roman"/>
                <w:b w:val="0"/>
                <w:bCs/>
                <w:szCs w:val="22"/>
                <w:lang w:eastAsia="en-CA"/>
              </w:rPr>
              <w:t>2</w:t>
            </w:r>
          </w:p>
        </w:tc>
        <w:tc>
          <w:tcPr>
            <w:tcW w:w="1560" w:type="dxa"/>
            <w:vAlign w:val="center"/>
          </w:tcPr>
          <w:p w14:paraId="5972E96E"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3.2</w:t>
            </w:r>
          </w:p>
        </w:tc>
        <w:tc>
          <w:tcPr>
            <w:tcW w:w="1786" w:type="dxa"/>
            <w:vAlign w:val="center"/>
          </w:tcPr>
          <w:p w14:paraId="2871F5EE"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0.8</w:t>
            </w:r>
          </w:p>
        </w:tc>
      </w:tr>
      <w:tr w:rsidR="00623CEB" w14:paraId="22F74C3A" w14:textId="77777777" w:rsidTr="00A113AB">
        <w:trPr>
          <w:trHeight w:hRule="exact" w:val="419"/>
        </w:trPr>
        <w:tc>
          <w:tcPr>
            <w:tcW w:w="3743" w:type="dxa"/>
            <w:tcMar>
              <w:top w:w="0" w:type="dxa"/>
              <w:left w:w="57" w:type="dxa"/>
              <w:bottom w:w="0" w:type="dxa"/>
              <w:right w:w="57" w:type="dxa"/>
            </w:tcMar>
            <w:vAlign w:val="center"/>
          </w:tcPr>
          <w:p w14:paraId="5D8DEDF0" w14:textId="77777777" w:rsidR="00623CEB" w:rsidRPr="007028A4" w:rsidRDefault="00623CEB" w:rsidP="00A113AB">
            <w:pPr>
              <w:pStyle w:val="1Heading"/>
              <w:numPr>
                <w:ilvl w:val="0"/>
                <w:numId w:val="0"/>
              </w:numPr>
              <w:spacing w:before="0" w:after="0"/>
              <w:ind w:right="-110"/>
              <w:jc w:val="left"/>
              <w:rPr>
                <w:b w:val="0"/>
                <w:bCs/>
                <w:szCs w:val="22"/>
                <w:lang w:eastAsia="en-CA"/>
              </w:rPr>
            </w:pPr>
            <w:r w:rsidRPr="007028A4">
              <w:rPr>
                <w:rFonts w:eastAsia="Times New Roman"/>
                <w:b w:val="0"/>
                <w:bCs/>
                <w:szCs w:val="22"/>
                <w:lang w:eastAsia="en-CA"/>
              </w:rPr>
              <w:t>Antenna Gain (</w:t>
            </w:r>
            <w:proofErr w:type="spellStart"/>
            <w:r w:rsidRPr="007028A4">
              <w:rPr>
                <w:rFonts w:eastAsia="Times New Roman"/>
                <w:b w:val="0"/>
                <w:bCs/>
                <w:szCs w:val="22"/>
                <w:lang w:eastAsia="en-CA"/>
              </w:rPr>
              <w:t>dBi</w:t>
            </w:r>
            <w:proofErr w:type="spellEnd"/>
            <w:r w:rsidRPr="007028A4">
              <w:rPr>
                <w:rFonts w:eastAsia="Times New Roman"/>
                <w:b w:val="0"/>
                <w:bCs/>
                <w:szCs w:val="22"/>
                <w:lang w:eastAsia="en-CA"/>
              </w:rPr>
              <w:t>)</w:t>
            </w:r>
          </w:p>
        </w:tc>
        <w:tc>
          <w:tcPr>
            <w:tcW w:w="1417" w:type="dxa"/>
            <w:tcMar>
              <w:top w:w="0" w:type="dxa"/>
              <w:left w:w="57" w:type="dxa"/>
              <w:bottom w:w="0" w:type="dxa"/>
              <w:right w:w="57" w:type="dxa"/>
            </w:tcMar>
            <w:vAlign w:val="center"/>
          </w:tcPr>
          <w:p w14:paraId="28EDEC6D" w14:textId="77777777" w:rsidR="00623CEB" w:rsidRPr="007028A4" w:rsidRDefault="00623CEB" w:rsidP="00A113AB">
            <w:pPr>
              <w:pStyle w:val="1Heading"/>
              <w:numPr>
                <w:ilvl w:val="0"/>
                <w:numId w:val="0"/>
              </w:numPr>
              <w:spacing w:before="0" w:after="0"/>
              <w:ind w:right="0"/>
              <w:rPr>
                <w:b w:val="0"/>
                <w:bCs/>
                <w:szCs w:val="22"/>
                <w:lang w:eastAsia="en-CA"/>
              </w:rPr>
            </w:pPr>
            <w:r w:rsidRPr="007028A4">
              <w:rPr>
                <w:rFonts w:eastAsia="Times New Roman"/>
                <w:b w:val="0"/>
                <w:bCs/>
                <w:szCs w:val="22"/>
                <w:lang w:eastAsia="en-CA"/>
              </w:rPr>
              <w:t>21</w:t>
            </w:r>
          </w:p>
        </w:tc>
        <w:tc>
          <w:tcPr>
            <w:tcW w:w="1560" w:type="dxa"/>
            <w:vAlign w:val="center"/>
          </w:tcPr>
          <w:p w14:paraId="4A93DC13"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21</w:t>
            </w:r>
          </w:p>
        </w:tc>
        <w:tc>
          <w:tcPr>
            <w:tcW w:w="1786" w:type="dxa"/>
            <w:vAlign w:val="center"/>
          </w:tcPr>
          <w:p w14:paraId="256EB3E0"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17</w:t>
            </w:r>
          </w:p>
        </w:tc>
      </w:tr>
      <w:tr w:rsidR="00623CEB" w14:paraId="2A2C945C" w14:textId="77777777" w:rsidTr="00A113AB">
        <w:trPr>
          <w:trHeight w:hRule="exact" w:val="424"/>
        </w:trPr>
        <w:tc>
          <w:tcPr>
            <w:tcW w:w="3743" w:type="dxa"/>
            <w:tcMar>
              <w:top w:w="0" w:type="dxa"/>
              <w:left w:w="57" w:type="dxa"/>
              <w:bottom w:w="0" w:type="dxa"/>
              <w:right w:w="57" w:type="dxa"/>
            </w:tcMar>
            <w:vAlign w:val="center"/>
          </w:tcPr>
          <w:p w14:paraId="04341B39" w14:textId="77777777" w:rsidR="00623CEB" w:rsidRPr="007028A4" w:rsidRDefault="00623CEB" w:rsidP="00A113AB">
            <w:pPr>
              <w:pStyle w:val="1Heading"/>
              <w:numPr>
                <w:ilvl w:val="0"/>
                <w:numId w:val="0"/>
              </w:numPr>
              <w:spacing w:before="0" w:after="0"/>
              <w:ind w:right="-110"/>
              <w:jc w:val="left"/>
              <w:rPr>
                <w:b w:val="0"/>
                <w:bCs/>
                <w:szCs w:val="22"/>
                <w:lang w:eastAsia="en-CA"/>
              </w:rPr>
            </w:pPr>
            <w:r w:rsidRPr="007028A4">
              <w:rPr>
                <w:rFonts w:eastAsia="Times New Roman"/>
                <w:b w:val="0"/>
                <w:bCs/>
                <w:szCs w:val="22"/>
                <w:lang w:eastAsia="en-CA"/>
              </w:rPr>
              <w:t>Horizontal Beamwidth (°)</w:t>
            </w:r>
          </w:p>
        </w:tc>
        <w:tc>
          <w:tcPr>
            <w:tcW w:w="1417" w:type="dxa"/>
            <w:tcMar>
              <w:top w:w="0" w:type="dxa"/>
              <w:left w:w="57" w:type="dxa"/>
              <w:bottom w:w="0" w:type="dxa"/>
              <w:right w:w="57" w:type="dxa"/>
            </w:tcMar>
            <w:vAlign w:val="center"/>
          </w:tcPr>
          <w:p w14:paraId="5E051E7D" w14:textId="77777777" w:rsidR="00623CEB" w:rsidRPr="007028A4" w:rsidRDefault="00623CEB" w:rsidP="00A113AB">
            <w:pPr>
              <w:pStyle w:val="1Heading"/>
              <w:numPr>
                <w:ilvl w:val="0"/>
                <w:numId w:val="0"/>
              </w:numPr>
              <w:spacing w:before="0" w:after="0"/>
              <w:ind w:right="0"/>
              <w:rPr>
                <w:b w:val="0"/>
                <w:bCs/>
                <w:szCs w:val="22"/>
                <w:lang w:eastAsia="en-CA"/>
              </w:rPr>
            </w:pPr>
            <w:r w:rsidRPr="007028A4">
              <w:rPr>
                <w:rFonts w:eastAsia="Times New Roman"/>
                <w:b w:val="0"/>
                <w:bCs/>
                <w:szCs w:val="22"/>
                <w:lang w:eastAsia="en-CA"/>
              </w:rPr>
              <w:t>12</w:t>
            </w:r>
          </w:p>
        </w:tc>
        <w:tc>
          <w:tcPr>
            <w:tcW w:w="1560" w:type="dxa"/>
            <w:vAlign w:val="center"/>
          </w:tcPr>
          <w:p w14:paraId="056F97E0"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12</w:t>
            </w:r>
          </w:p>
        </w:tc>
        <w:tc>
          <w:tcPr>
            <w:tcW w:w="1786" w:type="dxa"/>
            <w:vAlign w:val="center"/>
          </w:tcPr>
          <w:p w14:paraId="25222685"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28</w:t>
            </w:r>
          </w:p>
        </w:tc>
      </w:tr>
      <w:tr w:rsidR="00623CEB" w14:paraId="14821249" w14:textId="77777777" w:rsidTr="00A113AB">
        <w:trPr>
          <w:trHeight w:hRule="exact" w:val="430"/>
        </w:trPr>
        <w:tc>
          <w:tcPr>
            <w:tcW w:w="3743" w:type="dxa"/>
            <w:tcMar>
              <w:top w:w="0" w:type="dxa"/>
              <w:left w:w="57" w:type="dxa"/>
              <w:bottom w:w="0" w:type="dxa"/>
              <w:right w:w="57" w:type="dxa"/>
            </w:tcMar>
            <w:vAlign w:val="center"/>
          </w:tcPr>
          <w:p w14:paraId="0B44514F" w14:textId="77777777" w:rsidR="00623CEB" w:rsidRPr="007028A4" w:rsidRDefault="00623CEB" w:rsidP="00A113AB">
            <w:pPr>
              <w:pStyle w:val="1Heading"/>
              <w:numPr>
                <w:ilvl w:val="0"/>
                <w:numId w:val="0"/>
              </w:numPr>
              <w:spacing w:before="0" w:after="0"/>
              <w:ind w:right="-110"/>
              <w:jc w:val="left"/>
              <w:rPr>
                <w:b w:val="0"/>
                <w:bCs/>
                <w:szCs w:val="22"/>
                <w:lang w:eastAsia="en-CA"/>
              </w:rPr>
            </w:pPr>
            <w:r w:rsidRPr="007028A4">
              <w:rPr>
                <w:rFonts w:eastAsia="Times New Roman"/>
                <w:b w:val="0"/>
                <w:bCs/>
                <w:szCs w:val="22"/>
                <w:lang w:eastAsia="en-CA"/>
              </w:rPr>
              <w:t>Polarization</w:t>
            </w:r>
          </w:p>
        </w:tc>
        <w:tc>
          <w:tcPr>
            <w:tcW w:w="1417" w:type="dxa"/>
            <w:tcMar>
              <w:top w:w="0" w:type="dxa"/>
              <w:left w:w="57" w:type="dxa"/>
              <w:bottom w:w="0" w:type="dxa"/>
              <w:right w:w="57" w:type="dxa"/>
            </w:tcMar>
            <w:vAlign w:val="center"/>
          </w:tcPr>
          <w:p w14:paraId="56F00CE7" w14:textId="77777777" w:rsidR="00623CEB" w:rsidRPr="007028A4" w:rsidRDefault="00623CEB" w:rsidP="00A113AB">
            <w:pPr>
              <w:pStyle w:val="1Heading"/>
              <w:numPr>
                <w:ilvl w:val="0"/>
                <w:numId w:val="0"/>
              </w:numPr>
              <w:spacing w:before="0" w:after="0"/>
              <w:ind w:right="0"/>
              <w:rPr>
                <w:b w:val="0"/>
                <w:bCs/>
                <w:szCs w:val="22"/>
                <w:lang w:eastAsia="en-CA"/>
              </w:rPr>
            </w:pPr>
            <w:r w:rsidRPr="007028A4">
              <w:rPr>
                <w:rFonts w:eastAsia="Times New Roman"/>
                <w:b w:val="0"/>
                <w:bCs/>
                <w:szCs w:val="22"/>
                <w:lang w:eastAsia="en-CA"/>
              </w:rPr>
              <w:t>Horizontal</w:t>
            </w:r>
          </w:p>
        </w:tc>
        <w:tc>
          <w:tcPr>
            <w:tcW w:w="1560" w:type="dxa"/>
            <w:vAlign w:val="center"/>
          </w:tcPr>
          <w:p w14:paraId="522BE584"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Horizontal</w:t>
            </w:r>
          </w:p>
        </w:tc>
        <w:tc>
          <w:tcPr>
            <w:tcW w:w="1786" w:type="dxa"/>
            <w:vAlign w:val="center"/>
          </w:tcPr>
          <w:p w14:paraId="7910CC7F" w14:textId="77777777" w:rsidR="00623CEB" w:rsidRPr="007028A4" w:rsidRDefault="00623CEB" w:rsidP="00A113AB">
            <w:pPr>
              <w:pStyle w:val="1Heading"/>
              <w:numPr>
                <w:ilvl w:val="0"/>
                <w:numId w:val="0"/>
              </w:numPr>
              <w:spacing w:before="0" w:after="0"/>
              <w:ind w:right="0"/>
              <w:rPr>
                <w:b w:val="0"/>
                <w:bCs/>
                <w:szCs w:val="22"/>
              </w:rPr>
            </w:pPr>
            <w:r w:rsidRPr="007028A4">
              <w:rPr>
                <w:rFonts w:eastAsia="Times New Roman"/>
                <w:b w:val="0"/>
                <w:bCs/>
                <w:szCs w:val="22"/>
                <w:lang w:eastAsia="en-CA"/>
              </w:rPr>
              <w:t>Vertical</w:t>
            </w:r>
          </w:p>
        </w:tc>
      </w:tr>
    </w:tbl>
    <w:p w14:paraId="4E5CD4E0" w14:textId="77777777" w:rsidR="00623CEB" w:rsidRDefault="00623CEB" w:rsidP="00623CEB">
      <w:pPr>
        <w:pStyle w:val="2para"/>
        <w:spacing w:after="0"/>
        <w:ind w:left="709" w:hanging="709"/>
        <w:rPr>
          <w:lang w:val="en-US" w:eastAsia="ja-JP"/>
        </w:rPr>
      </w:pPr>
    </w:p>
    <w:p w14:paraId="1D034295" w14:textId="77777777" w:rsidR="00623CEB" w:rsidRDefault="00623CEB" w:rsidP="00623CEB">
      <w:pPr>
        <w:pStyle w:val="2para"/>
        <w:spacing w:after="0"/>
        <w:ind w:left="709" w:hanging="709"/>
        <w:rPr>
          <w:lang w:val="en-US" w:eastAsia="ja-JP"/>
        </w:rPr>
      </w:pPr>
    </w:p>
    <w:p w14:paraId="193011F7" w14:textId="77777777" w:rsidR="00623CEB" w:rsidRDefault="00623CEB" w:rsidP="00623CEB">
      <w:pPr>
        <w:pStyle w:val="2para"/>
        <w:spacing w:after="0"/>
        <w:ind w:left="709" w:hanging="709"/>
        <w:rPr>
          <w:lang w:val="en-US" w:eastAsia="ja-JP"/>
        </w:rPr>
      </w:pPr>
    </w:p>
    <w:p w14:paraId="4ED51FB8" w14:textId="77777777" w:rsidR="00623CEB" w:rsidRDefault="00623CEB" w:rsidP="00623CEB">
      <w:pPr>
        <w:pStyle w:val="2para"/>
        <w:spacing w:after="0"/>
        <w:ind w:left="709" w:hanging="709"/>
        <w:rPr>
          <w:lang w:val="en-US" w:eastAsia="ja-JP"/>
        </w:rPr>
      </w:pPr>
    </w:p>
    <w:p w14:paraId="58C5CAD9" w14:textId="77777777" w:rsidR="00623CEB" w:rsidRDefault="00623CEB" w:rsidP="00623CEB">
      <w:pPr>
        <w:pStyle w:val="2para"/>
        <w:spacing w:after="0"/>
        <w:ind w:left="709" w:hanging="709"/>
        <w:rPr>
          <w:lang w:val="en-US" w:eastAsia="ja-JP"/>
        </w:rPr>
      </w:pPr>
    </w:p>
    <w:p w14:paraId="254B606F" w14:textId="77777777" w:rsidR="00623CEB" w:rsidRDefault="00623CEB" w:rsidP="00623CEB">
      <w:pPr>
        <w:pStyle w:val="2para"/>
        <w:spacing w:after="0"/>
        <w:ind w:left="709" w:hanging="709"/>
        <w:rPr>
          <w:lang w:val="en-US" w:eastAsia="ja-JP"/>
        </w:rPr>
      </w:pPr>
    </w:p>
    <w:p w14:paraId="627651FB" w14:textId="77777777" w:rsidR="00623CEB" w:rsidRDefault="00623CEB" w:rsidP="00623CEB">
      <w:pPr>
        <w:pStyle w:val="2para"/>
        <w:spacing w:after="0"/>
        <w:ind w:left="709" w:hanging="709"/>
        <w:rPr>
          <w:lang w:val="en-US" w:eastAsia="ja-JP"/>
        </w:rPr>
      </w:pPr>
    </w:p>
    <w:p w14:paraId="14AAEA3B" w14:textId="77777777" w:rsidR="00623CEB" w:rsidRDefault="00623CEB" w:rsidP="00623CEB">
      <w:pPr>
        <w:pStyle w:val="2para"/>
        <w:spacing w:after="0"/>
        <w:ind w:left="709" w:hanging="709"/>
        <w:rPr>
          <w:lang w:val="en-US" w:eastAsia="ja-JP"/>
        </w:rPr>
      </w:pPr>
    </w:p>
    <w:p w14:paraId="23CE942E" w14:textId="77777777" w:rsidR="00623CEB" w:rsidRDefault="00623CEB" w:rsidP="00623CEB">
      <w:pPr>
        <w:pStyle w:val="2para"/>
        <w:spacing w:after="0"/>
        <w:ind w:left="709" w:hanging="709"/>
        <w:rPr>
          <w:lang w:val="en-US" w:eastAsia="ja-JP"/>
        </w:rPr>
      </w:pPr>
    </w:p>
    <w:p w14:paraId="6968CA61" w14:textId="77777777" w:rsidR="00623CEB" w:rsidRDefault="00623CEB" w:rsidP="00623CEB">
      <w:pPr>
        <w:pStyle w:val="2para"/>
        <w:spacing w:after="0"/>
        <w:ind w:left="709" w:hanging="709"/>
        <w:rPr>
          <w:lang w:val="en-US" w:eastAsia="ja-JP"/>
        </w:rPr>
      </w:pPr>
    </w:p>
    <w:p w14:paraId="5DE0821F" w14:textId="77777777" w:rsidR="00623CEB" w:rsidRDefault="00623CEB" w:rsidP="00623CEB">
      <w:pPr>
        <w:pStyle w:val="2para"/>
        <w:spacing w:after="0"/>
        <w:ind w:left="709" w:hanging="709"/>
        <w:rPr>
          <w:lang w:val="en-US" w:eastAsia="ja-JP"/>
        </w:rPr>
      </w:pPr>
    </w:p>
    <w:p w14:paraId="7FC1C6DE" w14:textId="77777777" w:rsidR="00623CEB" w:rsidRDefault="00623CEB" w:rsidP="00623CEB">
      <w:pPr>
        <w:pStyle w:val="2para"/>
        <w:spacing w:after="0"/>
        <w:ind w:left="709" w:hanging="709"/>
        <w:rPr>
          <w:lang w:val="en-US" w:eastAsia="ja-JP"/>
        </w:rPr>
      </w:pPr>
    </w:p>
    <w:p w14:paraId="71B16394" w14:textId="77777777" w:rsidR="00623CEB" w:rsidRDefault="00623CEB" w:rsidP="00623CEB">
      <w:pPr>
        <w:pStyle w:val="2para"/>
        <w:spacing w:after="0"/>
        <w:ind w:left="709" w:hanging="709"/>
        <w:rPr>
          <w:lang w:val="en-US" w:eastAsia="ja-JP"/>
        </w:rPr>
      </w:pPr>
    </w:p>
    <w:p w14:paraId="43701905" w14:textId="77777777" w:rsidR="00623CEB" w:rsidRDefault="00623CEB" w:rsidP="00623CEB">
      <w:pPr>
        <w:pStyle w:val="2para"/>
        <w:spacing w:after="0"/>
        <w:ind w:left="709" w:hanging="709"/>
        <w:rPr>
          <w:lang w:val="en-US" w:eastAsia="ja-JP"/>
        </w:rPr>
      </w:pPr>
    </w:p>
    <w:p w14:paraId="51BDC3C3" w14:textId="77777777" w:rsidR="00623CEB" w:rsidRDefault="00623CEB" w:rsidP="00623CEB">
      <w:pPr>
        <w:pStyle w:val="2para"/>
        <w:spacing w:after="0"/>
        <w:ind w:left="709" w:hanging="709"/>
        <w:rPr>
          <w:lang w:val="en-US" w:eastAsia="ja-JP"/>
        </w:rPr>
      </w:pPr>
    </w:p>
    <w:p w14:paraId="7B94EF71" w14:textId="77777777" w:rsidR="00623CEB" w:rsidRDefault="00623CEB" w:rsidP="00623CEB">
      <w:pPr>
        <w:pStyle w:val="2para"/>
        <w:spacing w:after="0"/>
        <w:ind w:left="709" w:hanging="709"/>
        <w:rPr>
          <w:lang w:val="en-US" w:eastAsia="ja-JP"/>
        </w:rPr>
      </w:pPr>
    </w:p>
    <w:p w14:paraId="39DC4BAD" w14:textId="000B7952" w:rsidR="00623CEB" w:rsidRDefault="00623CEB" w:rsidP="00623CEB">
      <w:pPr>
        <w:pStyle w:val="2para"/>
        <w:numPr>
          <w:ilvl w:val="1"/>
          <w:numId w:val="1"/>
        </w:numPr>
        <w:tabs>
          <w:tab w:val="clear" w:pos="720"/>
        </w:tabs>
        <w:spacing w:after="120"/>
        <w:ind w:left="0" w:firstLine="0"/>
        <w:rPr>
          <w:lang w:val="en-US" w:eastAsia="ja-JP"/>
        </w:rPr>
      </w:pPr>
      <w:r>
        <w:rPr>
          <w:lang w:val="en-US" w:eastAsia="ja-JP"/>
        </w:rPr>
        <w:t>In term of spectral overlap, b</w:t>
      </w:r>
      <w:r w:rsidRPr="00075FE4">
        <w:rPr>
          <w:lang w:val="en-US" w:eastAsia="ja-JP"/>
        </w:rPr>
        <w:t>oth systems share the same overall band, with DAA operating within approximately 24.45–24.65 GHz—well within ASDE’s 24.25–24.</w:t>
      </w:r>
      <w:r w:rsidR="00D95076">
        <w:rPr>
          <w:lang w:val="en-US" w:eastAsia="ja-JP"/>
        </w:rPr>
        <w:t>6</w:t>
      </w:r>
      <w:r w:rsidRPr="00075FE4">
        <w:rPr>
          <w:lang w:val="en-US" w:eastAsia="ja-JP"/>
        </w:rPr>
        <w:t>5 GHz band.</w:t>
      </w:r>
    </w:p>
    <w:p w14:paraId="534FEEE8" w14:textId="77777777" w:rsidR="00623CEB" w:rsidRPr="00E408C5" w:rsidRDefault="00623CEB" w:rsidP="00623CEB">
      <w:pPr>
        <w:pStyle w:val="ListParagraph"/>
        <w:numPr>
          <w:ilvl w:val="1"/>
          <w:numId w:val="26"/>
        </w:numPr>
        <w:spacing w:after="100" w:afterAutospacing="1" w:line="240" w:lineRule="auto"/>
        <w:jc w:val="both"/>
        <w:rPr>
          <w:rFonts w:ascii="Times New Roman" w:eastAsia="Times New Roman" w:hAnsi="Times New Roman"/>
          <w:kern w:val="0"/>
          <w:sz w:val="24"/>
          <w:szCs w:val="24"/>
          <w:lang w:eastAsia="en-CA"/>
        </w:rPr>
      </w:pPr>
      <w:r w:rsidRPr="00E408C5">
        <w:rPr>
          <w:rFonts w:ascii="Times New Roman" w:eastAsia="Times New Roman" w:hAnsi="Times New Roman"/>
          <w:kern w:val="0"/>
          <w:sz w:val="24"/>
          <w:szCs w:val="24"/>
          <w:lang w:eastAsia="en-CA"/>
        </w:rPr>
        <w:t>ASDE Pulses: The 20 ns pulse width implies a theoretical bandwidth on the order of 1/(20 ns) ≈ 50 MHz (subject to pulse shaping).</w:t>
      </w:r>
    </w:p>
    <w:p w14:paraId="3C8D29ED" w14:textId="77777777" w:rsidR="00623CEB" w:rsidRPr="00E408C5" w:rsidRDefault="00623CEB" w:rsidP="00623CEB">
      <w:pPr>
        <w:pStyle w:val="ListParagraph"/>
        <w:numPr>
          <w:ilvl w:val="1"/>
          <w:numId w:val="26"/>
        </w:numPr>
        <w:spacing w:after="0" w:line="240" w:lineRule="auto"/>
        <w:ind w:left="1797"/>
        <w:contextualSpacing w:val="0"/>
        <w:jc w:val="both"/>
        <w:rPr>
          <w:rFonts w:ascii="Times New Roman" w:eastAsia="Times New Roman" w:hAnsi="Times New Roman"/>
          <w:kern w:val="0"/>
          <w:sz w:val="24"/>
          <w:szCs w:val="24"/>
          <w:lang w:eastAsia="en-CA"/>
        </w:rPr>
      </w:pPr>
      <w:r w:rsidRPr="00E408C5">
        <w:rPr>
          <w:rFonts w:ascii="Times New Roman" w:eastAsia="Times New Roman" w:hAnsi="Times New Roman"/>
          <w:kern w:val="0"/>
          <w:sz w:val="24"/>
          <w:szCs w:val="24"/>
          <w:lang w:eastAsia="en-CA"/>
        </w:rPr>
        <w:lastRenderedPageBreak/>
        <w:t>DAA Signals: With RF bandwidths in the 40–45 MHz range (or up to 50 MHz in some cases)</w:t>
      </w:r>
      <w:r>
        <w:rPr>
          <w:rFonts w:ascii="Times New Roman" w:eastAsia="Times New Roman" w:hAnsi="Times New Roman"/>
          <w:kern w:val="0"/>
          <w:sz w:val="24"/>
          <w:szCs w:val="24"/>
          <w:lang w:eastAsia="en-CA"/>
        </w:rPr>
        <w:t>.</w:t>
      </w:r>
    </w:p>
    <w:p w14:paraId="0E8E354E" w14:textId="77777777" w:rsidR="00623CEB" w:rsidRDefault="00623CEB" w:rsidP="00623CEB">
      <w:pPr>
        <w:pStyle w:val="2para"/>
        <w:numPr>
          <w:ilvl w:val="0"/>
          <w:numId w:val="0"/>
        </w:numPr>
        <w:rPr>
          <w:lang w:val="en-US" w:eastAsia="ja-JP"/>
        </w:rPr>
      </w:pPr>
      <w:r w:rsidRPr="00075FE4">
        <w:rPr>
          <w:lang w:val="en-US" w:eastAsia="ja-JP"/>
        </w:rPr>
        <w:t>The spectral footprints are very similar that may cause for both systems’ signal significant spectra overlap. Any DAA emission that falls within the ASDE receive filter bandwidth can appear as interference.</w:t>
      </w:r>
    </w:p>
    <w:p w14:paraId="4704E381" w14:textId="77777777" w:rsidR="00623CEB" w:rsidRPr="00623CEB" w:rsidRDefault="00623CEB" w:rsidP="00623CEB">
      <w:pPr>
        <w:pStyle w:val="2para"/>
        <w:numPr>
          <w:ilvl w:val="1"/>
          <w:numId w:val="1"/>
        </w:numPr>
        <w:tabs>
          <w:tab w:val="clear" w:pos="720"/>
        </w:tabs>
        <w:spacing w:after="120"/>
        <w:ind w:left="0" w:firstLine="0"/>
        <w:rPr>
          <w:sz w:val="24"/>
          <w:szCs w:val="24"/>
          <w:lang w:eastAsia="en-CA"/>
        </w:rPr>
      </w:pPr>
      <w:r w:rsidRPr="00623CEB">
        <w:rPr>
          <w:sz w:val="24"/>
          <w:szCs w:val="24"/>
          <w:lang w:eastAsia="en-CA"/>
        </w:rPr>
        <w:t xml:space="preserve">In </w:t>
      </w:r>
      <w:r w:rsidRPr="00623CEB">
        <w:rPr>
          <w:lang w:val="en-US" w:eastAsia="ja-JP"/>
        </w:rPr>
        <w:t>term</w:t>
      </w:r>
      <w:r w:rsidRPr="00623CEB">
        <w:rPr>
          <w:sz w:val="24"/>
          <w:szCs w:val="24"/>
          <w:lang w:eastAsia="en-CA"/>
        </w:rPr>
        <w:t xml:space="preserve"> of temporal </w:t>
      </w:r>
      <w:proofErr w:type="spellStart"/>
      <w:r w:rsidRPr="00623CEB">
        <w:rPr>
          <w:sz w:val="24"/>
          <w:szCs w:val="24"/>
          <w:lang w:eastAsia="en-CA"/>
        </w:rPr>
        <w:t>ovelap</w:t>
      </w:r>
      <w:proofErr w:type="spellEnd"/>
      <w:r w:rsidRPr="00623CEB">
        <w:rPr>
          <w:sz w:val="24"/>
          <w:szCs w:val="24"/>
          <w:lang w:eastAsia="en-CA"/>
        </w:rPr>
        <w:t xml:space="preserve">, the ASDE emits ultra-short pulses (20 ns) at 25,300 pulses per second that produces a duty cycle = PRF × pulse width ≈ 25,300 × 20 ns ≈ 0.5 </w:t>
      </w:r>
      <w:proofErr w:type="spellStart"/>
      <w:r w:rsidRPr="00623CEB">
        <w:rPr>
          <w:sz w:val="24"/>
          <w:szCs w:val="24"/>
          <w:lang w:eastAsia="en-CA"/>
        </w:rPr>
        <w:t>ms</w:t>
      </w:r>
      <w:proofErr w:type="spellEnd"/>
      <w:r w:rsidRPr="00623CEB">
        <w:rPr>
          <w:sz w:val="24"/>
          <w:szCs w:val="24"/>
          <w:lang w:eastAsia="en-CA"/>
        </w:rPr>
        <w:t xml:space="preserve">. However, the DAA uses longer pulses (33–200 µs) with lower PRFs (2–30.3 kHz), resulting in a much higher duty cycle. </w:t>
      </w:r>
    </w:p>
    <w:p w14:paraId="5D042E98" w14:textId="6F43FC03" w:rsidR="00623CEB" w:rsidRDefault="00623CEB" w:rsidP="00623CEB">
      <w:pPr>
        <w:pStyle w:val="2para"/>
        <w:numPr>
          <w:ilvl w:val="0"/>
          <w:numId w:val="0"/>
        </w:numPr>
        <w:rPr>
          <w:lang w:val="en-US" w:eastAsia="ja-JP"/>
        </w:rPr>
      </w:pPr>
      <w:r w:rsidRPr="00623CEB">
        <w:rPr>
          <w:lang w:val="en-US" w:eastAsia="ja-JP"/>
        </w:rPr>
        <w:t xml:space="preserve">Even though the ASDE pulses are very brief, the nearly continuous nature of the DAA transmissions means that, statistically, there will be occasions when a DAA pulse is present in the ASDE receiver’s window. </w:t>
      </w:r>
      <w:proofErr w:type="gramStart"/>
      <w:r w:rsidRPr="00623CEB">
        <w:rPr>
          <w:lang w:val="en-US" w:eastAsia="ja-JP"/>
        </w:rPr>
        <w:t>These interference</w:t>
      </w:r>
      <w:proofErr w:type="gramEnd"/>
      <w:r w:rsidRPr="00623CEB">
        <w:rPr>
          <w:lang w:val="en-US" w:eastAsia="ja-JP"/>
        </w:rPr>
        <w:t xml:space="preserve"> may raise the effective noise floor during an ASDE’s reception interval and may caus</w:t>
      </w:r>
      <w:r w:rsidR="00420B81">
        <w:rPr>
          <w:lang w:val="en-US" w:eastAsia="ja-JP"/>
        </w:rPr>
        <w:t>e</w:t>
      </w:r>
      <w:r w:rsidRPr="00623CEB">
        <w:rPr>
          <w:lang w:val="en-US" w:eastAsia="ja-JP"/>
        </w:rPr>
        <w:t xml:space="preserve"> false echoes.</w:t>
      </w:r>
    </w:p>
    <w:p w14:paraId="2A1341C7" w14:textId="59114538" w:rsidR="00623CEB" w:rsidRDefault="00623CEB" w:rsidP="00623CEB">
      <w:pPr>
        <w:pStyle w:val="2para"/>
        <w:numPr>
          <w:ilvl w:val="1"/>
          <w:numId w:val="1"/>
        </w:numPr>
        <w:tabs>
          <w:tab w:val="clear" w:pos="720"/>
        </w:tabs>
        <w:spacing w:after="120"/>
        <w:ind w:left="0" w:firstLine="0"/>
        <w:rPr>
          <w:lang w:val="en-US" w:eastAsia="ja-JP"/>
        </w:rPr>
      </w:pPr>
      <w:r>
        <w:rPr>
          <w:lang w:val="en-US" w:eastAsia="ja-JP"/>
        </w:rPr>
        <w:t xml:space="preserve">In term of antenna directionality, the </w:t>
      </w:r>
      <w:r w:rsidRPr="00F1174B">
        <w:rPr>
          <w:lang w:val="en-US" w:eastAsia="ja-JP"/>
        </w:rPr>
        <w:t>ASDE</w:t>
      </w:r>
      <w:r>
        <w:rPr>
          <w:lang w:val="en-US" w:eastAsia="ja-JP"/>
        </w:rPr>
        <w:t xml:space="preserve"> u</w:t>
      </w:r>
      <w:r w:rsidRPr="00F1174B">
        <w:rPr>
          <w:lang w:val="en-US" w:eastAsia="ja-JP"/>
        </w:rPr>
        <w:t>ses a highly directional antenna with a horizontal beamwidth of 0.3° and a high gain (45 </w:t>
      </w:r>
      <w:proofErr w:type="spellStart"/>
      <w:r w:rsidRPr="00F1174B">
        <w:rPr>
          <w:lang w:val="en-US" w:eastAsia="ja-JP"/>
        </w:rPr>
        <w:t>dBi</w:t>
      </w:r>
      <w:proofErr w:type="spellEnd"/>
      <w:r w:rsidRPr="00F1174B">
        <w:rPr>
          <w:lang w:val="en-US" w:eastAsia="ja-JP"/>
        </w:rPr>
        <w:t>), meaning that only signals from a very narrow angle are strongly received</w:t>
      </w:r>
      <w:r>
        <w:rPr>
          <w:lang w:val="en-US" w:eastAsia="ja-JP"/>
        </w:rPr>
        <w:t xml:space="preserve">. However, </w:t>
      </w:r>
      <w:r w:rsidRPr="00F1174B">
        <w:rPr>
          <w:lang w:val="en-US" w:eastAsia="ja-JP"/>
        </w:rPr>
        <w:t>DAA systems have wider beamwidths (</w:t>
      </w:r>
      <w:r w:rsidR="00080EFE">
        <w:rPr>
          <w:lang w:val="en-US" w:eastAsia="ja-JP"/>
        </w:rPr>
        <w:t>1</w:t>
      </w:r>
      <w:r w:rsidRPr="00F1174B">
        <w:rPr>
          <w:lang w:val="en-US" w:eastAsia="ja-JP"/>
        </w:rPr>
        <w:t>2° for Radars 1 and 2 and up to 28° for Radar 3).</w:t>
      </w:r>
    </w:p>
    <w:p w14:paraId="3FCF3F51" w14:textId="77777777" w:rsidR="00623CEB" w:rsidRPr="00F1174B" w:rsidRDefault="00623CEB" w:rsidP="00623CEB">
      <w:pPr>
        <w:pStyle w:val="2para"/>
        <w:numPr>
          <w:ilvl w:val="0"/>
          <w:numId w:val="0"/>
        </w:numPr>
        <w:rPr>
          <w:lang w:val="en-US" w:eastAsia="ja-JP"/>
        </w:rPr>
      </w:pPr>
      <w:r>
        <w:rPr>
          <w:lang w:val="en-US" w:eastAsia="ja-JP"/>
        </w:rPr>
        <w:t>T</w:t>
      </w:r>
      <w:r w:rsidRPr="00F1174B">
        <w:rPr>
          <w:lang w:val="en-US" w:eastAsia="ja-JP"/>
        </w:rPr>
        <w:t>he interference is maximized</w:t>
      </w:r>
      <w:r>
        <w:rPr>
          <w:lang w:val="en-US" w:eastAsia="ja-JP"/>
        </w:rPr>
        <w:t xml:space="preserve">, even </w:t>
      </w:r>
      <w:proofErr w:type="spellStart"/>
      <w:r w:rsidRPr="00F1174B">
        <w:rPr>
          <w:lang w:val="en-US" w:eastAsia="ja-JP"/>
        </w:rPr>
        <w:t>even</w:t>
      </w:r>
      <w:proofErr w:type="spellEnd"/>
      <w:r w:rsidRPr="00F1174B">
        <w:rPr>
          <w:lang w:val="en-US" w:eastAsia="ja-JP"/>
        </w:rPr>
        <w:t xml:space="preserve"> </w:t>
      </w:r>
      <w:proofErr w:type="gramStart"/>
      <w:r w:rsidRPr="00F1174B">
        <w:rPr>
          <w:lang w:val="en-US" w:eastAsia="ja-JP"/>
        </w:rPr>
        <w:t>briefly</w:t>
      </w:r>
      <w:r>
        <w:rPr>
          <w:lang w:val="en-US" w:eastAsia="ja-JP"/>
        </w:rPr>
        <w:t xml:space="preserve">, </w:t>
      </w:r>
      <w:r w:rsidRPr="00F1174B">
        <w:rPr>
          <w:lang w:val="en-US" w:eastAsia="ja-JP"/>
        </w:rPr>
        <w:t xml:space="preserve"> </w:t>
      </w:r>
      <w:r>
        <w:rPr>
          <w:lang w:val="en-US" w:eastAsia="ja-JP"/>
        </w:rPr>
        <w:t>if</w:t>
      </w:r>
      <w:proofErr w:type="gramEnd"/>
      <w:r>
        <w:rPr>
          <w:lang w:val="en-US" w:eastAsia="ja-JP"/>
        </w:rPr>
        <w:t xml:space="preserve"> </w:t>
      </w:r>
      <w:r w:rsidRPr="00F1174B">
        <w:rPr>
          <w:lang w:val="en-US" w:eastAsia="ja-JP"/>
        </w:rPr>
        <w:t>DAA system</w:t>
      </w:r>
      <w:r>
        <w:rPr>
          <w:lang w:val="en-US" w:eastAsia="ja-JP"/>
        </w:rPr>
        <w:t>’s</w:t>
      </w:r>
      <w:r w:rsidRPr="00F1174B">
        <w:rPr>
          <w:lang w:val="en-US" w:eastAsia="ja-JP"/>
        </w:rPr>
        <w:t xml:space="preserve"> </w:t>
      </w:r>
      <w:r>
        <w:rPr>
          <w:lang w:val="en-US" w:eastAsia="ja-JP"/>
        </w:rPr>
        <w:t>lobes</w:t>
      </w:r>
      <w:r w:rsidRPr="00F1174B">
        <w:rPr>
          <w:lang w:val="en-US" w:eastAsia="ja-JP"/>
        </w:rPr>
        <w:t xml:space="preserve"> </w:t>
      </w:r>
      <w:r>
        <w:rPr>
          <w:lang w:val="en-US" w:eastAsia="ja-JP"/>
        </w:rPr>
        <w:t>fall</w:t>
      </w:r>
      <w:r w:rsidRPr="00F1174B">
        <w:rPr>
          <w:lang w:val="en-US" w:eastAsia="ja-JP"/>
        </w:rPr>
        <w:t xml:space="preserve"> within the narrow main beam of the ASDE receiver</w:t>
      </w:r>
      <w:r>
        <w:rPr>
          <w:lang w:val="en-US" w:eastAsia="ja-JP"/>
        </w:rPr>
        <w:t xml:space="preserve">. </w:t>
      </w:r>
      <w:proofErr w:type="gramStart"/>
      <w:r>
        <w:rPr>
          <w:lang w:val="en-US" w:eastAsia="ja-JP"/>
        </w:rPr>
        <w:t>So</w:t>
      </w:r>
      <w:proofErr w:type="gramEnd"/>
      <w:r>
        <w:rPr>
          <w:lang w:val="en-US" w:eastAsia="ja-JP"/>
        </w:rPr>
        <w:t xml:space="preserve"> orientation of </w:t>
      </w:r>
      <w:proofErr w:type="spellStart"/>
      <w:r>
        <w:rPr>
          <w:lang w:val="en-US" w:eastAsia="ja-JP"/>
        </w:rPr>
        <w:t>antenas</w:t>
      </w:r>
      <w:proofErr w:type="spellEnd"/>
      <w:r>
        <w:rPr>
          <w:lang w:val="en-US" w:eastAsia="ja-JP"/>
        </w:rPr>
        <w:t xml:space="preserve"> play an essential role.</w:t>
      </w:r>
    </w:p>
    <w:p w14:paraId="62695339" w14:textId="7DC49772" w:rsidR="00623CEB" w:rsidRPr="00AE05F0" w:rsidRDefault="00623CEB" w:rsidP="00623CEB">
      <w:pPr>
        <w:pStyle w:val="2para"/>
        <w:numPr>
          <w:ilvl w:val="1"/>
          <w:numId w:val="1"/>
        </w:numPr>
        <w:tabs>
          <w:tab w:val="clear" w:pos="720"/>
        </w:tabs>
        <w:spacing w:after="120"/>
        <w:ind w:left="0" w:firstLine="0"/>
        <w:rPr>
          <w:lang w:val="en-US" w:eastAsia="ja-JP"/>
        </w:rPr>
      </w:pPr>
      <w:r>
        <w:rPr>
          <w:lang w:val="en-US" w:eastAsia="ja-JP"/>
        </w:rPr>
        <w:t>In term of p</w:t>
      </w:r>
      <w:r w:rsidRPr="00F1174B">
        <w:rPr>
          <w:lang w:val="en-US" w:eastAsia="ja-JP"/>
        </w:rPr>
        <w:t xml:space="preserve">olarization </w:t>
      </w:r>
      <w:r>
        <w:rPr>
          <w:lang w:val="en-US" w:eastAsia="ja-JP"/>
        </w:rPr>
        <w:t>m</w:t>
      </w:r>
      <w:r w:rsidRPr="00F1174B">
        <w:rPr>
          <w:lang w:val="en-US" w:eastAsia="ja-JP"/>
        </w:rPr>
        <w:t>ismatch</w:t>
      </w:r>
      <w:r>
        <w:rPr>
          <w:lang w:val="en-US" w:eastAsia="ja-JP"/>
        </w:rPr>
        <w:t xml:space="preserve">, </w:t>
      </w:r>
      <w:r w:rsidRPr="00AE05F0">
        <w:rPr>
          <w:lang w:val="en-US" w:eastAsia="ja-JP"/>
        </w:rPr>
        <w:t xml:space="preserve">ASDE employs </w:t>
      </w:r>
      <w:r>
        <w:rPr>
          <w:lang w:val="en-US" w:eastAsia="ja-JP"/>
        </w:rPr>
        <w:t xml:space="preserve">a </w:t>
      </w:r>
      <w:r w:rsidRPr="00AE05F0">
        <w:rPr>
          <w:lang w:val="en-US" w:eastAsia="ja-JP"/>
        </w:rPr>
        <w:t xml:space="preserve">circular </w:t>
      </w:r>
      <w:proofErr w:type="gramStart"/>
      <w:r w:rsidRPr="00AE05F0">
        <w:rPr>
          <w:lang w:val="en-US" w:eastAsia="ja-JP"/>
        </w:rPr>
        <w:t>polarization</w:t>
      </w:r>
      <w:proofErr w:type="gramEnd"/>
      <w:r>
        <w:rPr>
          <w:lang w:val="en-US" w:eastAsia="ja-JP"/>
        </w:rPr>
        <w:t xml:space="preserve"> and </w:t>
      </w:r>
      <w:r w:rsidRPr="00AE05F0">
        <w:rPr>
          <w:lang w:val="en-US" w:eastAsia="ja-JP"/>
        </w:rPr>
        <w:t xml:space="preserve">DAA radars </w:t>
      </w:r>
      <w:r>
        <w:rPr>
          <w:lang w:val="en-US" w:eastAsia="ja-JP"/>
        </w:rPr>
        <w:t>a</w:t>
      </w:r>
      <w:r w:rsidRPr="00AE05F0">
        <w:rPr>
          <w:lang w:val="en-US" w:eastAsia="ja-JP"/>
        </w:rPr>
        <w:t xml:space="preserve"> linear polarizations (horizontal for Radars 1 and 2; vertical for Radar 3).</w:t>
      </w:r>
      <w:r>
        <w:rPr>
          <w:lang w:val="en-US" w:eastAsia="ja-JP"/>
        </w:rPr>
        <w:t xml:space="preserve"> The mismatching may </w:t>
      </w:r>
      <w:r w:rsidRPr="00AE05F0">
        <w:rPr>
          <w:lang w:val="en-US" w:eastAsia="ja-JP"/>
        </w:rPr>
        <w:t>reduce interference and improve signal quality</w:t>
      </w:r>
      <w:r>
        <w:rPr>
          <w:lang w:val="en-US" w:eastAsia="ja-JP"/>
        </w:rPr>
        <w:t xml:space="preserve"> at the ASDE receiver by 3</w:t>
      </w:r>
      <w:r w:rsidR="00675825">
        <w:rPr>
          <w:lang w:val="en-US" w:eastAsia="ja-JP"/>
        </w:rPr>
        <w:t xml:space="preserve"> </w:t>
      </w:r>
      <w:r w:rsidR="00675825" w:rsidRPr="00997051">
        <w:rPr>
          <w:lang w:val="en-US" w:eastAsia="ja-JP"/>
        </w:rPr>
        <w:t>to 6</w:t>
      </w:r>
      <w:r w:rsidR="00675825">
        <w:rPr>
          <w:lang w:val="en-US" w:eastAsia="ja-JP"/>
        </w:rPr>
        <w:t xml:space="preserve"> </w:t>
      </w:r>
      <w:proofErr w:type="gramStart"/>
      <w:r>
        <w:rPr>
          <w:lang w:val="en-US" w:eastAsia="ja-JP"/>
        </w:rPr>
        <w:t xml:space="preserve">dB,  </w:t>
      </w:r>
      <w:r w:rsidRPr="00AE05F0">
        <w:rPr>
          <w:lang w:val="en-US" w:eastAsia="ja-JP"/>
        </w:rPr>
        <w:t>but</w:t>
      </w:r>
      <w:proofErr w:type="gramEnd"/>
      <w:r w:rsidRPr="00AE05F0">
        <w:rPr>
          <w:lang w:val="en-US" w:eastAsia="ja-JP"/>
        </w:rPr>
        <w:t xml:space="preserve"> may not be sufficient if the interfering signal is strong.</w:t>
      </w:r>
    </w:p>
    <w:p w14:paraId="361D2FA5" w14:textId="64B06BA5" w:rsidR="00623CEB" w:rsidRDefault="00623CEB" w:rsidP="00623CEB">
      <w:pPr>
        <w:pStyle w:val="2para"/>
        <w:numPr>
          <w:ilvl w:val="1"/>
          <w:numId w:val="1"/>
        </w:numPr>
        <w:tabs>
          <w:tab w:val="clear" w:pos="720"/>
        </w:tabs>
        <w:spacing w:after="120"/>
        <w:ind w:left="0" w:firstLine="0"/>
        <w:rPr>
          <w:lang w:val="en-US" w:eastAsia="ja-JP"/>
        </w:rPr>
      </w:pPr>
      <w:r w:rsidRPr="0074099B">
        <w:rPr>
          <w:lang w:val="en-US" w:eastAsia="ja-JP"/>
        </w:rPr>
        <w:t>A simplified interference power estimation is performed</w:t>
      </w:r>
      <w:r>
        <w:rPr>
          <w:lang w:val="en-US" w:eastAsia="ja-JP"/>
        </w:rPr>
        <w:t>,</w:t>
      </w:r>
      <w:r w:rsidRPr="0074099B">
        <w:rPr>
          <w:lang w:val="en-US" w:eastAsia="ja-JP"/>
        </w:rPr>
        <w:t xml:space="preserve"> </w:t>
      </w:r>
      <w:r>
        <w:rPr>
          <w:lang w:val="en-US" w:eastAsia="ja-JP"/>
        </w:rPr>
        <w:t xml:space="preserve">below, </w:t>
      </w:r>
      <w:r w:rsidRPr="0074099B">
        <w:rPr>
          <w:lang w:val="en-US" w:eastAsia="ja-JP"/>
        </w:rPr>
        <w:t>using link budget concepts, assuming a worst-case alignment between a DAA transmitter and the ASDE receiver. Characteristics of Radar 2 are taken as an example.</w:t>
      </w:r>
    </w:p>
    <w:p w14:paraId="0B341022" w14:textId="5DFC5D07" w:rsidR="00623CEB" w:rsidRPr="00623CEB" w:rsidRDefault="00623CEB" w:rsidP="00623CEB">
      <w:pPr>
        <w:pStyle w:val="2para"/>
        <w:numPr>
          <w:ilvl w:val="0"/>
          <w:numId w:val="0"/>
        </w:numPr>
        <w:spacing w:after="120"/>
        <w:rPr>
          <w:lang w:val="en-US" w:eastAsia="ja-JP"/>
        </w:rPr>
      </w:pPr>
      <w:r w:rsidRPr="00623CEB">
        <w:rPr>
          <w:lang w:val="en-US" w:eastAsia="ja-JP"/>
        </w:rPr>
        <w:t xml:space="preserve">The interference power </w:t>
      </w:r>
      <m:oMath>
        <m:sSub>
          <m:sSubPr>
            <m:ctrlPr>
              <w:rPr>
                <w:rFonts w:ascii="Cambria Math" w:eastAsia="MS Mincho" w:hAnsi="Cambria Math"/>
                <w:i/>
              </w:rPr>
            </m:ctrlPr>
          </m:sSubPr>
          <m:e>
            <m:r>
              <w:rPr>
                <w:rFonts w:ascii="Cambria Math" w:eastAsia="MS Mincho" w:hAnsi="Cambria Math"/>
              </w:rPr>
              <m:t>P</m:t>
            </m:r>
          </m:e>
          <m:sub>
            <m:r>
              <w:rPr>
                <w:rFonts w:ascii="Cambria Math" w:eastAsia="MS Mincho" w:hAnsi="Cambria Math"/>
              </w:rPr>
              <m:t>int</m:t>
            </m:r>
          </m:sub>
        </m:sSub>
      </m:oMath>
      <w:r w:rsidRPr="00623CEB">
        <w:rPr>
          <w:lang w:val="en-US" w:eastAsia="ja-JP"/>
        </w:rPr>
        <w:t xml:space="preserve"> reaching the ASDE receiver from a DAA transmitter may be given by the link budget equation:</w:t>
      </w:r>
    </w:p>
    <w:bookmarkStart w:id="4" w:name="_Hlk190767346"/>
    <w:bookmarkStart w:id="5" w:name="_Hlk190768330"/>
    <w:p w14:paraId="00A46F3B" w14:textId="77777777" w:rsidR="00623CEB" w:rsidRPr="00623CEB" w:rsidRDefault="000D2E90" w:rsidP="00623CEB">
      <w:pPr>
        <w:tabs>
          <w:tab w:val="left" w:pos="1440"/>
        </w:tabs>
        <w:spacing w:after="120"/>
        <w:ind w:left="709"/>
        <w:outlineLvl w:val="1"/>
        <w:rPr>
          <w:rFonts w:eastAsia="MS Mincho"/>
        </w:rPr>
      </w:pPr>
      <m:oMathPara>
        <m:oMath>
          <m:sSub>
            <m:sSubPr>
              <m:ctrlPr>
                <w:rPr>
                  <w:rFonts w:ascii="Cambria Math" w:eastAsia="MS Mincho" w:hAnsi="Cambria Math"/>
                  <w:i/>
                </w:rPr>
              </m:ctrlPr>
            </m:sSubPr>
            <m:e>
              <m:r>
                <w:rPr>
                  <w:rFonts w:ascii="Cambria Math" w:eastAsia="MS Mincho" w:hAnsi="Cambria Math"/>
                </w:rPr>
                <m:t>P</m:t>
              </m:r>
            </m:e>
            <m:sub>
              <m:r>
                <w:rPr>
                  <w:rFonts w:ascii="Cambria Math" w:eastAsia="MS Mincho" w:hAnsi="Cambria Math"/>
                </w:rPr>
                <m:t>int</m:t>
              </m:r>
            </m:sub>
          </m:sSub>
          <w:bookmarkEnd w:id="4"/>
          <m:r>
            <w:rPr>
              <w:rFonts w:ascii="Cambria Math" w:eastAsia="MS Mincho" w:hAnsi="Cambria Math"/>
            </w:rPr>
            <m:t>(</m:t>
          </m:r>
          <m:r>
            <w:rPr>
              <w:rFonts w:ascii="Cambria Math" w:eastAsia="MS Mincho" w:hAnsi="Cambria Math"/>
            </w:rPr>
            <m:t>dBm</m:t>
          </m:r>
          <m:r>
            <w:rPr>
              <w:rFonts w:ascii="Cambria Math" w:eastAsia="MS Mincho" w:hAnsi="Cambria Math"/>
            </w:rPr>
            <m:t>)=</m:t>
          </m:r>
          <m:sSub>
            <m:sSubPr>
              <m:ctrlPr>
                <w:rPr>
                  <w:rFonts w:ascii="Cambria Math" w:eastAsia="MS Mincho" w:hAnsi="Cambria Math"/>
                  <w:i/>
                </w:rPr>
              </m:ctrlPr>
            </m:sSubPr>
            <m:e>
              <m:sSub>
                <m:sSubPr>
                  <m:ctrlPr>
                    <w:rPr>
                      <w:rFonts w:ascii="Cambria Math" w:eastAsia="MS Mincho" w:hAnsi="Cambria Math"/>
                      <w:i/>
                    </w:rPr>
                  </m:ctrlPr>
                </m:sSubPr>
                <m:e>
                  <m:r>
                    <w:rPr>
                      <w:rFonts w:ascii="Cambria Math" w:eastAsia="MS Mincho" w:hAnsi="Cambria Math"/>
                    </w:rPr>
                    <m:t>P</m:t>
                  </m:r>
                </m:e>
                <m:sub>
                  <m:r>
                    <w:rPr>
                      <w:rFonts w:ascii="Cambria Math" w:eastAsia="MS Mincho" w:hAnsi="Cambria Math"/>
                    </w:rPr>
                    <m:t>TX</m:t>
                  </m:r>
                </m:sub>
              </m:sSub>
              <m:d>
                <m:dPr>
                  <m:ctrlPr>
                    <w:rPr>
                      <w:rFonts w:ascii="Cambria Math" w:eastAsia="MS Mincho" w:hAnsi="Cambria Math"/>
                      <w:i/>
                    </w:rPr>
                  </m:ctrlPr>
                </m:dPr>
                <m:e>
                  <m:r>
                    <w:rPr>
                      <w:rFonts w:ascii="Cambria Math" w:eastAsia="MS Mincho" w:hAnsi="Cambria Math"/>
                    </w:rPr>
                    <m:t>ⅆ</m:t>
                  </m:r>
                  <m:r>
                    <w:rPr>
                      <w:rFonts w:ascii="Cambria Math" w:eastAsia="MS Mincho" w:hAnsi="Cambria Math"/>
                    </w:rPr>
                    <m:t>Bm</m:t>
                  </m:r>
                </m:e>
              </m:d>
              <m:r>
                <w:rPr>
                  <w:rFonts w:ascii="Cambria Math" w:eastAsia="MS Mincho" w:hAnsi="Cambria Math"/>
                </w:rPr>
                <m:t>+</m:t>
              </m:r>
              <w:bookmarkStart w:id="6" w:name="_Hlk190767718"/>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TX</m:t>
                  </m:r>
                </m:sub>
              </m:sSub>
              <w:bookmarkEnd w:id="6"/>
              <m:d>
                <m:dPr>
                  <m:ctrlPr>
                    <w:rPr>
                      <w:rFonts w:ascii="Cambria Math" w:eastAsia="MS Mincho" w:hAnsi="Cambria Math"/>
                      <w:i/>
                    </w:rPr>
                  </m:ctrlPr>
                </m:dPr>
                <m:e>
                  <m:r>
                    <w:rPr>
                      <w:rFonts w:ascii="Cambria Math" w:eastAsia="MS Mincho" w:hAnsi="Cambria Math"/>
                    </w:rPr>
                    <m:t>ⅆ</m:t>
                  </m:r>
                  <m:sSub>
                    <m:sSubPr>
                      <m:ctrlPr>
                        <w:rPr>
                          <w:rFonts w:ascii="Cambria Math" w:eastAsia="MS Mincho" w:hAnsi="Cambria Math"/>
                          <w:i/>
                        </w:rPr>
                      </m:ctrlPr>
                    </m:sSubPr>
                    <m:e>
                      <m:r>
                        <w:rPr>
                          <w:rFonts w:ascii="Cambria Math" w:eastAsia="MS Mincho" w:hAnsi="Cambria Math"/>
                        </w:rPr>
                        <m:t>B</m:t>
                      </m:r>
                    </m:e>
                    <m:sub>
                      <m:r>
                        <w:rPr>
                          <w:rFonts w:ascii="Cambria Math" w:eastAsia="MS Mincho" w:hAnsi="Cambria Math"/>
                        </w:rPr>
                        <m:t>i</m:t>
                      </m:r>
                    </m:sub>
                  </m:sSub>
                </m:e>
              </m:d>
              <m:r>
                <w:rPr>
                  <w:rFonts w:ascii="Cambria Math" w:eastAsia="MS Mincho" w:hAnsi="Cambria Math"/>
                </w:rPr>
                <m:t>+</m:t>
              </m:r>
              <m:r>
                <w:rPr>
                  <w:rFonts w:ascii="Cambria Math" w:eastAsia="MS Mincho" w:hAnsi="Cambria Math"/>
                </w:rPr>
                <m:t>G</m:t>
              </m:r>
            </m:e>
            <m:sub>
              <m:r>
                <w:rPr>
                  <w:rFonts w:ascii="Cambria Math" w:eastAsia="MS Mincho" w:hAnsi="Cambria Math"/>
                </w:rPr>
                <m:t>RX</m:t>
              </m:r>
            </m:sub>
          </m:sSub>
          <m:d>
            <m:dPr>
              <m:ctrlPr>
                <w:rPr>
                  <w:rFonts w:ascii="Cambria Math" w:eastAsia="MS Mincho" w:hAnsi="Cambria Math"/>
                  <w:i/>
                </w:rPr>
              </m:ctrlPr>
            </m:dPr>
            <m:e>
              <m:r>
                <w:rPr>
                  <w:rFonts w:ascii="Cambria Math" w:eastAsia="MS Mincho" w:hAnsi="Cambria Math"/>
                </w:rPr>
                <m:t>ⅆ</m:t>
              </m:r>
              <m:sSub>
                <m:sSubPr>
                  <m:ctrlPr>
                    <w:rPr>
                      <w:rFonts w:ascii="Cambria Math" w:eastAsia="MS Mincho" w:hAnsi="Cambria Math"/>
                      <w:i/>
                    </w:rPr>
                  </m:ctrlPr>
                </m:sSubPr>
                <m:e>
                  <m:r>
                    <w:rPr>
                      <w:rFonts w:ascii="Cambria Math" w:eastAsia="MS Mincho" w:hAnsi="Cambria Math"/>
                    </w:rPr>
                    <m:t>B</m:t>
                  </m:r>
                </m:e>
                <m:sub>
                  <m:r>
                    <w:rPr>
                      <w:rFonts w:ascii="Cambria Math" w:eastAsia="MS Mincho" w:hAnsi="Cambria Math"/>
                    </w:rPr>
                    <m:t>i</m:t>
                  </m:r>
                </m:sub>
              </m:sSub>
            </m:e>
          </m:d>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L</m:t>
              </m:r>
            </m:e>
            <m:sub>
              <m:r>
                <w:rPr>
                  <w:rFonts w:ascii="Cambria Math" w:eastAsia="MS Mincho" w:hAnsi="Cambria Math"/>
                </w:rPr>
                <m:t>p</m:t>
              </m:r>
            </m:sub>
          </m:sSub>
          <m:d>
            <m:dPr>
              <m:ctrlPr>
                <w:rPr>
                  <w:rFonts w:ascii="Cambria Math" w:eastAsia="MS Mincho" w:hAnsi="Cambria Math"/>
                  <w:i/>
                </w:rPr>
              </m:ctrlPr>
            </m:dPr>
            <m:e>
              <m:r>
                <w:rPr>
                  <w:rFonts w:ascii="Cambria Math" w:eastAsia="MS Mincho" w:hAnsi="Cambria Math"/>
                </w:rPr>
                <m:t>dB</m:t>
              </m:r>
            </m:e>
          </m:d>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L</m:t>
              </m:r>
            </m:e>
            <m:sub>
              <m:sSub>
                <m:sSubPr>
                  <m:ctrlPr>
                    <w:rPr>
                      <w:rFonts w:ascii="Cambria Math" w:eastAsia="MS Mincho" w:hAnsi="Cambria Math"/>
                      <w:i/>
                    </w:rPr>
                  </m:ctrlPr>
                </m:sSubPr>
                <m:e>
                  <m:r>
                    <w:rPr>
                      <w:rFonts w:ascii="Cambria Math" w:eastAsia="MS Mincho" w:hAnsi="Cambria Math"/>
                    </w:rPr>
                    <m:t>m</m:t>
                  </m:r>
                </m:e>
                <m:sub>
                  <m:r>
                    <w:rPr>
                      <w:rFonts w:ascii="Cambria Math" w:eastAsia="MS Mincho" w:hAnsi="Cambria Math"/>
                    </w:rPr>
                    <m:t>i</m:t>
                  </m:r>
                </m:sub>
              </m:sSub>
              <m:r>
                <w:rPr>
                  <w:rFonts w:ascii="Cambria Math" w:eastAsia="MS Mincho" w:hAnsi="Cambria Math"/>
                </w:rPr>
                <m:t>sC</m:t>
              </m:r>
            </m:sub>
          </m:sSub>
        </m:oMath>
      </m:oMathPara>
      <w:bookmarkEnd w:id="5"/>
    </w:p>
    <w:p w14:paraId="3F4BD511" w14:textId="77777777" w:rsidR="00623CEB" w:rsidRPr="00623CEB" w:rsidRDefault="00623CEB" w:rsidP="00C04214">
      <w:pPr>
        <w:tabs>
          <w:tab w:val="left" w:pos="1440"/>
        </w:tabs>
        <w:ind w:left="851" w:hanging="851"/>
        <w:outlineLvl w:val="1"/>
        <w:rPr>
          <w:rFonts w:eastAsia="MS Mincho"/>
        </w:rPr>
      </w:pPr>
      <w:r w:rsidRPr="00623CEB">
        <w:rPr>
          <w:rFonts w:eastAsia="MS Mincho"/>
        </w:rPr>
        <w:t>Where:</w:t>
      </w:r>
    </w:p>
    <w:bookmarkStart w:id="7" w:name="_Hlk190767948"/>
    <w:p w14:paraId="5B39D494" w14:textId="77777777" w:rsidR="00623CEB" w:rsidRPr="00623CEB" w:rsidRDefault="000D2E90" w:rsidP="00C04214">
      <w:pPr>
        <w:numPr>
          <w:ilvl w:val="0"/>
          <w:numId w:val="27"/>
        </w:numPr>
        <w:tabs>
          <w:tab w:val="left" w:pos="1440"/>
        </w:tabs>
        <w:ind w:left="851" w:hanging="426"/>
        <w:outlineLvl w:val="1"/>
        <w:rPr>
          <w:rFonts w:eastAsia="MS Mincho"/>
        </w:rPr>
      </w:pPr>
      <m:oMath>
        <m:sSub>
          <m:sSubPr>
            <m:ctrlPr>
              <w:rPr>
                <w:rFonts w:ascii="Cambria Math" w:eastAsia="MS Mincho" w:hAnsi="Cambria Math"/>
                <w:i/>
              </w:rPr>
            </m:ctrlPr>
          </m:sSubPr>
          <m:e>
            <m:r>
              <w:rPr>
                <w:rFonts w:ascii="Cambria Math" w:eastAsia="MS Mincho" w:hAnsi="Cambria Math"/>
              </w:rPr>
              <m:t>P</m:t>
            </m:r>
          </m:e>
          <m:sub>
            <m:r>
              <w:rPr>
                <w:rFonts w:ascii="Cambria Math" w:eastAsia="MS Mincho" w:hAnsi="Cambria Math"/>
              </w:rPr>
              <m:t>int</m:t>
            </m:r>
          </m:sub>
        </m:sSub>
      </m:oMath>
      <w:bookmarkEnd w:id="7"/>
      <w:r w:rsidR="00623CEB" w:rsidRPr="00623CEB">
        <w:rPr>
          <w:rFonts w:eastAsia="MS Mincho"/>
        </w:rPr>
        <w:t xml:space="preserve"> is the DAA average transmit power (converted to dBm),</w:t>
      </w:r>
    </w:p>
    <w:p w14:paraId="549D0A2E" w14:textId="77777777" w:rsidR="00623CEB" w:rsidRPr="00623CEB" w:rsidRDefault="000D2E90" w:rsidP="00C04214">
      <w:pPr>
        <w:numPr>
          <w:ilvl w:val="0"/>
          <w:numId w:val="27"/>
        </w:numPr>
        <w:tabs>
          <w:tab w:val="left" w:pos="1440"/>
        </w:tabs>
        <w:ind w:left="851" w:hanging="426"/>
        <w:outlineLvl w:val="1"/>
        <w:rPr>
          <w:rFonts w:eastAsia="MS Mincho"/>
        </w:rPr>
      </w:pP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TX</m:t>
            </m:r>
          </m:sub>
        </m:sSub>
      </m:oMath>
      <w:r w:rsidR="00623CEB" w:rsidRPr="00623CEB">
        <w:rPr>
          <w:rFonts w:eastAsia="MS Mincho"/>
        </w:rPr>
        <w:t xml:space="preserve"> and </w:t>
      </w:r>
      <m:oMath>
        <m:sSub>
          <m:sSubPr>
            <m:ctrlPr>
              <w:rPr>
                <w:rFonts w:ascii="Cambria Math" w:eastAsia="MS Mincho" w:hAnsi="Cambria Math"/>
                <w:i/>
              </w:rPr>
            </m:ctrlPr>
          </m:sSubPr>
          <m:e>
            <m:r>
              <w:rPr>
                <w:rFonts w:ascii="Cambria Math" w:eastAsia="MS Mincho" w:hAnsi="Cambria Math"/>
              </w:rPr>
              <m:t>G</m:t>
            </m:r>
          </m:e>
          <m:sub>
            <m:r>
              <w:rPr>
                <w:rFonts w:ascii="Cambria Math" w:eastAsia="MS Mincho" w:hAnsi="Cambria Math"/>
              </w:rPr>
              <m:t>RX</m:t>
            </m:r>
          </m:sub>
        </m:sSub>
      </m:oMath>
      <w:r w:rsidR="00623CEB" w:rsidRPr="00623CEB">
        <w:rPr>
          <w:rFonts w:eastAsia="MS Mincho"/>
        </w:rPr>
        <w:t xml:space="preserve"> are the DAA and ASDE antenna gains in the direction of interference coupling,</w:t>
      </w:r>
    </w:p>
    <w:p w14:paraId="279C6D70" w14:textId="77777777" w:rsidR="00623CEB" w:rsidRPr="00623CEB" w:rsidRDefault="000D2E90" w:rsidP="00C04214">
      <w:pPr>
        <w:numPr>
          <w:ilvl w:val="0"/>
          <w:numId w:val="27"/>
        </w:numPr>
        <w:tabs>
          <w:tab w:val="left" w:pos="1440"/>
        </w:tabs>
        <w:ind w:left="851" w:hanging="426"/>
        <w:outlineLvl w:val="1"/>
        <w:rPr>
          <w:rFonts w:eastAsia="MS Mincho"/>
        </w:rPr>
      </w:pPr>
      <m:oMath>
        <m:sSub>
          <m:sSubPr>
            <m:ctrlPr>
              <w:rPr>
                <w:rFonts w:ascii="Cambria Math" w:eastAsia="MS Mincho" w:hAnsi="Cambria Math"/>
                <w:i/>
              </w:rPr>
            </m:ctrlPr>
          </m:sSubPr>
          <m:e>
            <m:r>
              <w:rPr>
                <w:rFonts w:ascii="Cambria Math" w:eastAsia="MS Mincho" w:hAnsi="Cambria Math"/>
              </w:rPr>
              <m:t>L</m:t>
            </m:r>
          </m:e>
          <m:sub>
            <m:r>
              <w:rPr>
                <w:rFonts w:ascii="Cambria Math" w:eastAsia="MS Mincho" w:hAnsi="Cambria Math"/>
              </w:rPr>
              <m:t>p</m:t>
            </m:r>
          </m:sub>
        </m:sSub>
      </m:oMath>
      <w:r w:rsidR="00623CEB" w:rsidRPr="00623CEB">
        <w:rPr>
          <w:rFonts w:eastAsia="MS Mincho"/>
        </w:rPr>
        <w:t xml:space="preserve"> is the free-space (or path) loss, and</w:t>
      </w:r>
    </w:p>
    <w:p w14:paraId="371F3CA7" w14:textId="77777777" w:rsidR="00623CEB" w:rsidRDefault="000D2E90" w:rsidP="00C04214">
      <w:pPr>
        <w:numPr>
          <w:ilvl w:val="0"/>
          <w:numId w:val="27"/>
        </w:numPr>
        <w:tabs>
          <w:tab w:val="left" w:pos="1440"/>
        </w:tabs>
        <w:ind w:left="851" w:hanging="426"/>
        <w:outlineLvl w:val="1"/>
        <w:rPr>
          <w:rFonts w:eastAsia="MS Mincho"/>
        </w:rPr>
      </w:pPr>
      <m:oMath>
        <m:sSub>
          <m:sSubPr>
            <m:ctrlPr>
              <w:rPr>
                <w:rFonts w:ascii="Cambria Math" w:eastAsia="MS Mincho" w:hAnsi="Cambria Math"/>
                <w:i/>
              </w:rPr>
            </m:ctrlPr>
          </m:sSubPr>
          <m:e>
            <m:r>
              <w:rPr>
                <w:rFonts w:ascii="Cambria Math" w:eastAsia="MS Mincho" w:hAnsi="Cambria Math"/>
              </w:rPr>
              <m:t>L</m:t>
            </m:r>
          </m:e>
          <m:sub>
            <m:sSub>
              <m:sSubPr>
                <m:ctrlPr>
                  <w:rPr>
                    <w:rFonts w:ascii="Cambria Math" w:eastAsia="MS Mincho" w:hAnsi="Cambria Math"/>
                    <w:i/>
                  </w:rPr>
                </m:ctrlPr>
              </m:sSubPr>
              <m:e>
                <m:r>
                  <w:rPr>
                    <w:rFonts w:ascii="Cambria Math" w:eastAsia="MS Mincho" w:hAnsi="Cambria Math"/>
                  </w:rPr>
                  <m:t>m</m:t>
                </m:r>
              </m:e>
              <m:sub>
                <m:r>
                  <w:rPr>
                    <w:rFonts w:ascii="Cambria Math" w:eastAsia="MS Mincho" w:hAnsi="Cambria Math"/>
                  </w:rPr>
                  <m:t>i</m:t>
                </m:r>
              </m:sub>
            </m:sSub>
            <m:r>
              <w:rPr>
                <w:rFonts w:ascii="Cambria Math" w:eastAsia="MS Mincho" w:hAnsi="Cambria Math"/>
              </w:rPr>
              <m:t>sC</m:t>
            </m:r>
          </m:sub>
        </m:sSub>
      </m:oMath>
      <w:r w:rsidR="00623CEB" w:rsidRPr="00623CEB">
        <w:rPr>
          <w:rFonts w:eastAsia="MS Mincho"/>
        </w:rPr>
        <w:t xml:space="preserve"> is any additional losses (polarization </w:t>
      </w:r>
      <w:proofErr w:type="gramStart"/>
      <w:r w:rsidR="00623CEB" w:rsidRPr="00623CEB">
        <w:rPr>
          <w:rFonts w:eastAsia="MS Mincho"/>
        </w:rPr>
        <w:t>mismatch,…</w:t>
      </w:r>
      <w:proofErr w:type="gramEnd"/>
      <w:r w:rsidR="00623CEB" w:rsidRPr="00623CEB">
        <w:rPr>
          <w:rFonts w:eastAsia="MS Mincho"/>
        </w:rPr>
        <w:t>.).</w:t>
      </w:r>
    </w:p>
    <w:p w14:paraId="797B7B36" w14:textId="77777777" w:rsidR="00623CEB" w:rsidRPr="00623CEB" w:rsidRDefault="00623CEB" w:rsidP="00623CEB">
      <w:pPr>
        <w:tabs>
          <w:tab w:val="left" w:pos="1440"/>
        </w:tabs>
        <w:ind w:left="1560"/>
        <w:outlineLvl w:val="1"/>
        <w:rPr>
          <w:rFonts w:eastAsia="MS Mincho"/>
        </w:rPr>
      </w:pPr>
    </w:p>
    <w:p w14:paraId="532D22ED" w14:textId="5386E0C9" w:rsidR="00623CEB" w:rsidRDefault="00623CEB" w:rsidP="00623CEB">
      <w:pPr>
        <w:pStyle w:val="1Heading"/>
        <w:numPr>
          <w:ilvl w:val="0"/>
          <w:numId w:val="0"/>
        </w:numPr>
        <w:spacing w:before="0" w:after="120"/>
        <w:ind w:left="720" w:right="2234" w:hanging="720"/>
        <w:jc w:val="left"/>
        <w:rPr>
          <w:b w:val="0"/>
          <w:bCs/>
          <w:sz w:val="24"/>
          <w:szCs w:val="24"/>
          <w:lang w:eastAsia="en-CA"/>
        </w:rPr>
      </w:pPr>
      <w:r w:rsidRPr="00D81EE7">
        <w:rPr>
          <w:b w:val="0"/>
          <w:bCs/>
          <w:sz w:val="24"/>
          <w:szCs w:val="24"/>
          <w:lang w:eastAsia="en-CA"/>
        </w:rPr>
        <w:t xml:space="preserve">Average </w:t>
      </w:r>
      <m:oMath>
        <m:sSub>
          <m:sSubPr>
            <m:ctrlPr>
              <w:rPr>
                <w:rStyle w:val="mclose"/>
                <w:rFonts w:ascii="Cambria Math" w:hAnsi="Cambria Math"/>
                <w:i/>
              </w:rPr>
            </m:ctrlPr>
          </m:sSubPr>
          <m:e>
            <m:r>
              <m:rPr>
                <m:sty m:val="bi"/>
              </m:rPr>
              <w:rPr>
                <w:rStyle w:val="mclose"/>
                <w:rFonts w:ascii="Cambria Math" w:hAnsi="Cambria Math"/>
              </w:rPr>
              <m:t>P</m:t>
            </m:r>
          </m:e>
          <m:sub>
            <m:r>
              <m:rPr>
                <m:sty m:val="bi"/>
              </m:rPr>
              <w:rPr>
                <w:rStyle w:val="mclose"/>
                <w:rFonts w:ascii="Cambria Math" w:hAnsi="Cambria Math"/>
              </w:rPr>
              <m:t>TX</m:t>
            </m:r>
          </m:sub>
        </m:sSub>
      </m:oMath>
      <w:r w:rsidRPr="00D81EE7">
        <w:rPr>
          <w:b w:val="0"/>
          <w:bCs/>
          <w:sz w:val="24"/>
          <w:szCs w:val="24"/>
          <w:lang w:eastAsia="en-CA"/>
        </w:rPr>
        <w:t xml:space="preserve"> </w:t>
      </w:r>
      <w:r w:rsidRPr="00623CEB">
        <w:rPr>
          <w:b w:val="0"/>
          <w:bCs/>
          <w:sz w:val="24"/>
          <w:szCs w:val="24"/>
          <w:lang w:eastAsia="en-CA"/>
        </w:rPr>
        <w:t xml:space="preserve">power = 3.2 W </w:t>
      </w:r>
      <w:r w:rsidRPr="00734152">
        <w:rPr>
          <w:b w:val="0"/>
          <w:bCs/>
          <w:sz w:val="24"/>
          <w:szCs w:val="24"/>
          <w:lang w:eastAsia="en-CA"/>
        </w:rPr>
        <w:t xml:space="preserve">→   </w:t>
      </w:r>
      <m:oMath>
        <m:r>
          <m:rPr>
            <m:sty m:val="bi"/>
          </m:rPr>
          <w:rPr>
            <w:rFonts w:ascii="Cambria Math" w:hAnsi="Cambria Math"/>
            <w:sz w:val="24"/>
            <w:szCs w:val="24"/>
            <w:lang w:eastAsia="en-CA"/>
          </w:rPr>
          <m:t>10</m:t>
        </m:r>
        <m:func>
          <m:funcPr>
            <m:ctrlPr>
              <w:rPr>
                <w:rFonts w:ascii="Cambria Math" w:hAnsi="Cambria Math"/>
                <w:b w:val="0"/>
                <w:bCs/>
                <w:i/>
                <w:sz w:val="24"/>
                <w:szCs w:val="24"/>
                <w:lang w:eastAsia="en-CA"/>
              </w:rPr>
            </m:ctrlPr>
          </m:funcPr>
          <m:fName>
            <m:r>
              <m:rPr>
                <m:sty m:val="bi"/>
              </m:rPr>
              <w:rPr>
                <w:rFonts w:ascii="Cambria Math" w:hAnsi="Cambria Math"/>
                <w:sz w:val="24"/>
                <w:szCs w:val="24"/>
                <w:lang w:eastAsia="en-CA"/>
              </w:rPr>
              <m:t>log</m:t>
            </m:r>
          </m:fName>
          <m:e>
            <m:d>
              <m:dPr>
                <m:ctrlPr>
                  <w:rPr>
                    <w:rFonts w:ascii="Cambria Math" w:hAnsi="Cambria Math"/>
                    <w:b w:val="0"/>
                    <w:bCs/>
                    <w:i/>
                    <w:sz w:val="24"/>
                    <w:szCs w:val="24"/>
                    <w:lang w:eastAsia="en-CA"/>
                  </w:rPr>
                </m:ctrlPr>
              </m:dPr>
              <m:e>
                <m:r>
                  <m:rPr>
                    <m:sty m:val="bi"/>
                  </m:rPr>
                  <w:rPr>
                    <w:rFonts w:ascii="Cambria Math" w:hAnsi="Cambria Math"/>
                    <w:sz w:val="24"/>
                    <w:szCs w:val="24"/>
                    <w:lang w:eastAsia="en-CA"/>
                  </w:rPr>
                  <m:t>3.2</m:t>
                </m:r>
              </m:e>
            </m:d>
          </m:e>
        </m:func>
        <m:r>
          <m:rPr>
            <m:sty m:val="bi"/>
          </m:rPr>
          <w:rPr>
            <w:rFonts w:ascii="Cambria Math" w:hAnsi="Cambria Math"/>
            <w:sz w:val="24"/>
            <w:szCs w:val="24"/>
            <w:lang w:eastAsia="en-CA"/>
          </w:rPr>
          <m:t>+30≈35</m:t>
        </m:r>
        <m:r>
          <m:rPr>
            <m:sty m:val="bi"/>
          </m:rPr>
          <w:rPr>
            <w:rFonts w:ascii="Cambria Math" w:hAnsi="Cambria Math"/>
            <w:sz w:val="24"/>
            <w:szCs w:val="24"/>
            <w:lang w:eastAsia="en-CA"/>
          </w:rPr>
          <m:t>dBm</m:t>
        </m:r>
      </m:oMath>
      <w:r>
        <w:rPr>
          <w:b w:val="0"/>
          <w:bCs/>
          <w:sz w:val="24"/>
          <w:szCs w:val="24"/>
          <w:lang w:eastAsia="en-CA"/>
        </w:rPr>
        <w:t xml:space="preserve"> </w:t>
      </w:r>
    </w:p>
    <w:p w14:paraId="05A1BBB0" w14:textId="77777777" w:rsidR="00623CEB" w:rsidRDefault="00623CEB" w:rsidP="00623CEB">
      <w:pPr>
        <w:pStyle w:val="1Heading"/>
        <w:numPr>
          <w:ilvl w:val="0"/>
          <w:numId w:val="0"/>
        </w:numPr>
        <w:spacing w:before="0" w:after="120"/>
        <w:ind w:left="720" w:right="2234" w:hanging="720"/>
        <w:jc w:val="left"/>
        <w:rPr>
          <w:b w:val="0"/>
          <w:bCs/>
          <w:sz w:val="24"/>
          <w:szCs w:val="24"/>
          <w:lang w:eastAsia="en-CA"/>
        </w:rPr>
      </w:pPr>
      <w:r>
        <w:rPr>
          <w:b w:val="0"/>
          <w:bCs/>
          <w:sz w:val="24"/>
          <w:szCs w:val="24"/>
          <w:lang w:eastAsia="en-CA"/>
        </w:rPr>
        <w:t>M</w:t>
      </w:r>
      <w:r w:rsidRPr="00EA4421">
        <w:rPr>
          <w:b w:val="0"/>
          <w:bCs/>
          <w:sz w:val="24"/>
          <w:szCs w:val="24"/>
          <w:lang w:eastAsia="en-CA"/>
        </w:rPr>
        <w:t>ain-lobe gain DAA transmitter</w:t>
      </w:r>
      <w:r>
        <w:rPr>
          <w:b w:val="0"/>
          <w:bCs/>
          <w:sz w:val="24"/>
          <w:szCs w:val="24"/>
          <w:lang w:eastAsia="en-CA"/>
        </w:rPr>
        <w:t xml:space="preserve"> </w:t>
      </w:r>
      <w:r w:rsidRPr="00EA4421">
        <w:rPr>
          <w:b w:val="0"/>
          <w:bCs/>
          <w:sz w:val="24"/>
          <w:szCs w:val="24"/>
          <w:lang w:eastAsia="en-CA"/>
        </w:rPr>
        <w:t>is 2</w:t>
      </w:r>
      <w:r>
        <w:rPr>
          <w:b w:val="0"/>
          <w:bCs/>
          <w:sz w:val="24"/>
          <w:szCs w:val="24"/>
          <w:lang w:eastAsia="en-CA"/>
        </w:rPr>
        <w:t>1</w:t>
      </w:r>
      <w:r w:rsidRPr="00EA4421">
        <w:rPr>
          <w:b w:val="0"/>
          <w:bCs/>
          <w:sz w:val="24"/>
          <w:szCs w:val="24"/>
          <w:lang w:eastAsia="en-CA"/>
        </w:rPr>
        <w:t>dBi</w:t>
      </w:r>
      <w:r>
        <w:rPr>
          <w:b w:val="0"/>
          <w:bCs/>
          <w:sz w:val="24"/>
          <w:szCs w:val="24"/>
          <w:lang w:eastAsia="en-CA"/>
        </w:rPr>
        <w:t>.</w:t>
      </w:r>
    </w:p>
    <w:p w14:paraId="28A9FD65" w14:textId="77777777" w:rsidR="00623CEB" w:rsidRDefault="00623CEB" w:rsidP="00623CEB">
      <w:pPr>
        <w:pStyle w:val="1Heading"/>
        <w:numPr>
          <w:ilvl w:val="0"/>
          <w:numId w:val="0"/>
        </w:numPr>
        <w:spacing w:before="0" w:after="120"/>
        <w:ind w:left="720" w:right="2234" w:hanging="720"/>
        <w:jc w:val="left"/>
        <w:rPr>
          <w:b w:val="0"/>
          <w:bCs/>
          <w:sz w:val="24"/>
          <w:szCs w:val="24"/>
          <w:lang w:eastAsia="en-CA"/>
        </w:rPr>
      </w:pPr>
      <w:r>
        <w:rPr>
          <w:b w:val="0"/>
          <w:bCs/>
          <w:sz w:val="24"/>
          <w:szCs w:val="24"/>
          <w:lang w:eastAsia="en-CA"/>
        </w:rPr>
        <w:t>M</w:t>
      </w:r>
      <w:r w:rsidRPr="00EA4421">
        <w:rPr>
          <w:b w:val="0"/>
          <w:bCs/>
          <w:sz w:val="24"/>
          <w:szCs w:val="24"/>
          <w:lang w:eastAsia="en-CA"/>
        </w:rPr>
        <w:t>ain beam gain ASDE receiver is 45 </w:t>
      </w:r>
      <w:proofErr w:type="spellStart"/>
      <w:r w:rsidRPr="00EA4421">
        <w:rPr>
          <w:b w:val="0"/>
          <w:bCs/>
          <w:sz w:val="24"/>
          <w:szCs w:val="24"/>
          <w:lang w:eastAsia="en-CA"/>
        </w:rPr>
        <w:t>dBi</w:t>
      </w:r>
      <w:proofErr w:type="spellEnd"/>
      <w:r>
        <w:rPr>
          <w:b w:val="0"/>
          <w:bCs/>
          <w:sz w:val="24"/>
          <w:szCs w:val="24"/>
          <w:lang w:eastAsia="en-CA"/>
        </w:rPr>
        <w:t xml:space="preserve">. </w:t>
      </w:r>
    </w:p>
    <w:p w14:paraId="1C6AD6D9" w14:textId="5A5E0B39" w:rsidR="00623CEB" w:rsidRPr="00C04214" w:rsidRDefault="00623CEB" w:rsidP="00623CEB">
      <w:pPr>
        <w:pStyle w:val="1Heading"/>
        <w:numPr>
          <w:ilvl w:val="0"/>
          <w:numId w:val="0"/>
        </w:numPr>
        <w:spacing w:before="0" w:after="0"/>
        <w:ind w:left="720" w:right="2234" w:hanging="720"/>
        <w:jc w:val="left"/>
        <w:rPr>
          <w:rStyle w:val="mclose"/>
          <w:b w:val="0"/>
          <w:bCs/>
        </w:rPr>
      </w:pPr>
      <w:r>
        <w:rPr>
          <w:b w:val="0"/>
          <w:bCs/>
        </w:rPr>
        <w:t xml:space="preserve">The </w:t>
      </w:r>
      <w:r w:rsidRPr="003B013F">
        <w:rPr>
          <w:b w:val="0"/>
          <w:bCs/>
        </w:rPr>
        <w:t>Estimate Pat</w:t>
      </w:r>
      <w:r w:rsidRPr="00C04214">
        <w:rPr>
          <w:b w:val="0"/>
          <w:bCs/>
        </w:rPr>
        <w:t xml:space="preserve">h Loss </w:t>
      </w:r>
      <m:oMath>
        <m:sSub>
          <m:sSubPr>
            <m:ctrlPr>
              <w:rPr>
                <w:rStyle w:val="mclose"/>
                <w:rFonts w:ascii="Cambria Math" w:hAnsi="Cambria Math"/>
                <w:b w:val="0"/>
                <w:bCs/>
                <w:i/>
              </w:rPr>
            </m:ctrlPr>
          </m:sSubPr>
          <m:e>
            <m:r>
              <m:rPr>
                <m:sty m:val="bi"/>
              </m:rPr>
              <w:rPr>
                <w:rStyle w:val="mclose"/>
                <w:rFonts w:ascii="Cambria Math" w:hAnsi="Cambria Math"/>
              </w:rPr>
              <m:t>L</m:t>
            </m:r>
          </m:e>
          <m:sub>
            <m:r>
              <m:rPr>
                <m:sty m:val="bi"/>
              </m:rPr>
              <w:rPr>
                <w:rStyle w:val="mclose"/>
                <w:rFonts w:ascii="Cambria Math" w:hAnsi="Cambria Math"/>
              </w:rPr>
              <m:t>p</m:t>
            </m:r>
          </m:sub>
        </m:sSub>
      </m:oMath>
      <w:r w:rsidRPr="00C04214">
        <w:rPr>
          <w:rStyle w:val="mclose"/>
          <w:b w:val="0"/>
          <w:bCs/>
        </w:rPr>
        <w:t xml:space="preserve"> at the the mid-band of the ASDE frequency band:    </w:t>
      </w:r>
    </w:p>
    <w:p w14:paraId="49C0FD6D" w14:textId="6560B7EA" w:rsidR="00623CEB" w:rsidRPr="00C04214" w:rsidRDefault="000D2E90" w:rsidP="00C04214">
      <w:pPr>
        <w:pStyle w:val="2para"/>
        <w:numPr>
          <w:ilvl w:val="0"/>
          <w:numId w:val="0"/>
        </w:numPr>
        <w:tabs>
          <w:tab w:val="left" w:pos="709"/>
        </w:tabs>
        <w:spacing w:after="0"/>
        <w:ind w:left="142"/>
        <w:rPr>
          <w:rStyle w:val="mclose"/>
          <w:rFonts w:ascii="Cambria Math" w:hAnsi="Cambria Math"/>
          <w:bCs/>
          <w:i/>
        </w:rPr>
      </w:pPr>
      <m:oMathPara>
        <m:oMath>
          <m:sSub>
            <m:sSubPr>
              <m:ctrlPr>
                <w:rPr>
                  <w:rStyle w:val="mclose"/>
                  <w:rFonts w:ascii="Cambria Math" w:hAnsi="Cambria Math"/>
                  <w:bCs/>
                  <w:i/>
                </w:rPr>
              </m:ctrlPr>
            </m:sSubPr>
            <m:e>
              <m:r>
                <w:rPr>
                  <w:rStyle w:val="mclose"/>
                  <w:rFonts w:ascii="Cambria Math" w:hAnsi="Cambria Math"/>
                </w:rPr>
                <m:t>L</m:t>
              </m:r>
            </m:e>
            <m:sub>
              <m:r>
                <w:rPr>
                  <w:rStyle w:val="mclose"/>
                  <w:rFonts w:ascii="Cambria Math" w:hAnsi="Cambria Math"/>
                </w:rPr>
                <m:t>p</m:t>
              </m:r>
            </m:sub>
          </m:sSub>
          <m:d>
            <m:dPr>
              <m:ctrlPr>
                <w:rPr>
                  <w:rStyle w:val="mclose"/>
                  <w:rFonts w:ascii="Cambria Math" w:hAnsi="Cambria Math"/>
                  <w:bCs/>
                  <w:i/>
                </w:rPr>
              </m:ctrlPr>
            </m:dPr>
            <m:e>
              <m:r>
                <w:rPr>
                  <w:rStyle w:val="mclose"/>
                  <w:rFonts w:ascii="Cambria Math" w:hAnsi="Cambria Math"/>
                </w:rPr>
                <m:t>dB</m:t>
              </m:r>
            </m:e>
          </m:d>
          <m:r>
            <w:rPr>
              <w:rFonts w:ascii="Cambria Math" w:hAnsi="Cambria Math"/>
              <w:sz w:val="24"/>
              <w:szCs w:val="24"/>
              <w:lang w:eastAsia="en-CA"/>
            </w:rPr>
            <m:t>≈</m:t>
          </m:r>
          <w:bookmarkStart w:id="8" w:name="_Hlk190770812"/>
          <m:r>
            <w:rPr>
              <w:rStyle w:val="mclose"/>
              <w:rFonts w:ascii="Cambria Math" w:hAnsi="Cambria Math"/>
            </w:rPr>
            <m:t>32.45+ 20</m:t>
          </m:r>
          <m:func>
            <m:funcPr>
              <m:ctrlPr>
                <w:rPr>
                  <w:rStyle w:val="mclose"/>
                  <w:rFonts w:ascii="Cambria Math" w:hAnsi="Cambria Math"/>
                  <w:bCs/>
                  <w:i/>
                </w:rPr>
              </m:ctrlPr>
            </m:funcPr>
            <m:fName>
              <m:sSub>
                <m:sSubPr>
                  <m:ctrlPr>
                    <w:rPr>
                      <w:rStyle w:val="mclose"/>
                      <w:rFonts w:ascii="Cambria Math" w:hAnsi="Cambria Math"/>
                      <w:bCs/>
                      <w:i/>
                    </w:rPr>
                  </m:ctrlPr>
                </m:sSubPr>
                <m:e>
                  <m:r>
                    <m:rPr>
                      <m:sty m:val="p"/>
                    </m:rPr>
                    <w:rPr>
                      <w:rStyle w:val="mclose"/>
                      <w:rFonts w:ascii="Cambria Math" w:hAnsi="Cambria Math"/>
                    </w:rPr>
                    <m:t>log</m:t>
                  </m:r>
                </m:e>
                <m:sub>
                  <m:r>
                    <w:rPr>
                      <w:rStyle w:val="mclose"/>
                      <w:rFonts w:ascii="Cambria Math" w:hAnsi="Cambria Math"/>
                    </w:rPr>
                    <m:t>10</m:t>
                  </m:r>
                </m:sub>
              </m:sSub>
            </m:fName>
            <m:e>
              <m:r>
                <w:rPr>
                  <w:rStyle w:val="mclose"/>
                  <w:rFonts w:ascii="Cambria Math" w:hAnsi="Cambria Math"/>
                </w:rPr>
                <m:t>(</m:t>
              </m:r>
            </m:e>
          </m:func>
          <m:r>
            <w:rPr>
              <w:rStyle w:val="mclose"/>
              <w:rFonts w:ascii="Cambria Math" w:hAnsi="Cambria Math"/>
            </w:rPr>
            <m:t>f</m:t>
          </m:r>
          <m:d>
            <m:dPr>
              <m:ctrlPr>
                <w:rPr>
                  <w:rStyle w:val="mclose"/>
                  <w:rFonts w:ascii="Cambria Math" w:hAnsi="Cambria Math"/>
                  <w:bCs/>
                  <w:i/>
                </w:rPr>
              </m:ctrlPr>
            </m:dPr>
            <m:e>
              <m:r>
                <w:rPr>
                  <w:rStyle w:val="mclose"/>
                  <w:rFonts w:ascii="Cambria Math" w:hAnsi="Cambria Math"/>
                </w:rPr>
                <m:t>MHz</m:t>
              </m:r>
            </m:e>
          </m:d>
          <m:r>
            <w:rPr>
              <w:rStyle w:val="mclose"/>
              <w:rFonts w:ascii="Cambria Math" w:hAnsi="Cambria Math"/>
            </w:rPr>
            <m:t>)+ 20</m:t>
          </m:r>
          <m:func>
            <m:funcPr>
              <m:ctrlPr>
                <w:rPr>
                  <w:rStyle w:val="mclose"/>
                  <w:rFonts w:ascii="Cambria Math" w:hAnsi="Cambria Math"/>
                  <w:bCs/>
                  <w:i/>
                </w:rPr>
              </m:ctrlPr>
            </m:funcPr>
            <m:fName>
              <m:sSub>
                <m:sSubPr>
                  <m:ctrlPr>
                    <w:rPr>
                      <w:rStyle w:val="mclose"/>
                      <w:rFonts w:ascii="Cambria Math" w:hAnsi="Cambria Math"/>
                      <w:bCs/>
                      <w:i/>
                    </w:rPr>
                  </m:ctrlPr>
                </m:sSubPr>
                <m:e>
                  <m:r>
                    <m:rPr>
                      <m:sty m:val="p"/>
                    </m:rPr>
                    <w:rPr>
                      <w:rStyle w:val="mclose"/>
                      <w:rFonts w:ascii="Cambria Math" w:hAnsi="Cambria Math"/>
                    </w:rPr>
                    <m:t>log</m:t>
                  </m:r>
                </m:e>
                <m:sub>
                  <m:r>
                    <w:rPr>
                      <w:rStyle w:val="mclose"/>
                      <w:rFonts w:ascii="Cambria Math" w:hAnsi="Cambria Math"/>
                    </w:rPr>
                    <m:t>10</m:t>
                  </m:r>
                </m:sub>
              </m:sSub>
            </m:fName>
            <m:e>
              <m:r>
                <w:rPr>
                  <w:rStyle w:val="mclose"/>
                  <w:rFonts w:ascii="Cambria Math" w:hAnsi="Cambria Math"/>
                </w:rPr>
                <m:t>(</m:t>
              </m:r>
            </m:e>
          </m:func>
          <m:r>
            <w:rPr>
              <w:rStyle w:val="mclose"/>
              <w:rFonts w:ascii="Cambria Math" w:hAnsi="Cambria Math"/>
            </w:rPr>
            <m:t>d</m:t>
          </m:r>
          <m:d>
            <m:dPr>
              <m:ctrlPr>
                <w:rPr>
                  <w:rStyle w:val="mclose"/>
                  <w:rFonts w:ascii="Cambria Math" w:hAnsi="Cambria Math"/>
                  <w:bCs/>
                  <w:i/>
                </w:rPr>
              </m:ctrlPr>
            </m:dPr>
            <m:e>
              <m:r>
                <w:rPr>
                  <w:rStyle w:val="mclose"/>
                  <w:rFonts w:ascii="Cambria Math" w:hAnsi="Cambria Math"/>
                </w:rPr>
                <m:t>Km</m:t>
              </m:r>
            </m:e>
          </m:d>
          <m:r>
            <w:rPr>
              <w:rStyle w:val="mclose"/>
              <w:rFonts w:ascii="Cambria Math" w:hAnsi="Cambria Math"/>
            </w:rPr>
            <m:t>)</m:t>
          </m:r>
        </m:oMath>
      </m:oMathPara>
      <w:bookmarkEnd w:id="8"/>
    </w:p>
    <w:p w14:paraId="0BC71A17" w14:textId="531E2AFB" w:rsidR="00623CEB" w:rsidRPr="00C04214" w:rsidRDefault="000D2E90" w:rsidP="00C04214">
      <w:pPr>
        <w:pStyle w:val="2para"/>
        <w:numPr>
          <w:ilvl w:val="0"/>
          <w:numId w:val="0"/>
        </w:numPr>
        <w:tabs>
          <w:tab w:val="left" w:pos="709"/>
        </w:tabs>
        <w:spacing w:after="0"/>
        <w:ind w:left="2127"/>
        <w:rPr>
          <w:rStyle w:val="mclose"/>
          <w:rFonts w:ascii="Cambria Math" w:hAnsi="Cambria Math"/>
          <w:bCs/>
          <w:i/>
        </w:rPr>
      </w:pPr>
      <m:oMathPara>
        <m:oMathParaPr>
          <m:jc m:val="left"/>
        </m:oMathParaPr>
        <m:oMath>
          <m:sSub>
            <m:sSubPr>
              <m:ctrlPr>
                <w:rPr>
                  <w:rStyle w:val="mclose"/>
                  <w:rFonts w:ascii="Cambria Math" w:hAnsi="Cambria Math"/>
                  <w:bCs/>
                  <w:i/>
                </w:rPr>
              </m:ctrlPr>
            </m:sSubPr>
            <m:e>
              <m:r>
                <w:rPr>
                  <w:rStyle w:val="mclose"/>
                  <w:rFonts w:ascii="Cambria Math" w:hAnsi="Cambria Math"/>
                </w:rPr>
                <m:t>L</m:t>
              </m:r>
            </m:e>
            <m:sub>
              <m:r>
                <w:rPr>
                  <w:rStyle w:val="mclose"/>
                  <w:rFonts w:ascii="Cambria Math" w:hAnsi="Cambria Math"/>
                </w:rPr>
                <m:t>p</m:t>
              </m:r>
            </m:sub>
          </m:sSub>
          <m:d>
            <m:dPr>
              <m:ctrlPr>
                <w:rPr>
                  <w:rStyle w:val="mclose"/>
                  <w:rFonts w:ascii="Cambria Math" w:hAnsi="Cambria Math"/>
                  <w:bCs/>
                  <w:i/>
                </w:rPr>
              </m:ctrlPr>
            </m:dPr>
            <m:e>
              <m:r>
                <w:rPr>
                  <w:rStyle w:val="mclose"/>
                  <w:rFonts w:ascii="Cambria Math" w:hAnsi="Cambria Math"/>
                </w:rPr>
                <m:t>dB</m:t>
              </m:r>
            </m:e>
          </m:d>
          <m:r>
            <w:rPr>
              <w:rFonts w:ascii="Cambria Math" w:hAnsi="Cambria Math"/>
              <w:sz w:val="24"/>
              <w:szCs w:val="24"/>
              <w:lang w:eastAsia="en-CA"/>
            </w:rPr>
            <m:t>≈</m:t>
          </m:r>
          <m:r>
            <w:rPr>
              <w:rStyle w:val="mclose"/>
              <w:rFonts w:ascii="Cambria Math" w:hAnsi="Cambria Math"/>
            </w:rPr>
            <m:t xml:space="preserve">32.45+ </m:t>
          </m:r>
          <m:r>
            <m:rPr>
              <m:sty m:val="p"/>
            </m:rPr>
            <w:rPr>
              <w:rStyle w:val="mord"/>
              <w:rFonts w:ascii="Cambria Math" w:hAnsi="Cambria Math"/>
            </w:rPr>
            <m:t>87.8</m:t>
          </m:r>
          <m:r>
            <m:rPr>
              <m:sty m:val="p"/>
            </m:rPr>
            <w:rPr>
              <w:rStyle w:val="mord"/>
              <w:rFonts w:ascii="Cambria Math"/>
            </w:rPr>
            <m:t>+</m:t>
          </m:r>
          <m:r>
            <w:rPr>
              <w:rStyle w:val="mclose"/>
              <w:rFonts w:ascii="Cambria Math" w:hAnsi="Cambria Math"/>
            </w:rPr>
            <m:t>20</m:t>
          </m:r>
          <m:func>
            <m:funcPr>
              <m:ctrlPr>
                <w:rPr>
                  <w:rStyle w:val="mclose"/>
                  <w:rFonts w:ascii="Cambria Math" w:hAnsi="Cambria Math"/>
                  <w:bCs/>
                  <w:i/>
                </w:rPr>
              </m:ctrlPr>
            </m:funcPr>
            <m:fName>
              <m:sSub>
                <m:sSubPr>
                  <m:ctrlPr>
                    <w:rPr>
                      <w:rStyle w:val="mclose"/>
                      <w:rFonts w:ascii="Cambria Math" w:hAnsi="Cambria Math"/>
                      <w:bCs/>
                      <w:i/>
                    </w:rPr>
                  </m:ctrlPr>
                </m:sSubPr>
                <m:e>
                  <m:r>
                    <m:rPr>
                      <m:sty m:val="p"/>
                    </m:rPr>
                    <w:rPr>
                      <w:rStyle w:val="mclose"/>
                      <w:rFonts w:ascii="Cambria Math" w:hAnsi="Cambria Math"/>
                    </w:rPr>
                    <m:t>log</m:t>
                  </m:r>
                </m:e>
                <m:sub>
                  <m:r>
                    <w:rPr>
                      <w:rStyle w:val="mclose"/>
                      <w:rFonts w:ascii="Cambria Math" w:hAnsi="Cambria Math"/>
                    </w:rPr>
                    <m:t>10</m:t>
                  </m:r>
                </m:sub>
              </m:sSub>
            </m:fName>
            <m:e>
              <m:r>
                <w:rPr>
                  <w:rStyle w:val="mclose"/>
                  <w:rFonts w:ascii="Cambria Math" w:hAnsi="Cambria Math"/>
                </w:rPr>
                <m:t>(</m:t>
              </m:r>
            </m:e>
          </m:func>
          <m:r>
            <w:rPr>
              <w:rStyle w:val="mclose"/>
              <w:rFonts w:ascii="Cambria Math" w:hAnsi="Cambria Math"/>
            </w:rPr>
            <m:t>d</m:t>
          </m:r>
          <m:d>
            <m:dPr>
              <m:ctrlPr>
                <w:rPr>
                  <w:rStyle w:val="mclose"/>
                  <w:rFonts w:ascii="Cambria Math" w:hAnsi="Cambria Math"/>
                  <w:bCs/>
                  <w:i/>
                </w:rPr>
              </m:ctrlPr>
            </m:dPr>
            <m:e>
              <m:r>
                <w:rPr>
                  <w:rStyle w:val="mclose"/>
                  <w:rFonts w:ascii="Cambria Math" w:hAnsi="Cambria Math"/>
                </w:rPr>
                <m:t>Km</m:t>
              </m:r>
            </m:e>
          </m:d>
          <m:r>
            <w:rPr>
              <w:rStyle w:val="mclose"/>
              <w:rFonts w:ascii="Cambria Math" w:hAnsi="Cambria Math"/>
            </w:rPr>
            <m:t>)</m:t>
          </m:r>
        </m:oMath>
      </m:oMathPara>
    </w:p>
    <w:p w14:paraId="70408F83" w14:textId="388F631D" w:rsidR="00623CEB" w:rsidRPr="00C04214" w:rsidRDefault="000D2E90" w:rsidP="00C04214">
      <w:pPr>
        <w:pStyle w:val="2para"/>
        <w:numPr>
          <w:ilvl w:val="0"/>
          <w:numId w:val="0"/>
        </w:numPr>
        <w:spacing w:after="120"/>
        <w:ind w:left="2127"/>
        <w:rPr>
          <w:rStyle w:val="mclose"/>
          <w:rFonts w:ascii="Cambria Math" w:hAnsi="Cambria Math"/>
          <w:bCs/>
          <w:i/>
        </w:rPr>
      </w:pPr>
      <m:oMathPara>
        <m:oMathParaPr>
          <m:jc m:val="left"/>
        </m:oMathParaPr>
        <m:oMath>
          <m:sSub>
            <m:sSubPr>
              <m:ctrlPr>
                <w:rPr>
                  <w:rStyle w:val="mclose"/>
                  <w:rFonts w:ascii="Cambria Math" w:hAnsi="Cambria Math"/>
                  <w:bCs/>
                  <w:i/>
                </w:rPr>
              </m:ctrlPr>
            </m:sSubPr>
            <m:e>
              <m:r>
                <w:rPr>
                  <w:rStyle w:val="mclose"/>
                  <w:rFonts w:ascii="Cambria Math" w:hAnsi="Cambria Math"/>
                </w:rPr>
                <m:t>L</m:t>
              </m:r>
            </m:e>
            <m:sub>
              <m:r>
                <w:rPr>
                  <w:rStyle w:val="mclose"/>
                  <w:rFonts w:ascii="Cambria Math" w:hAnsi="Cambria Math"/>
                </w:rPr>
                <m:t>p</m:t>
              </m:r>
            </m:sub>
          </m:sSub>
          <m:d>
            <m:dPr>
              <m:ctrlPr>
                <w:rPr>
                  <w:rStyle w:val="mclose"/>
                  <w:rFonts w:ascii="Cambria Math" w:hAnsi="Cambria Math"/>
                  <w:bCs/>
                  <w:i/>
                </w:rPr>
              </m:ctrlPr>
            </m:dPr>
            <m:e>
              <m:r>
                <w:rPr>
                  <w:rStyle w:val="mclose"/>
                  <w:rFonts w:ascii="Cambria Math" w:hAnsi="Cambria Math"/>
                </w:rPr>
                <m:t>dB</m:t>
              </m:r>
            </m:e>
          </m:d>
          <m:r>
            <w:rPr>
              <w:rFonts w:ascii="Cambria Math" w:hAnsi="Cambria Math"/>
              <w:sz w:val="24"/>
              <w:szCs w:val="24"/>
              <w:lang w:eastAsia="en-CA"/>
            </w:rPr>
            <m:t>≈</m:t>
          </m:r>
          <m:r>
            <w:rPr>
              <w:rStyle w:val="mclose"/>
              <w:rFonts w:ascii="Cambria Math" w:hAnsi="Cambria Math"/>
            </w:rPr>
            <m:t>120.2</m:t>
          </m:r>
          <m:r>
            <m:rPr>
              <m:sty m:val="p"/>
            </m:rPr>
            <w:rPr>
              <w:rStyle w:val="mord"/>
              <w:rFonts w:ascii="Cambria Math"/>
            </w:rPr>
            <m:t>+</m:t>
          </m:r>
          <m:r>
            <w:rPr>
              <w:rStyle w:val="mclose"/>
              <w:rFonts w:ascii="Cambria Math" w:hAnsi="Cambria Math"/>
            </w:rPr>
            <m:t>20</m:t>
          </m:r>
          <m:func>
            <m:funcPr>
              <m:ctrlPr>
                <w:rPr>
                  <w:rStyle w:val="mclose"/>
                  <w:rFonts w:ascii="Cambria Math" w:hAnsi="Cambria Math"/>
                  <w:bCs/>
                  <w:i/>
                </w:rPr>
              </m:ctrlPr>
            </m:funcPr>
            <m:fName>
              <m:sSub>
                <m:sSubPr>
                  <m:ctrlPr>
                    <w:rPr>
                      <w:rStyle w:val="mclose"/>
                      <w:rFonts w:ascii="Cambria Math" w:hAnsi="Cambria Math"/>
                      <w:bCs/>
                      <w:i/>
                    </w:rPr>
                  </m:ctrlPr>
                </m:sSubPr>
                <m:e>
                  <m:r>
                    <m:rPr>
                      <m:sty m:val="p"/>
                    </m:rPr>
                    <w:rPr>
                      <w:rStyle w:val="mclose"/>
                      <w:rFonts w:ascii="Cambria Math" w:hAnsi="Cambria Math"/>
                    </w:rPr>
                    <m:t>log</m:t>
                  </m:r>
                </m:e>
                <m:sub>
                  <m:r>
                    <w:rPr>
                      <w:rStyle w:val="mclose"/>
                      <w:rFonts w:ascii="Cambria Math" w:hAnsi="Cambria Math"/>
                    </w:rPr>
                    <m:t>10</m:t>
                  </m:r>
                </m:sub>
              </m:sSub>
            </m:fName>
            <m:e>
              <m:r>
                <w:rPr>
                  <w:rStyle w:val="mclose"/>
                  <w:rFonts w:ascii="Cambria Math" w:hAnsi="Cambria Math"/>
                </w:rPr>
                <m:t>(</m:t>
              </m:r>
            </m:e>
          </m:func>
          <m:r>
            <w:rPr>
              <w:rStyle w:val="mclose"/>
              <w:rFonts w:ascii="Cambria Math" w:hAnsi="Cambria Math"/>
            </w:rPr>
            <m:t>d</m:t>
          </m:r>
          <m:d>
            <m:dPr>
              <m:ctrlPr>
                <w:rPr>
                  <w:rStyle w:val="mclose"/>
                  <w:rFonts w:ascii="Cambria Math" w:hAnsi="Cambria Math"/>
                  <w:bCs/>
                  <w:i/>
                </w:rPr>
              </m:ctrlPr>
            </m:dPr>
            <m:e>
              <m:r>
                <w:rPr>
                  <w:rStyle w:val="mclose"/>
                  <w:rFonts w:ascii="Cambria Math" w:hAnsi="Cambria Math"/>
                </w:rPr>
                <m:t>Km</m:t>
              </m:r>
            </m:e>
          </m:d>
          <m:r>
            <w:rPr>
              <w:rStyle w:val="mclose"/>
              <w:rFonts w:ascii="Cambria Math" w:hAnsi="Cambria Math"/>
            </w:rPr>
            <m:t>)</m:t>
          </m:r>
        </m:oMath>
      </m:oMathPara>
    </w:p>
    <w:p w14:paraId="318FC4A3" w14:textId="3A3A7666" w:rsidR="00C04214" w:rsidRPr="002F305B" w:rsidRDefault="00C04214" w:rsidP="00C04214">
      <w:pPr>
        <w:spacing w:before="120" w:after="120"/>
        <w:ind w:left="2127" w:right="958" w:hanging="2127"/>
        <w:jc w:val="left"/>
        <w:rPr>
          <w:rFonts w:eastAsia="MS Mincho"/>
          <w:bCs/>
          <w:lang w:eastAsia="en-CA"/>
        </w:rPr>
      </w:pPr>
      <w:r w:rsidRPr="002F305B">
        <w:rPr>
          <w:rFonts w:eastAsia="MS Mincho"/>
          <w:bCs/>
        </w:rPr>
        <w:lastRenderedPageBreak/>
        <w:t xml:space="preserve">For </w:t>
      </w:r>
      <m:oMath>
        <m:r>
          <w:rPr>
            <w:rFonts w:ascii="Cambria Math" w:eastAsia="MS Mincho" w:hAnsi="Cambria Math"/>
          </w:rPr>
          <m:t>f</m:t>
        </m:r>
      </m:oMath>
      <w:r w:rsidRPr="002F305B">
        <w:rPr>
          <w:rFonts w:eastAsia="MS Mincho"/>
          <w:bCs/>
        </w:rPr>
        <w:t xml:space="preserve"> =24,500 </w:t>
      </w:r>
      <m:oMath>
        <m:r>
          <w:rPr>
            <w:rFonts w:ascii="Cambria Math" w:eastAsia="MS Mincho" w:hAnsi="Cambria Math"/>
          </w:rPr>
          <m:t>MHz</m:t>
        </m:r>
      </m:oMath>
      <w:r w:rsidRPr="002F305B">
        <w:rPr>
          <w:rFonts w:eastAsia="MS Mincho"/>
          <w:bCs/>
        </w:rPr>
        <w:t>,  the estimated interference power caused by the DAA radar:</w:t>
      </w:r>
      <w:r w:rsidRPr="002F305B">
        <w:rPr>
          <w:rFonts w:eastAsia="MS Mincho"/>
          <w:bCs/>
          <w:lang w:eastAsia="en-CA"/>
        </w:rPr>
        <w:t xml:space="preserve">                  </w:t>
      </w:r>
      <m:oMath>
        <m:sSub>
          <m:sSubPr>
            <m:ctrlPr>
              <w:rPr>
                <w:rFonts w:ascii="Cambria Math" w:eastAsia="MS Mincho" w:hAnsi="Cambria Math"/>
                <w:bCs/>
                <w:i/>
              </w:rPr>
            </m:ctrlPr>
          </m:sSubPr>
          <m:e>
            <m:r>
              <w:rPr>
                <w:rFonts w:ascii="Cambria Math" w:eastAsia="MS Mincho" w:hAnsi="Cambria Math"/>
              </w:rPr>
              <m:t>P</m:t>
            </m:r>
          </m:e>
          <m:sub>
            <m:r>
              <w:rPr>
                <w:rFonts w:ascii="Cambria Math" w:eastAsia="MS Mincho" w:hAnsi="Cambria Math"/>
              </w:rPr>
              <m:t>int</m:t>
            </m:r>
          </m:sub>
        </m:sSub>
        <m:r>
          <w:rPr>
            <w:rFonts w:ascii="Cambria Math" w:eastAsia="MS Mincho" w:hAnsi="Cambria Math"/>
            <w:lang w:val="en-CA"/>
          </w:rPr>
          <m:t xml:space="preserve"> </m:t>
        </m:r>
        <w:bookmarkStart w:id="9" w:name="_Hlk190769616"/>
        <m:r>
          <w:rPr>
            <w:rFonts w:ascii="Cambria Math" w:hAnsi="Cambria Math"/>
            <w:sz w:val="24"/>
            <w:szCs w:val="24"/>
            <w:lang w:eastAsia="en-CA"/>
          </w:rPr>
          <m:t>≈35dBm</m:t>
        </m:r>
        <m:r>
          <m:rPr>
            <m:sty m:val="p"/>
          </m:rPr>
          <w:rPr>
            <w:rFonts w:ascii="Cambria Math" w:hAnsi="Cambria Math"/>
            <w:sz w:val="24"/>
            <w:szCs w:val="24"/>
            <w:lang w:eastAsia="en-CA"/>
          </w:rPr>
          <m:t xml:space="preserve"> </m:t>
        </m:r>
        <m:r>
          <m:rPr>
            <m:sty m:val="p"/>
          </m:rPr>
          <w:rPr>
            <w:rFonts w:ascii="Cambria Math"/>
            <w:sz w:val="24"/>
            <w:szCs w:val="24"/>
            <w:lang w:eastAsia="en-CA"/>
          </w:rPr>
          <m:t xml:space="preserve">+ </m:t>
        </m:r>
        <m:r>
          <m:rPr>
            <m:sty m:val="p"/>
          </m:rPr>
          <w:rPr>
            <w:rFonts w:ascii="Cambria Math" w:eastAsia="MS Mincho" w:hAnsi="Cambria Math"/>
            <w:lang w:val="en-CA"/>
          </w:rPr>
          <m:t>27dBi</m:t>
        </m:r>
        <w:bookmarkEnd w:id="9"/>
        <m:r>
          <m:rPr>
            <m:sty m:val="p"/>
          </m:rPr>
          <w:rPr>
            <w:rFonts w:ascii="Cambria Math" w:eastAsia="MS Mincho" w:hAnsi="Cambria Math"/>
            <w:lang w:val="en-CA"/>
          </w:rPr>
          <m:t>+</m:t>
        </m:r>
        <m:r>
          <m:rPr>
            <m:sty m:val="p"/>
          </m:rPr>
          <w:rPr>
            <w:rFonts w:ascii="Cambria Math" w:eastAsia="MS Mincho" w:hAnsi="Cambria Math"/>
          </w:rPr>
          <m:t>45</m:t>
        </m:r>
        <m:r>
          <m:rPr>
            <m:sty m:val="p"/>
          </m:rPr>
          <w:rPr>
            <w:rFonts w:ascii="Cambria Math" w:eastAsia="MS Mincho" w:hAnsi="Cambria Math"/>
            <w:lang w:val="en-CA"/>
          </w:rPr>
          <m:t xml:space="preserve">dBi-L_p (dB)- </m:t>
        </m:r>
        <m:sSub>
          <m:sSubPr>
            <m:ctrlPr>
              <w:rPr>
                <w:rFonts w:ascii="Cambria Math" w:eastAsia="MS Mincho" w:hAnsi="Cambria Math"/>
                <w:bCs/>
                <w:i/>
              </w:rPr>
            </m:ctrlPr>
          </m:sSubPr>
          <m:e>
            <m:r>
              <w:rPr>
                <w:rFonts w:ascii="Cambria Math" w:eastAsia="MS Mincho" w:hAnsi="Cambria Math"/>
              </w:rPr>
              <m:t>L</m:t>
            </m:r>
          </m:e>
          <m:sub>
            <m:sSub>
              <m:sSubPr>
                <m:ctrlPr>
                  <w:rPr>
                    <w:rFonts w:ascii="Cambria Math" w:eastAsia="MS Mincho" w:hAnsi="Cambria Math"/>
                    <w:bCs/>
                    <w:i/>
                  </w:rPr>
                </m:ctrlPr>
              </m:sSubPr>
              <m:e>
                <m:r>
                  <w:rPr>
                    <w:rFonts w:ascii="Cambria Math" w:eastAsia="MS Mincho" w:hAnsi="Cambria Math"/>
                  </w:rPr>
                  <m:t>m</m:t>
                </m:r>
              </m:e>
              <m:sub>
                <m:r>
                  <w:rPr>
                    <w:rFonts w:ascii="Cambria Math" w:eastAsia="MS Mincho" w:hAnsi="Cambria Math"/>
                  </w:rPr>
                  <m:t>i</m:t>
                </m:r>
              </m:sub>
            </m:sSub>
            <m:r>
              <w:rPr>
                <w:rFonts w:ascii="Cambria Math" w:eastAsia="MS Mincho" w:hAnsi="Cambria Math"/>
              </w:rPr>
              <m:t>sC</m:t>
            </m:r>
          </m:sub>
        </m:sSub>
      </m:oMath>
    </w:p>
    <w:p w14:paraId="73777A01" w14:textId="710DDB4B" w:rsidR="00C04214" w:rsidRPr="00C04214" w:rsidRDefault="00C04214" w:rsidP="007B141E">
      <w:pPr>
        <w:tabs>
          <w:tab w:val="left" w:pos="8647"/>
        </w:tabs>
        <w:ind w:left="1560" w:right="1101"/>
        <w:rPr>
          <w:rFonts w:eastAsia="MS Mincho"/>
        </w:rPr>
      </w:pPr>
      <w:bookmarkStart w:id="10" w:name="_Hlk190770741"/>
      <w:r w:rsidRPr="00C04214">
        <w:rPr>
          <w:rFonts w:eastAsia="MS Mincho"/>
        </w:rPr>
        <w:t xml:space="preserve">       </w:t>
      </w:r>
      <m:oMath>
        <m:sSub>
          <m:sSubPr>
            <m:ctrlPr>
              <w:rPr>
                <w:rFonts w:ascii="Cambria Math" w:eastAsia="MS Mincho" w:hAnsi="Cambria Math"/>
                <w:i/>
              </w:rPr>
            </m:ctrlPr>
          </m:sSubPr>
          <m:e>
            <m:r>
              <w:rPr>
                <w:rFonts w:ascii="Cambria Math" w:eastAsia="MS Mincho" w:hAnsi="Cambria Math"/>
              </w:rPr>
              <m:t>P</m:t>
            </m:r>
          </m:e>
          <m:sub>
            <m:r>
              <w:rPr>
                <w:rFonts w:ascii="Cambria Math" w:eastAsia="MS Mincho" w:hAnsi="Cambria Math"/>
              </w:rPr>
              <m:t>int</m:t>
            </m:r>
          </m:sub>
        </m:sSub>
        <m:r>
          <w:rPr>
            <w:rFonts w:ascii="Cambria Math" w:eastAsia="MS Mincho" w:hAnsi="Cambria Math"/>
          </w:rPr>
          <m:t xml:space="preserve"> </m:t>
        </m:r>
        <m:r>
          <w:rPr>
            <w:rFonts w:ascii="Cambria Math" w:hAnsi="Cambria Math"/>
            <w:sz w:val="24"/>
            <w:szCs w:val="24"/>
            <w:lang w:eastAsia="en-CA"/>
          </w:rPr>
          <m:t>≈35 dBm</m:t>
        </m:r>
        <m:r>
          <m:rPr>
            <m:sty m:val="p"/>
          </m:rPr>
          <w:rPr>
            <w:rFonts w:ascii="Cambria Math" w:hAnsi="Cambria Math"/>
            <w:sz w:val="24"/>
            <w:szCs w:val="24"/>
            <w:lang w:eastAsia="en-CA"/>
          </w:rPr>
          <m:t xml:space="preserve"> </m:t>
        </m:r>
        <m:r>
          <m:rPr>
            <m:sty m:val="p"/>
          </m:rPr>
          <w:rPr>
            <w:rFonts w:ascii="Cambria Math"/>
            <w:sz w:val="24"/>
            <w:szCs w:val="24"/>
            <w:lang w:eastAsia="en-CA"/>
          </w:rPr>
          <m:t xml:space="preserve">+ </m:t>
        </m:r>
        <m:r>
          <m:rPr>
            <m:sty m:val="p"/>
          </m:rPr>
          <w:rPr>
            <w:rFonts w:ascii="Cambria Math" w:eastAsia="MS Mincho" w:hAnsi="Cambria Math"/>
          </w:rPr>
          <m:t>27 dBi+45 dBi</m:t>
        </m:r>
        <m:r>
          <w:rPr>
            <w:rFonts w:ascii="Cambria Math" w:hAnsi="Cambria Math"/>
            <w:sz w:val="24"/>
            <w:szCs w:val="24"/>
            <w:lang w:eastAsia="en-CA"/>
          </w:rPr>
          <m:t>-</m:t>
        </m:r>
        <m:r>
          <w:rPr>
            <w:rFonts w:ascii="Cambria Math" w:eastAsia="MS Mincho" w:hAnsi="Cambria Math"/>
          </w:rPr>
          <m:t>120.2</m:t>
        </m:r>
        <m:r>
          <m:rPr>
            <m:sty m:val="p"/>
          </m:rPr>
          <w:rPr>
            <w:rFonts w:ascii="Cambria Math" w:eastAsia="MS Mincho"/>
          </w:rPr>
          <m:t>-</m:t>
        </m:r>
        <m:r>
          <w:rPr>
            <w:rFonts w:ascii="Cambria Math" w:eastAsia="MS Mincho" w:hAnsi="Cambria Math"/>
          </w:rPr>
          <m:t>20</m:t>
        </m:r>
        <m:func>
          <m:funcPr>
            <m:ctrlPr>
              <w:rPr>
                <w:rFonts w:ascii="Cambria Math" w:eastAsia="MS Mincho" w:hAnsi="Cambria Math"/>
                <w:i/>
              </w:rPr>
            </m:ctrlPr>
          </m:funcPr>
          <m:fName>
            <m:sSub>
              <m:sSubPr>
                <m:ctrlPr>
                  <w:rPr>
                    <w:rFonts w:ascii="Cambria Math" w:eastAsia="MS Mincho" w:hAnsi="Cambria Math"/>
                    <w:i/>
                  </w:rPr>
                </m:ctrlPr>
              </m:sSubPr>
              <m:e>
                <m:r>
                  <m:rPr>
                    <m:sty m:val="p"/>
                  </m:rPr>
                  <w:rPr>
                    <w:rFonts w:ascii="Cambria Math" w:eastAsia="MS Mincho" w:hAnsi="Cambria Math"/>
                  </w:rPr>
                  <m:t>log</m:t>
                </m:r>
              </m:e>
              <m:sub>
                <m:r>
                  <w:rPr>
                    <w:rFonts w:ascii="Cambria Math" w:eastAsia="MS Mincho" w:hAnsi="Cambria Math"/>
                  </w:rPr>
                  <m:t>10</m:t>
                </m:r>
              </m:sub>
            </m:sSub>
          </m:fName>
          <m:e>
            <m:r>
              <w:rPr>
                <w:rFonts w:ascii="Cambria Math" w:eastAsia="MS Mincho" w:hAnsi="Cambria Math"/>
              </w:rPr>
              <m:t>(</m:t>
            </m:r>
          </m:e>
        </m:func>
        <m:r>
          <w:rPr>
            <w:rFonts w:ascii="Cambria Math" w:eastAsia="MS Mincho" w:hAnsi="Cambria Math"/>
          </w:rPr>
          <m:t>d</m:t>
        </m:r>
        <m:d>
          <m:dPr>
            <m:ctrlPr>
              <w:rPr>
                <w:rFonts w:ascii="Cambria Math" w:eastAsia="MS Mincho" w:hAnsi="Cambria Math"/>
                <w:i/>
              </w:rPr>
            </m:ctrlPr>
          </m:dPr>
          <m:e>
            <m:r>
              <w:rPr>
                <w:rFonts w:ascii="Cambria Math" w:eastAsia="MS Mincho" w:hAnsi="Cambria Math"/>
              </w:rPr>
              <m:t>Km</m:t>
            </m:r>
          </m:e>
        </m:d>
        <m:r>
          <w:rPr>
            <w:rFonts w:ascii="Cambria Math" w:eastAsia="MS Mincho" w:hAnsi="Cambria Math"/>
          </w:rPr>
          <m:t>)</m:t>
        </m:r>
        <m:r>
          <m:rPr>
            <m:sty m:val="p"/>
          </m:rPr>
          <w:rPr>
            <w:rFonts w:ascii="Cambria Math" w:eastAsia="MS Mincho" w:hAnsi="Cambria Math"/>
          </w:rPr>
          <m:t xml:space="preserve">- </m:t>
        </m:r>
        <m:sSub>
          <m:sSubPr>
            <m:ctrlPr>
              <w:rPr>
                <w:rFonts w:ascii="Cambria Math" w:eastAsia="MS Mincho" w:hAnsi="Cambria Math"/>
                <w:i/>
              </w:rPr>
            </m:ctrlPr>
          </m:sSubPr>
          <m:e>
            <m:r>
              <w:rPr>
                <w:rFonts w:ascii="Cambria Math" w:eastAsia="MS Mincho" w:hAnsi="Cambria Math"/>
              </w:rPr>
              <m:t>L</m:t>
            </m:r>
          </m:e>
          <m:sub>
            <m:sSub>
              <m:sSubPr>
                <m:ctrlPr>
                  <w:rPr>
                    <w:rFonts w:ascii="Cambria Math" w:eastAsia="MS Mincho" w:hAnsi="Cambria Math"/>
                    <w:i/>
                  </w:rPr>
                </m:ctrlPr>
              </m:sSubPr>
              <m:e>
                <m:r>
                  <w:rPr>
                    <w:rFonts w:ascii="Cambria Math" w:eastAsia="MS Mincho" w:hAnsi="Cambria Math"/>
                  </w:rPr>
                  <m:t>m</m:t>
                </m:r>
              </m:e>
              <m:sub>
                <m:r>
                  <w:rPr>
                    <w:rFonts w:ascii="Cambria Math" w:eastAsia="MS Mincho" w:hAnsi="Cambria Math"/>
                  </w:rPr>
                  <m:t>i</m:t>
                </m:r>
              </m:sub>
            </m:sSub>
            <m:r>
              <w:rPr>
                <w:rFonts w:ascii="Cambria Math" w:eastAsia="MS Mincho" w:hAnsi="Cambria Math"/>
              </w:rPr>
              <m:t>sC</m:t>
            </m:r>
          </m:sub>
        </m:sSub>
        <m:r>
          <w:rPr>
            <w:rFonts w:ascii="Cambria Math" w:eastAsia="MS Mincho" w:hAnsi="Cambria Math"/>
          </w:rPr>
          <m:t xml:space="preserve"> </m:t>
        </m:r>
      </m:oMath>
    </w:p>
    <w:p w14:paraId="49905B91" w14:textId="4BC5B7C7" w:rsidR="00C04214" w:rsidRPr="00C04214" w:rsidRDefault="00C04214" w:rsidP="007B141E">
      <w:pPr>
        <w:ind w:left="1701" w:right="109"/>
        <w:rPr>
          <w:rFonts w:eastAsia="MS Mincho"/>
        </w:rPr>
      </w:pPr>
      <w:r w:rsidRPr="00C04214">
        <w:rPr>
          <w:rFonts w:eastAsia="MS Mincho"/>
        </w:rPr>
        <w:t xml:space="preserve">      </w:t>
      </w:r>
      <m:oMath>
        <m:sSub>
          <m:sSubPr>
            <m:ctrlPr>
              <w:rPr>
                <w:rFonts w:ascii="Cambria Math" w:eastAsia="MS Mincho" w:hAnsi="Cambria Math"/>
                <w:i/>
              </w:rPr>
            </m:ctrlPr>
          </m:sSubPr>
          <m:e>
            <m:r>
              <w:rPr>
                <w:rFonts w:ascii="Cambria Math" w:eastAsia="MS Mincho" w:hAnsi="Cambria Math"/>
              </w:rPr>
              <m:t>P</m:t>
            </m:r>
          </m:e>
          <m:sub>
            <m:r>
              <w:rPr>
                <w:rFonts w:ascii="Cambria Math" w:eastAsia="MS Mincho" w:hAnsi="Cambria Math"/>
              </w:rPr>
              <m:t>int</m:t>
            </m:r>
          </m:sub>
        </m:sSub>
        <m:r>
          <w:rPr>
            <w:rFonts w:ascii="Cambria Math" w:eastAsia="MS Mincho" w:hAnsi="Cambria Math"/>
          </w:rPr>
          <m:t xml:space="preserve"> </m:t>
        </m:r>
        <m:r>
          <w:rPr>
            <w:rFonts w:ascii="Cambria Math" w:hAnsi="Cambria Math"/>
            <w:sz w:val="24"/>
            <w:szCs w:val="24"/>
            <w:lang w:eastAsia="en-CA"/>
          </w:rPr>
          <m:t>≈-13.25 dBm-</m:t>
        </m:r>
        <m:r>
          <w:rPr>
            <w:rFonts w:ascii="Cambria Math" w:eastAsia="MS Mincho" w:hAnsi="Cambria Math"/>
          </w:rPr>
          <m:t>20</m:t>
        </m:r>
        <m:func>
          <m:funcPr>
            <m:ctrlPr>
              <w:rPr>
                <w:rFonts w:ascii="Cambria Math" w:eastAsia="MS Mincho" w:hAnsi="Cambria Math"/>
                <w:i/>
              </w:rPr>
            </m:ctrlPr>
          </m:funcPr>
          <m:fName>
            <m:sSub>
              <m:sSubPr>
                <m:ctrlPr>
                  <w:rPr>
                    <w:rFonts w:ascii="Cambria Math" w:eastAsia="MS Mincho" w:hAnsi="Cambria Math"/>
                    <w:i/>
                  </w:rPr>
                </m:ctrlPr>
              </m:sSubPr>
              <m:e>
                <m:r>
                  <m:rPr>
                    <m:sty m:val="p"/>
                  </m:rPr>
                  <w:rPr>
                    <w:rFonts w:ascii="Cambria Math" w:eastAsia="MS Mincho" w:hAnsi="Cambria Math"/>
                  </w:rPr>
                  <m:t>log</m:t>
                </m:r>
              </m:e>
              <m:sub>
                <m:r>
                  <w:rPr>
                    <w:rFonts w:ascii="Cambria Math" w:eastAsia="MS Mincho" w:hAnsi="Cambria Math"/>
                  </w:rPr>
                  <m:t>10</m:t>
                </m:r>
              </m:sub>
            </m:sSub>
          </m:fName>
          <m:e>
            <m:r>
              <w:rPr>
                <w:rFonts w:ascii="Cambria Math" w:eastAsia="MS Mincho" w:hAnsi="Cambria Math"/>
              </w:rPr>
              <m:t>(</m:t>
            </m:r>
          </m:e>
        </m:func>
        <m:r>
          <w:rPr>
            <w:rFonts w:ascii="Cambria Math" w:eastAsia="MS Mincho" w:hAnsi="Cambria Math"/>
          </w:rPr>
          <m:t>d</m:t>
        </m:r>
        <m:d>
          <m:dPr>
            <m:ctrlPr>
              <w:rPr>
                <w:rFonts w:ascii="Cambria Math" w:eastAsia="MS Mincho" w:hAnsi="Cambria Math"/>
                <w:i/>
              </w:rPr>
            </m:ctrlPr>
          </m:dPr>
          <m:e>
            <m:r>
              <w:rPr>
                <w:rFonts w:ascii="Cambria Math" w:eastAsia="MS Mincho" w:hAnsi="Cambria Math"/>
              </w:rPr>
              <m:t>Km</m:t>
            </m:r>
          </m:e>
        </m:d>
        <m:r>
          <w:rPr>
            <w:rFonts w:ascii="Cambria Math" w:eastAsia="MS Mincho" w:hAnsi="Cambria Math"/>
          </w:rPr>
          <m:t>)</m:t>
        </m:r>
        <m:r>
          <m:rPr>
            <m:sty m:val="p"/>
          </m:rPr>
          <w:rPr>
            <w:rFonts w:ascii="Cambria Math" w:eastAsia="MS Mincho" w:hAnsi="Cambria Math"/>
          </w:rPr>
          <m:t xml:space="preserve">- </m:t>
        </m:r>
        <m:sSub>
          <m:sSubPr>
            <m:ctrlPr>
              <w:rPr>
                <w:rFonts w:ascii="Cambria Math" w:eastAsia="MS Mincho" w:hAnsi="Cambria Math"/>
                <w:i/>
              </w:rPr>
            </m:ctrlPr>
          </m:sSubPr>
          <m:e>
            <m:r>
              <w:rPr>
                <w:rFonts w:ascii="Cambria Math" w:eastAsia="MS Mincho" w:hAnsi="Cambria Math"/>
              </w:rPr>
              <m:t>L</m:t>
            </m:r>
          </m:e>
          <m:sub>
            <m:sSub>
              <m:sSubPr>
                <m:ctrlPr>
                  <w:rPr>
                    <w:rFonts w:ascii="Cambria Math" w:eastAsia="MS Mincho" w:hAnsi="Cambria Math"/>
                    <w:i/>
                  </w:rPr>
                </m:ctrlPr>
              </m:sSubPr>
              <m:e>
                <m:r>
                  <w:rPr>
                    <w:rFonts w:ascii="Cambria Math" w:eastAsia="MS Mincho" w:hAnsi="Cambria Math"/>
                  </w:rPr>
                  <m:t>m</m:t>
                </m:r>
              </m:e>
              <m:sub>
                <m:r>
                  <w:rPr>
                    <w:rFonts w:ascii="Cambria Math" w:eastAsia="MS Mincho" w:hAnsi="Cambria Math"/>
                  </w:rPr>
                  <m:t>i</m:t>
                </m:r>
              </m:sub>
            </m:sSub>
            <m:r>
              <w:rPr>
                <w:rFonts w:ascii="Cambria Math" w:eastAsia="MS Mincho" w:hAnsi="Cambria Math"/>
              </w:rPr>
              <m:t>sC</m:t>
            </m:r>
          </m:sub>
        </m:sSub>
      </m:oMath>
    </w:p>
    <w:p w14:paraId="4215B666" w14:textId="77777777" w:rsidR="00C04214" w:rsidRPr="00C04214" w:rsidRDefault="00C04214" w:rsidP="00C04214">
      <w:pPr>
        <w:spacing w:before="240" w:after="120"/>
        <w:ind w:right="2880"/>
        <w:rPr>
          <w:rFonts w:eastAsia="MS Mincho"/>
        </w:rPr>
      </w:pPr>
      <w:r w:rsidRPr="00C04214">
        <w:rPr>
          <w:rFonts w:eastAsia="MS Mincho"/>
        </w:rPr>
        <w:t xml:space="preserve">For an assuming mismatching </w:t>
      </w:r>
      <w:proofErr w:type="gramStart"/>
      <w:r w:rsidRPr="00C04214">
        <w:rPr>
          <w:rFonts w:eastAsia="MS Mincho"/>
        </w:rPr>
        <w:t>losses</w:t>
      </w:r>
      <w:proofErr w:type="gramEnd"/>
      <w:r w:rsidRPr="00C04214">
        <w:rPr>
          <w:rFonts w:eastAsia="MS Mincho"/>
        </w:rPr>
        <w:t xml:space="preserve"> of 6dB, </w:t>
      </w:r>
    </w:p>
    <w:bookmarkEnd w:id="10"/>
    <w:p w14:paraId="56033009" w14:textId="7B0BCFFE" w:rsidR="00C04214" w:rsidRPr="00C04214" w:rsidRDefault="000D2E90" w:rsidP="00C04214">
      <w:pPr>
        <w:ind w:left="2127" w:right="1101"/>
        <w:rPr>
          <w:rFonts w:eastAsia="MS Mincho"/>
        </w:rPr>
      </w:pPr>
      <m:oMathPara>
        <m:oMathParaPr>
          <m:jc m:val="left"/>
        </m:oMathParaPr>
        <m:oMath>
          <m:sSub>
            <m:sSubPr>
              <m:ctrlPr>
                <w:rPr>
                  <w:rFonts w:ascii="Cambria Math" w:eastAsia="MS Mincho" w:hAnsi="Cambria Math"/>
                  <w:i/>
                </w:rPr>
              </m:ctrlPr>
            </m:sSubPr>
            <m:e>
              <m:r>
                <w:rPr>
                  <w:rFonts w:ascii="Cambria Math" w:eastAsia="MS Mincho" w:hAnsi="Cambria Math"/>
                </w:rPr>
                <m:t>P</m:t>
              </m:r>
            </m:e>
            <m:sub>
              <m:r>
                <w:rPr>
                  <w:rFonts w:ascii="Cambria Math" w:eastAsia="MS Mincho" w:hAnsi="Cambria Math"/>
                </w:rPr>
                <m:t>int</m:t>
              </m:r>
            </m:sub>
          </m:sSub>
          <m:r>
            <w:rPr>
              <w:rFonts w:ascii="Cambria Math" w:eastAsia="MS Mincho" w:hAnsi="Cambria Math"/>
              <w:lang w:val="it-IT"/>
            </w:rPr>
            <m:t xml:space="preserve"> </m:t>
          </m:r>
          <m:r>
            <w:rPr>
              <w:rFonts w:ascii="Cambria Math" w:hAnsi="Cambria Math"/>
              <w:sz w:val="24"/>
              <w:szCs w:val="24"/>
              <w:lang w:eastAsia="en-CA"/>
            </w:rPr>
            <m:t xml:space="preserve">≈-19.25 </m:t>
          </m:r>
          <m:r>
            <w:rPr>
              <w:rFonts w:ascii="Cambria Math" w:hAnsi="Cambria Math"/>
              <w:sz w:val="24"/>
              <w:szCs w:val="24"/>
              <w:lang w:eastAsia="en-CA"/>
            </w:rPr>
            <m:t>dBm</m:t>
          </m:r>
          <m:r>
            <w:rPr>
              <w:rFonts w:ascii="Cambria Math" w:hAnsi="Cambria Math"/>
              <w:sz w:val="24"/>
              <w:szCs w:val="24"/>
              <w:lang w:eastAsia="en-CA"/>
            </w:rPr>
            <m:t>-</m:t>
          </m:r>
          <m:r>
            <w:rPr>
              <w:rFonts w:ascii="Cambria Math" w:eastAsia="MS Mincho" w:hAnsi="Cambria Math"/>
            </w:rPr>
            <m:t>20</m:t>
          </m:r>
          <m:func>
            <m:funcPr>
              <m:ctrlPr>
                <w:rPr>
                  <w:rFonts w:ascii="Cambria Math" w:eastAsia="MS Mincho" w:hAnsi="Cambria Math"/>
                  <w:i/>
                </w:rPr>
              </m:ctrlPr>
            </m:funcPr>
            <m:fName>
              <m:sSub>
                <m:sSubPr>
                  <m:ctrlPr>
                    <w:rPr>
                      <w:rFonts w:ascii="Cambria Math" w:eastAsia="MS Mincho" w:hAnsi="Cambria Math"/>
                      <w:i/>
                    </w:rPr>
                  </m:ctrlPr>
                </m:sSubPr>
                <m:e>
                  <m:r>
                    <m:rPr>
                      <m:sty m:val="p"/>
                    </m:rPr>
                    <w:rPr>
                      <w:rFonts w:ascii="Cambria Math" w:eastAsia="MS Mincho" w:hAnsi="Cambria Math"/>
                    </w:rPr>
                    <m:t>log</m:t>
                  </m:r>
                </m:e>
                <m:sub>
                  <m:r>
                    <w:rPr>
                      <w:rFonts w:ascii="Cambria Math" w:eastAsia="MS Mincho" w:hAnsi="Cambria Math"/>
                    </w:rPr>
                    <m:t>10</m:t>
                  </m:r>
                </m:sub>
              </m:sSub>
            </m:fName>
            <m:e>
              <m:r>
                <w:rPr>
                  <w:rFonts w:ascii="Cambria Math" w:eastAsia="MS Mincho" w:hAnsi="Cambria Math"/>
                </w:rPr>
                <m:t>(</m:t>
              </m:r>
            </m:e>
          </m:func>
          <m:r>
            <w:rPr>
              <w:rFonts w:ascii="Cambria Math" w:eastAsia="MS Mincho" w:hAnsi="Cambria Math"/>
            </w:rPr>
            <m:t>d</m:t>
          </m:r>
          <m:d>
            <m:dPr>
              <m:ctrlPr>
                <w:rPr>
                  <w:rFonts w:ascii="Cambria Math" w:eastAsia="MS Mincho" w:hAnsi="Cambria Math"/>
                  <w:i/>
                </w:rPr>
              </m:ctrlPr>
            </m:dPr>
            <m:e>
              <m:r>
                <w:rPr>
                  <w:rFonts w:ascii="Cambria Math" w:eastAsia="MS Mincho" w:hAnsi="Cambria Math"/>
                </w:rPr>
                <m:t>Km</m:t>
              </m:r>
            </m:e>
          </m:d>
          <m:r>
            <w:rPr>
              <w:rFonts w:ascii="Cambria Math" w:eastAsia="MS Mincho" w:hAnsi="Cambria Math"/>
            </w:rPr>
            <m:t>)</m:t>
          </m:r>
        </m:oMath>
      </m:oMathPara>
    </w:p>
    <w:p w14:paraId="7F58398F" w14:textId="1B2EDCC5" w:rsidR="00C04214" w:rsidRPr="00C04214" w:rsidRDefault="00C04214" w:rsidP="00C04214">
      <w:pPr>
        <w:spacing w:before="240" w:after="240"/>
        <w:ind w:right="1383"/>
        <w:rPr>
          <w:rFonts w:eastAsia="MS Mincho"/>
        </w:rPr>
      </w:pPr>
      <w:r w:rsidRPr="00C04214">
        <w:rPr>
          <w:rFonts w:eastAsia="MS Mincho"/>
          <w:bCs/>
        </w:rPr>
        <w:t>The calculations show</w:t>
      </w:r>
      <w:r>
        <w:rPr>
          <w:rFonts w:eastAsia="MS Mincho"/>
          <w:bCs/>
        </w:rPr>
        <w:t xml:space="preserve"> (Figure.01)</w:t>
      </w:r>
      <w:r w:rsidRPr="00C04214">
        <w:rPr>
          <w:rFonts w:eastAsia="MS Mincho"/>
          <w:bCs/>
        </w:rPr>
        <w:t xml:space="preserve"> that </w:t>
      </w:r>
      <m:oMath>
        <m:sSub>
          <m:sSubPr>
            <m:ctrlPr>
              <w:rPr>
                <w:rFonts w:ascii="Cambria Math" w:eastAsia="MS Mincho" w:hAnsi="Cambria Math"/>
                <w:i/>
              </w:rPr>
            </m:ctrlPr>
          </m:sSubPr>
          <m:e>
            <m:r>
              <m:rPr>
                <m:sty m:val="bi"/>
              </m:rPr>
              <w:rPr>
                <w:rFonts w:ascii="Cambria Math" w:eastAsia="MS Mincho" w:hAnsi="Cambria Math"/>
              </w:rPr>
              <m:t>P</m:t>
            </m:r>
          </m:e>
          <m:sub>
            <m:r>
              <m:rPr>
                <m:sty m:val="bi"/>
              </m:rPr>
              <w:rPr>
                <w:rFonts w:ascii="Cambria Math" w:eastAsia="MS Mincho" w:hAnsi="Cambria Math"/>
              </w:rPr>
              <m:t>int</m:t>
            </m:r>
          </m:sub>
        </m:sSub>
      </m:oMath>
      <w:r w:rsidRPr="00C04214">
        <w:rPr>
          <w:rFonts w:eastAsia="MS Mincho"/>
        </w:rPr>
        <w:t xml:space="preserve"> decreases from 19.25 dBm to -45.27 dBm </w:t>
      </w:r>
    </w:p>
    <w:p w14:paraId="3C89E17F" w14:textId="678C64EF" w:rsidR="00623CEB" w:rsidRDefault="00C04214" w:rsidP="00C04214">
      <w:pPr>
        <w:pStyle w:val="2para"/>
        <w:numPr>
          <w:ilvl w:val="0"/>
          <w:numId w:val="0"/>
        </w:numPr>
        <w:spacing w:after="0"/>
        <w:ind w:left="1134"/>
      </w:pPr>
      <w:r w:rsidRPr="00AF455F">
        <w:rPr>
          <w:noProof/>
        </w:rPr>
        <w:drawing>
          <wp:inline distT="0" distB="0" distL="0" distR="0" wp14:anchorId="10091359" wp14:editId="4737EDBC">
            <wp:extent cx="4600019" cy="2040940"/>
            <wp:effectExtent l="0" t="0" r="0" b="0"/>
            <wp:docPr id="2105028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28825" name=""/>
                    <pic:cNvPicPr/>
                  </pic:nvPicPr>
                  <pic:blipFill>
                    <a:blip r:embed="rId13"/>
                    <a:stretch>
                      <a:fillRect/>
                    </a:stretch>
                  </pic:blipFill>
                  <pic:spPr>
                    <a:xfrm>
                      <a:off x="0" y="0"/>
                      <a:ext cx="4606652" cy="2043883"/>
                    </a:xfrm>
                    <a:prstGeom prst="rect">
                      <a:avLst/>
                    </a:prstGeom>
                  </pic:spPr>
                </pic:pic>
              </a:graphicData>
            </a:graphic>
          </wp:inline>
        </w:drawing>
      </w:r>
    </w:p>
    <w:p w14:paraId="70D52079" w14:textId="011EEFD3" w:rsidR="00C04214" w:rsidRPr="00C04214" w:rsidRDefault="00C04214" w:rsidP="00C04214">
      <w:pPr>
        <w:pStyle w:val="2para"/>
        <w:numPr>
          <w:ilvl w:val="0"/>
          <w:numId w:val="0"/>
        </w:numPr>
        <w:ind w:left="1559"/>
        <w:rPr>
          <w:b/>
          <w:bCs/>
        </w:rPr>
      </w:pPr>
      <w:r w:rsidRPr="00C04214">
        <w:rPr>
          <w:b/>
          <w:bCs/>
        </w:rPr>
        <w:t xml:space="preserve">Fig.01: </w:t>
      </w:r>
      <m:oMath>
        <m:sSub>
          <m:sSubPr>
            <m:ctrlPr>
              <w:rPr>
                <w:rFonts w:ascii="Cambria Math" w:eastAsia="MS Mincho" w:hAnsi="Cambria Math"/>
                <w:b/>
                <w:bCs/>
                <w:i/>
              </w:rPr>
            </m:ctrlPr>
          </m:sSubPr>
          <m:e>
            <m:r>
              <m:rPr>
                <m:sty m:val="bi"/>
              </m:rPr>
              <w:rPr>
                <w:rFonts w:ascii="Cambria Math" w:eastAsia="MS Mincho" w:hAnsi="Cambria Math"/>
              </w:rPr>
              <m:t>P</m:t>
            </m:r>
          </m:e>
          <m:sub>
            <m:r>
              <m:rPr>
                <m:sty m:val="bi"/>
              </m:rPr>
              <w:rPr>
                <w:rFonts w:ascii="Cambria Math" w:eastAsia="MS Mincho" w:hAnsi="Cambria Math"/>
              </w:rPr>
              <m:t>interference</m:t>
            </m:r>
          </m:sub>
        </m:sSub>
      </m:oMath>
      <w:r w:rsidRPr="00C04214">
        <w:rPr>
          <w:b/>
          <w:bCs/>
        </w:rPr>
        <w:t xml:space="preserve"> of the DAA on ASDE in function of separation distance</w:t>
      </w:r>
    </w:p>
    <w:p w14:paraId="07D237A2" w14:textId="05106296" w:rsidR="007028A4" w:rsidRPr="007028A4" w:rsidRDefault="007028A4" w:rsidP="007028A4">
      <w:pPr>
        <w:pStyle w:val="2para"/>
        <w:numPr>
          <w:ilvl w:val="1"/>
          <w:numId w:val="1"/>
        </w:numPr>
        <w:tabs>
          <w:tab w:val="clear" w:pos="720"/>
        </w:tabs>
        <w:spacing w:after="120"/>
        <w:ind w:left="0" w:firstLine="0"/>
        <w:rPr>
          <w:lang w:val="en-US" w:eastAsia="ja-JP"/>
        </w:rPr>
      </w:pPr>
      <w:r w:rsidRPr="007028A4">
        <w:rPr>
          <w:lang w:val="en-US" w:eastAsia="ja-JP"/>
        </w:rPr>
        <w:t xml:space="preserve">In conclusion, it is noticed that under worst-case conditions (e.g., close proximity, direct beam overlap, minimal polarization loss, spectral overlap and a high-power emissions from </w:t>
      </w:r>
      <w:proofErr w:type="gramStart"/>
      <w:r w:rsidRPr="007028A4">
        <w:rPr>
          <w:lang w:val="en-US" w:eastAsia="ja-JP"/>
        </w:rPr>
        <w:t>ASDE )</w:t>
      </w:r>
      <w:proofErr w:type="gramEnd"/>
      <w:r w:rsidRPr="007028A4">
        <w:rPr>
          <w:lang w:val="en-US" w:eastAsia="ja-JP"/>
        </w:rPr>
        <w:t xml:space="preserve">, interference from DAA systems could potentially degrade ASDE performance by elevating the noise floor or even saturating the receiver. </w:t>
      </w:r>
    </w:p>
    <w:p w14:paraId="26ACEF7C" w14:textId="5839D7E7" w:rsidR="007028A4" w:rsidRDefault="007028A4" w:rsidP="007028A4">
      <w:pPr>
        <w:pStyle w:val="2para"/>
        <w:numPr>
          <w:ilvl w:val="0"/>
          <w:numId w:val="0"/>
        </w:numPr>
        <w:rPr>
          <w:lang w:val="en-US" w:eastAsia="ja-JP"/>
        </w:rPr>
      </w:pPr>
      <w:r w:rsidRPr="001F748A">
        <w:rPr>
          <w:lang w:val="en-US" w:eastAsia="ja-JP"/>
        </w:rPr>
        <w:t>The coexistence of DAA and ASDE systems in the 24.25–24.</w:t>
      </w:r>
      <w:r w:rsidR="004962A3">
        <w:rPr>
          <w:lang w:val="en-US" w:eastAsia="ja-JP"/>
        </w:rPr>
        <w:t>6</w:t>
      </w:r>
      <w:r w:rsidRPr="001F748A">
        <w:rPr>
          <w:lang w:val="en-US" w:eastAsia="ja-JP"/>
        </w:rPr>
        <w:t xml:space="preserve">5 GHz band poses </w:t>
      </w:r>
      <w:r>
        <w:rPr>
          <w:lang w:val="en-US" w:eastAsia="ja-JP"/>
        </w:rPr>
        <w:t xml:space="preserve">some </w:t>
      </w:r>
      <w:r w:rsidRPr="001F748A">
        <w:rPr>
          <w:lang w:val="en-US" w:eastAsia="ja-JP"/>
        </w:rPr>
        <w:t>challenges</w:t>
      </w:r>
      <w:r>
        <w:rPr>
          <w:lang w:val="en-US" w:eastAsia="ja-JP"/>
        </w:rPr>
        <w:t>.</w:t>
      </w:r>
      <w:r w:rsidRPr="001F748A">
        <w:rPr>
          <w:lang w:val="en-US" w:eastAsia="ja-JP"/>
        </w:rPr>
        <w:t xml:space="preserve"> </w:t>
      </w:r>
      <w:r w:rsidRPr="00AF455F">
        <w:rPr>
          <w:lang w:val="en-US" w:eastAsia="ja-JP"/>
        </w:rPr>
        <w:t>Th</w:t>
      </w:r>
      <w:r>
        <w:rPr>
          <w:lang w:val="en-US" w:eastAsia="ja-JP"/>
        </w:rPr>
        <w:t>e above</w:t>
      </w:r>
      <w:r w:rsidRPr="00AF455F">
        <w:rPr>
          <w:lang w:val="en-US" w:eastAsia="ja-JP"/>
        </w:rPr>
        <w:t xml:space="preserve"> analysis highlights the importance of interference mitigation strategies (such as dynamic frequency management or </w:t>
      </w:r>
      <w:r w:rsidRPr="00707DAB">
        <w:rPr>
          <w:lang w:val="en-US" w:eastAsia="ja-JP"/>
        </w:rPr>
        <w:t>time-domain coordination)</w:t>
      </w:r>
      <w:r w:rsidRPr="00AF455F">
        <w:rPr>
          <w:lang w:val="en-US" w:eastAsia="ja-JP"/>
        </w:rPr>
        <w:t xml:space="preserve"> to ensure coexistence</w:t>
      </w:r>
      <w:r>
        <w:rPr>
          <w:lang w:val="en-US" w:eastAsia="ja-JP"/>
        </w:rPr>
        <w:t xml:space="preserve"> without negative impact on ASDE systems</w:t>
      </w:r>
      <w:r w:rsidRPr="00AF455F">
        <w:rPr>
          <w:lang w:val="en-US" w:eastAsia="ja-JP"/>
        </w:rPr>
        <w:t>.</w:t>
      </w:r>
    </w:p>
    <w:p w14:paraId="20EBAA16" w14:textId="6DCAEC9B" w:rsidR="00C417F4" w:rsidRDefault="00C417F4" w:rsidP="00C417F4">
      <w:pPr>
        <w:pStyle w:val="1Heading"/>
      </w:pPr>
      <w:r>
        <w:t>ACTION BY THE MEETING</w:t>
      </w:r>
    </w:p>
    <w:p w14:paraId="2B85E059" w14:textId="77777777" w:rsidR="007028A4" w:rsidRPr="007028A4" w:rsidRDefault="007028A4" w:rsidP="007028A4">
      <w:pPr>
        <w:numPr>
          <w:ilvl w:val="1"/>
          <w:numId w:val="1"/>
        </w:numPr>
        <w:tabs>
          <w:tab w:val="clear" w:pos="720"/>
          <w:tab w:val="left" w:pos="1440"/>
        </w:tabs>
        <w:spacing w:after="120"/>
        <w:ind w:left="0" w:firstLine="0"/>
        <w:outlineLvl w:val="1"/>
        <w:rPr>
          <w:rFonts w:eastAsia="MS Mincho"/>
          <w:lang w:val="en-US"/>
        </w:rPr>
      </w:pPr>
      <w:r w:rsidRPr="007028A4">
        <w:rPr>
          <w:rFonts w:eastAsia="MS Mincho"/>
          <w:lang w:val="en-US"/>
        </w:rPr>
        <w:t>The meeting is invited to:</w:t>
      </w:r>
    </w:p>
    <w:p w14:paraId="49FC7280" w14:textId="77777777" w:rsidR="007028A4" w:rsidRPr="007028A4" w:rsidRDefault="007028A4" w:rsidP="00235916">
      <w:pPr>
        <w:numPr>
          <w:ilvl w:val="0"/>
          <w:numId w:val="2"/>
        </w:numPr>
        <w:spacing w:after="120"/>
        <w:ind w:left="1843" w:hanging="357"/>
        <w:jc w:val="left"/>
        <w:rPr>
          <w:rFonts w:eastAsia="MS Mincho"/>
          <w:lang w:val="en-US"/>
        </w:rPr>
      </w:pPr>
      <w:r w:rsidRPr="007028A4">
        <w:rPr>
          <w:rFonts w:eastAsia="MS Mincho" w:hint="eastAsia"/>
          <w:lang w:val="en-US" w:eastAsia="ja-JP"/>
        </w:rPr>
        <w:t>n</w:t>
      </w:r>
      <w:r w:rsidRPr="007028A4">
        <w:rPr>
          <w:rFonts w:eastAsia="MS Mincho"/>
          <w:lang w:val="en-US"/>
        </w:rPr>
        <w:t xml:space="preserve">ote the contents of this working </w:t>
      </w:r>
      <w:proofErr w:type="gramStart"/>
      <w:r w:rsidRPr="007028A4">
        <w:rPr>
          <w:rFonts w:eastAsia="MS Mincho"/>
          <w:lang w:val="en-US"/>
        </w:rPr>
        <w:t>paper;</w:t>
      </w:r>
      <w:proofErr w:type="gramEnd"/>
    </w:p>
    <w:p w14:paraId="74C16CDE" w14:textId="6CEB8222" w:rsidR="007028A4" w:rsidRPr="007028A4" w:rsidRDefault="00930EC7" w:rsidP="00235916">
      <w:pPr>
        <w:numPr>
          <w:ilvl w:val="0"/>
          <w:numId w:val="2"/>
        </w:numPr>
        <w:spacing w:after="120"/>
        <w:ind w:left="1843" w:hanging="357"/>
        <w:jc w:val="left"/>
        <w:rPr>
          <w:rFonts w:eastAsia="MS Mincho"/>
          <w:noProof/>
          <w:lang w:val="en-US" w:eastAsia="ja-JP"/>
        </w:rPr>
      </w:pPr>
      <w:r>
        <w:rPr>
          <w:rFonts w:eastAsia="MS Mincho"/>
          <w:noProof/>
          <w:lang w:val="en-US" w:eastAsia="ja-JP"/>
        </w:rPr>
        <w:t>advise</w:t>
      </w:r>
      <w:r w:rsidR="007028A4" w:rsidRPr="007028A4">
        <w:rPr>
          <w:rFonts w:eastAsia="MS Mincho"/>
          <w:noProof/>
          <w:lang w:val="en-US" w:eastAsia="ja-JP"/>
        </w:rPr>
        <w:t xml:space="preserve"> ways to improve the interference mechanisms developed in this article.</w:t>
      </w:r>
    </w:p>
    <w:p w14:paraId="3B7A6EB8" w14:textId="7EACCB6C" w:rsidR="007028A4" w:rsidRPr="007028A4" w:rsidRDefault="007028A4" w:rsidP="00235916">
      <w:pPr>
        <w:numPr>
          <w:ilvl w:val="0"/>
          <w:numId w:val="2"/>
        </w:numPr>
        <w:spacing w:after="240"/>
        <w:ind w:left="1843"/>
        <w:jc w:val="left"/>
        <w:rPr>
          <w:rFonts w:eastAsia="MS Mincho"/>
          <w:noProof/>
          <w:lang w:val="en-US" w:eastAsia="ja-JP"/>
        </w:rPr>
      </w:pPr>
      <w:r w:rsidRPr="007028A4">
        <w:rPr>
          <w:rFonts w:eastAsia="MS Mincho"/>
          <w:noProof/>
          <w:lang w:val="en-US" w:eastAsia="ja-JP"/>
        </w:rPr>
        <w:t xml:space="preserve">consider sharing the concern discussed in this paper with the ITU-R WP 5B, and other </w:t>
      </w:r>
      <w:r w:rsidR="00930EC7" w:rsidRPr="007028A4">
        <w:rPr>
          <w:rFonts w:eastAsia="MS Mincho"/>
          <w:noProof/>
          <w:lang w:val="en-US" w:eastAsia="ja-JP"/>
        </w:rPr>
        <w:t>involved</w:t>
      </w:r>
      <w:r w:rsidRPr="007028A4">
        <w:rPr>
          <w:rFonts w:eastAsia="MS Mincho"/>
          <w:noProof/>
          <w:lang w:val="en-US" w:eastAsia="ja-JP"/>
        </w:rPr>
        <w:t xml:space="preserve"> working groups.</w:t>
      </w:r>
    </w:p>
    <w:p w14:paraId="783EFF2B" w14:textId="77777777" w:rsidR="00A50A0B" w:rsidRPr="007028A4" w:rsidRDefault="00A50A0B" w:rsidP="00A50A0B">
      <w:pPr>
        <w:pStyle w:val="Listabc"/>
        <w:numPr>
          <w:ilvl w:val="0"/>
          <w:numId w:val="0"/>
        </w:numPr>
        <w:spacing w:after="120"/>
        <w:ind w:left="1440"/>
        <w:rPr>
          <w:lang w:val="en-US"/>
        </w:rPr>
      </w:pPr>
    </w:p>
    <w:p w14:paraId="5C889232" w14:textId="5D480F43" w:rsidR="00A240E1" w:rsidRPr="00FA702C" w:rsidRDefault="00770160" w:rsidP="00A50A0B">
      <w:pPr>
        <w:spacing w:after="120"/>
        <w:jc w:val="center"/>
      </w:pPr>
      <w:r w:rsidRPr="00FA702C">
        <w:t>— END —</w:t>
      </w:r>
      <w:bookmarkEnd w:id="0"/>
    </w:p>
    <w:sectPr w:rsidR="00A240E1" w:rsidRPr="00FA702C" w:rsidSect="007B141E">
      <w:headerReference w:type="even" r:id="rId14"/>
      <w:headerReference w:type="default" r:id="rId15"/>
      <w:headerReference w:type="first" r:id="rId16"/>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49DD" w14:textId="77777777" w:rsidR="00A55A18" w:rsidRDefault="00A55A18">
      <w:r>
        <w:separator/>
      </w:r>
    </w:p>
  </w:endnote>
  <w:endnote w:type="continuationSeparator" w:id="0">
    <w:p w14:paraId="38B7AF39" w14:textId="77777777" w:rsidR="00A55A18" w:rsidRDefault="00A55A18">
      <w:r>
        <w:continuationSeparator/>
      </w:r>
    </w:p>
  </w:endnote>
  <w:endnote w:type="continuationNotice" w:id="1">
    <w:p w14:paraId="50BAEF1B" w14:textId="77777777" w:rsidR="00A55A18" w:rsidRDefault="00A55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245A" w14:textId="77777777" w:rsidR="00A55A18" w:rsidRDefault="00A55A18">
      <w:r>
        <w:separator/>
      </w:r>
    </w:p>
  </w:footnote>
  <w:footnote w:type="continuationSeparator" w:id="0">
    <w:p w14:paraId="14B0FC8D" w14:textId="77777777" w:rsidR="00A55A18" w:rsidRDefault="00A55A18">
      <w:r>
        <w:continuationSeparator/>
      </w:r>
    </w:p>
  </w:footnote>
  <w:footnote w:type="continuationNotice" w:id="1">
    <w:p w14:paraId="6BBA245E" w14:textId="77777777" w:rsidR="00A55A18" w:rsidRDefault="00A55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BA33" w14:textId="0E4CBE5A" w:rsidR="00877371" w:rsidRPr="00066AB7" w:rsidRDefault="00877371" w:rsidP="00877371">
    <w:pPr>
      <w:jc w:val="left"/>
      <w:rPr>
        <w:szCs w:val="22"/>
      </w:rPr>
    </w:pPr>
    <w:r>
      <w:rPr>
        <w:szCs w:val="22"/>
      </w:rPr>
      <w:t>FSMP-WG</w:t>
    </w:r>
    <w:r w:rsidRPr="00066AB7">
      <w:rPr>
        <w:szCs w:val="22"/>
      </w:rPr>
      <w:t>/</w:t>
    </w:r>
    <w:r>
      <w:rPr>
        <w:szCs w:val="22"/>
      </w:rPr>
      <w:t>20-</w:t>
    </w:r>
    <w:r w:rsidRPr="00066AB7">
      <w:rPr>
        <w:szCs w:val="22"/>
      </w:rPr>
      <w:t>WP/</w:t>
    </w:r>
    <w:r w:rsidR="000D2E90">
      <w:rPr>
        <w:szCs w:val="22"/>
      </w:rPr>
      <w:t>21</w:t>
    </w:r>
  </w:p>
  <w:p w14:paraId="1337EFA7" w14:textId="5E3B22A6" w:rsidR="00770160" w:rsidRDefault="00770160" w:rsidP="00F56F90">
    <w:pPr>
      <w:tabs>
        <w:tab w:val="center" w:pos="4876"/>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067C56">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B017" w14:textId="00121615"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6F6133">
      <w:rPr>
        <w:szCs w:val="22"/>
      </w:rPr>
      <w:t>FSMP-WG</w:t>
    </w:r>
    <w:r w:rsidR="006F6133" w:rsidRPr="00066AB7">
      <w:rPr>
        <w:szCs w:val="22"/>
      </w:rPr>
      <w:t>/</w:t>
    </w:r>
    <w:r w:rsidR="006F6133">
      <w:rPr>
        <w:szCs w:val="22"/>
      </w:rPr>
      <w:t>20-</w:t>
    </w:r>
    <w:r w:rsidR="006F6133" w:rsidRPr="00066AB7">
      <w:rPr>
        <w:szCs w:val="22"/>
      </w:rPr>
      <w:t>WP/</w:t>
    </w:r>
    <w:r w:rsidR="000D2E90">
      <w:rPr>
        <w:szCs w:val="22"/>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31DA6497" w14:textId="77777777" w:rsidTr="00664C07">
      <w:trPr>
        <w:trHeight w:val="1790"/>
      </w:trPr>
      <w:tc>
        <w:tcPr>
          <w:tcW w:w="1915" w:type="dxa"/>
          <w:shd w:val="clear" w:color="auto" w:fill="FFFFFF"/>
        </w:tcPr>
        <w:p w14:paraId="5B4D00EF" w14:textId="0C0FEA0F" w:rsidR="00920C27" w:rsidRDefault="00F7176B" w:rsidP="00664C07">
          <w:bookmarkStart w:id="11" w:name="logo"/>
          <w:r>
            <w:rPr>
              <w:noProof/>
              <w:lang w:eastAsia="zh-CN"/>
            </w:rPr>
            <w:drawing>
              <wp:inline distT="0" distB="0" distL="0" distR="0" wp14:anchorId="68BC9A67" wp14:editId="21747742">
                <wp:extent cx="1092200" cy="869950"/>
                <wp:effectExtent l="0" t="0" r="0" b="0"/>
                <wp:docPr id="1963100866"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9950"/>
                        </a:xfrm>
                        <a:prstGeom prst="rect">
                          <a:avLst/>
                        </a:prstGeom>
                        <a:noFill/>
                        <a:ln>
                          <a:noFill/>
                        </a:ln>
                      </pic:spPr>
                    </pic:pic>
                  </a:graphicData>
                </a:graphic>
              </wp:inline>
            </w:drawing>
          </w:r>
          <w:bookmarkEnd w:id="11"/>
        </w:p>
      </w:tc>
      <w:tc>
        <w:tcPr>
          <w:tcW w:w="3895" w:type="dxa"/>
          <w:shd w:val="clear" w:color="auto" w:fill="FFFFFF"/>
          <w:tcMar>
            <w:right w:w="0" w:type="dxa"/>
          </w:tcMar>
        </w:tcPr>
        <w:p w14:paraId="3429C364" w14:textId="3B3E2DCC" w:rsidR="00920C27" w:rsidRPr="00066AB7" w:rsidRDefault="00F7176B"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7CABB349" wp14:editId="6754CCB5">
                    <wp:simplePos x="0" y="0"/>
                    <wp:positionH relativeFrom="column">
                      <wp:posOffset>12700</wp:posOffset>
                    </wp:positionH>
                    <wp:positionV relativeFrom="paragraph">
                      <wp:posOffset>342900</wp:posOffset>
                    </wp:positionV>
                    <wp:extent cx="2400300" cy="0"/>
                    <wp:effectExtent l="0" t="0" r="0" b="0"/>
                    <wp:wrapNone/>
                    <wp:docPr id="92695837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59563"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4139A2C1"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5B258E45" w14:textId="77777777" w:rsidR="00920C27" w:rsidRPr="00066AB7" w:rsidRDefault="00920C27" w:rsidP="00664C07">
          <w:pPr>
            <w:rPr>
              <w:rFonts w:ascii="Arial" w:hAnsi="Arial" w:cs="Arial"/>
              <w:szCs w:val="22"/>
            </w:rPr>
          </w:pPr>
        </w:p>
        <w:p w14:paraId="4ACFC3D5"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69A085D1" w14:textId="77777777" w:rsidTr="00664C07">
            <w:trPr>
              <w:jc w:val="right"/>
            </w:trPr>
            <w:tc>
              <w:tcPr>
                <w:tcW w:w="0" w:type="auto"/>
              </w:tcPr>
              <w:p w14:paraId="1F98A942" w14:textId="1F71BAD1" w:rsidR="00920C27" w:rsidRPr="00066AB7" w:rsidRDefault="000D26D5" w:rsidP="00EA333F">
                <w:pPr>
                  <w:framePr w:hSpace="180" w:wrap="around" w:vAnchor="text" w:hAnchor="text" w:y="1"/>
                  <w:suppressOverlap/>
                  <w:jc w:val="left"/>
                  <w:rPr>
                    <w:szCs w:val="22"/>
                  </w:rPr>
                </w:pPr>
                <w:bookmarkStart w:id="12" w:name="document_no"/>
                <w:r>
                  <w:rPr>
                    <w:szCs w:val="22"/>
                  </w:rPr>
                  <w:t>FS</w:t>
                </w:r>
                <w:r w:rsidR="00725205">
                  <w:rPr>
                    <w:szCs w:val="22"/>
                  </w:rPr>
                  <w:t>MP</w:t>
                </w:r>
                <w:r w:rsidR="007E6A06">
                  <w:rPr>
                    <w:szCs w:val="22"/>
                  </w:rPr>
                  <w:t>-WG</w:t>
                </w:r>
                <w:r w:rsidR="00920C27" w:rsidRPr="00066AB7">
                  <w:rPr>
                    <w:szCs w:val="22"/>
                  </w:rPr>
                  <w:t>/</w:t>
                </w:r>
                <w:r w:rsidR="0008736D">
                  <w:rPr>
                    <w:szCs w:val="22"/>
                  </w:rPr>
                  <w:t>20</w:t>
                </w:r>
                <w:r w:rsidR="00FC389A">
                  <w:rPr>
                    <w:szCs w:val="22"/>
                  </w:rPr>
                  <w:t>-</w:t>
                </w:r>
                <w:r w:rsidR="00920C27" w:rsidRPr="00066AB7">
                  <w:rPr>
                    <w:szCs w:val="22"/>
                  </w:rPr>
                  <w:t>WP/</w:t>
                </w:r>
                <w:bookmarkEnd w:id="12"/>
                <w:r w:rsidR="000D2E90">
                  <w:rPr>
                    <w:szCs w:val="22"/>
                  </w:rPr>
                  <w:t>21</w:t>
                </w:r>
              </w:p>
              <w:p w14:paraId="3EA20B83" w14:textId="53E13D31" w:rsidR="00920C27" w:rsidRPr="00066AB7" w:rsidRDefault="00885035" w:rsidP="00EA333F">
                <w:pPr>
                  <w:framePr w:hSpace="180" w:wrap="around" w:vAnchor="text" w:hAnchor="text" w:y="1"/>
                  <w:suppressOverlap/>
                  <w:jc w:val="left"/>
                  <w:rPr>
                    <w:b/>
                  </w:rPr>
                </w:pPr>
                <w:bookmarkStart w:id="13" w:name="restricted"/>
                <w:bookmarkStart w:id="14" w:name="addendum_corrigendum_appendix"/>
                <w:bookmarkStart w:id="15" w:name="revision_no"/>
                <w:bookmarkStart w:id="16" w:name="revision_date"/>
                <w:bookmarkStart w:id="17" w:name="related_to"/>
                <w:bookmarkEnd w:id="13"/>
                <w:bookmarkEnd w:id="14"/>
                <w:bookmarkEnd w:id="15"/>
                <w:bookmarkEnd w:id="16"/>
                <w:bookmarkEnd w:id="17"/>
                <w:r>
                  <w:rPr>
                    <w:sz w:val="18"/>
                    <w:szCs w:val="18"/>
                  </w:rPr>
                  <w:t>202</w:t>
                </w:r>
                <w:r w:rsidR="0008736D">
                  <w:rPr>
                    <w:sz w:val="18"/>
                    <w:szCs w:val="18"/>
                  </w:rPr>
                  <w:t>5</w:t>
                </w:r>
                <w:r>
                  <w:rPr>
                    <w:sz w:val="18"/>
                    <w:szCs w:val="18"/>
                  </w:rPr>
                  <w:t>-0</w:t>
                </w:r>
                <w:r w:rsidR="0008736D">
                  <w:rPr>
                    <w:sz w:val="18"/>
                    <w:szCs w:val="18"/>
                  </w:rPr>
                  <w:t>1</w:t>
                </w:r>
                <w:r>
                  <w:rPr>
                    <w:sz w:val="18"/>
                    <w:szCs w:val="18"/>
                  </w:rPr>
                  <w:t>-</w:t>
                </w:r>
                <w:r w:rsidR="0008736D">
                  <w:rPr>
                    <w:sz w:val="18"/>
                    <w:szCs w:val="18"/>
                  </w:rPr>
                  <w:t>30</w:t>
                </w:r>
                <w:r w:rsidR="00920C27" w:rsidRPr="00066AB7">
                  <w:rPr>
                    <w:b/>
                    <w:sz w:val="18"/>
                    <w:szCs w:val="18"/>
                  </w:rPr>
                  <w:t xml:space="preserve"> </w:t>
                </w:r>
                <w:bookmarkStart w:id="18" w:name="info_paper"/>
                <w:bookmarkEnd w:id="18"/>
              </w:p>
            </w:tc>
          </w:tr>
          <w:tr w:rsidR="00920C27" w14:paraId="3718C29F" w14:textId="77777777" w:rsidTr="00664C07">
            <w:trPr>
              <w:jc w:val="right"/>
            </w:trPr>
            <w:tc>
              <w:tcPr>
                <w:tcW w:w="0" w:type="auto"/>
              </w:tcPr>
              <w:p w14:paraId="4E3A8BFA" w14:textId="77777777" w:rsidR="00920C27" w:rsidRPr="00066AB7" w:rsidRDefault="00920C27" w:rsidP="00EA333F">
                <w:pPr>
                  <w:framePr w:hSpace="180" w:wrap="around" w:vAnchor="text" w:hAnchor="text" w:y="1"/>
                  <w:suppressOverlap/>
                  <w:jc w:val="left"/>
                  <w:rPr>
                    <w:szCs w:val="22"/>
                  </w:rPr>
                </w:pPr>
              </w:p>
            </w:tc>
          </w:tr>
        </w:tbl>
        <w:p w14:paraId="4BEF2E92"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37707477" w14:textId="56F62E3E" w:rsidR="00770160" w:rsidRDefault="00A12CBA" w:rsidP="00623CEB">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02D35F7"/>
    <w:multiLevelType w:val="hybridMultilevel"/>
    <w:tmpl w:val="42CCF5A0"/>
    <w:lvl w:ilvl="0" w:tplc="9DC8B3B2">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4372565"/>
    <w:multiLevelType w:val="hybridMultilevel"/>
    <w:tmpl w:val="04C4368A"/>
    <w:lvl w:ilvl="0" w:tplc="6F5EF5BE">
      <w:start w:val="1"/>
      <w:numFmt w:val="lowerRoman"/>
      <w:lvlText w:val="%1)"/>
      <w:lvlJc w:val="left"/>
      <w:pPr>
        <w:ind w:left="252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18164077"/>
    <w:multiLevelType w:val="hybridMultilevel"/>
    <w:tmpl w:val="98E07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1E154E"/>
    <w:multiLevelType w:val="hybridMultilevel"/>
    <w:tmpl w:val="1960B63E"/>
    <w:lvl w:ilvl="0" w:tplc="10090005">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5"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6" w15:restartNumberingAfterBreak="0">
    <w:nsid w:val="1F9C5F97"/>
    <w:multiLevelType w:val="hybridMultilevel"/>
    <w:tmpl w:val="CDBC3E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D1233"/>
    <w:multiLevelType w:val="hybridMultilevel"/>
    <w:tmpl w:val="E9CA8BF2"/>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8"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570665"/>
    <w:multiLevelType w:val="hybridMultilevel"/>
    <w:tmpl w:val="5486E82E"/>
    <w:lvl w:ilvl="0" w:tplc="10090005">
      <w:start w:val="1"/>
      <w:numFmt w:val="bullet"/>
      <w:lvlText w:val=""/>
      <w:lvlJc w:val="left"/>
      <w:pPr>
        <w:ind w:left="720" w:hanging="360"/>
      </w:pPr>
      <w:rPr>
        <w:rFonts w:ascii="Wingdings" w:hAnsi="Wingdings" w:hint="default"/>
      </w:rPr>
    </w:lvl>
    <w:lvl w:ilvl="1" w:tplc="CC543782">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0F23F0"/>
    <w:multiLevelType w:val="hybridMultilevel"/>
    <w:tmpl w:val="B9465E12"/>
    <w:lvl w:ilvl="0" w:tplc="D37A9F12">
      <w:numFmt w:val="bullet"/>
      <w:lvlText w:val="•"/>
      <w:lvlJc w:val="left"/>
      <w:pPr>
        <w:ind w:left="1440" w:hanging="720"/>
      </w:pPr>
      <w:rPr>
        <w:rFonts w:ascii="Times New Roman" w:eastAsia="Times New Roman"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46AD20EE"/>
    <w:multiLevelType w:val="hybridMultilevel"/>
    <w:tmpl w:val="088EA054"/>
    <w:lvl w:ilvl="0" w:tplc="D37A9F12">
      <w:numFmt w:val="bullet"/>
      <w:lvlText w:val="•"/>
      <w:lvlJc w:val="left"/>
      <w:pPr>
        <w:ind w:left="1080" w:hanging="72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5C61B2"/>
    <w:multiLevelType w:val="multilevel"/>
    <w:tmpl w:val="39B0726E"/>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3" w15:restartNumberingAfterBreak="0">
    <w:nsid w:val="5EB768D9"/>
    <w:multiLevelType w:val="hybridMultilevel"/>
    <w:tmpl w:val="D3DA0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74E637C"/>
    <w:multiLevelType w:val="singleLevel"/>
    <w:tmpl w:val="AF500C40"/>
    <w:lvl w:ilvl="0">
      <w:start w:val="1"/>
      <w:numFmt w:val="lowerLetter"/>
      <w:pStyle w:val="Listabc"/>
      <w:lvlText w:val="%1)"/>
      <w:lvlJc w:val="left"/>
      <w:pPr>
        <w:tabs>
          <w:tab w:val="num" w:pos="360"/>
        </w:tabs>
        <w:ind w:left="360" w:hanging="360"/>
      </w:pPr>
      <w:rPr>
        <w:lang w:val="en-CA"/>
      </w:rPr>
    </w:lvl>
  </w:abstractNum>
  <w:abstractNum w:abstractNumId="15" w15:restartNumberingAfterBreak="0">
    <w:nsid w:val="6F5A2CEB"/>
    <w:multiLevelType w:val="hybridMultilevel"/>
    <w:tmpl w:val="BFBAE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D40EF8"/>
    <w:multiLevelType w:val="hybridMultilevel"/>
    <w:tmpl w:val="68C4AB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2047755014">
    <w:abstractNumId w:val="12"/>
  </w:num>
  <w:num w:numId="2" w16cid:durableId="65416163">
    <w:abstractNumId w:val="14"/>
  </w:num>
  <w:num w:numId="3" w16cid:durableId="1440447458">
    <w:abstractNumId w:val="5"/>
  </w:num>
  <w:num w:numId="4" w16cid:durableId="1612472378">
    <w:abstractNumId w:val="0"/>
  </w:num>
  <w:num w:numId="5" w16cid:durableId="1342270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4185282">
    <w:abstractNumId w:val="8"/>
  </w:num>
  <w:num w:numId="7" w16cid:durableId="99304395">
    <w:abstractNumId w:val="12"/>
    <w:lvlOverride w:ilvl="0">
      <w:startOverride w:val="44"/>
    </w:lvlOverride>
    <w:lvlOverride w:ilvl="1">
      <w:startOverride w:val="1"/>
    </w:lvlOverride>
  </w:num>
  <w:num w:numId="8" w16cid:durableId="15667367">
    <w:abstractNumId w:val="1"/>
  </w:num>
  <w:num w:numId="9" w16cid:durableId="85615738">
    <w:abstractNumId w:val="16"/>
  </w:num>
  <w:num w:numId="10" w16cid:durableId="1598249236">
    <w:abstractNumId w:val="12"/>
  </w:num>
  <w:num w:numId="11" w16cid:durableId="360714122">
    <w:abstractNumId w:val="6"/>
  </w:num>
  <w:num w:numId="12" w16cid:durableId="1231384712">
    <w:abstractNumId w:val="12"/>
  </w:num>
  <w:num w:numId="13" w16cid:durableId="1380742520">
    <w:abstractNumId w:val="12"/>
  </w:num>
  <w:num w:numId="14" w16cid:durableId="1285042586">
    <w:abstractNumId w:val="15"/>
  </w:num>
  <w:num w:numId="15" w16cid:durableId="616526805">
    <w:abstractNumId w:val="12"/>
  </w:num>
  <w:num w:numId="16" w16cid:durableId="99031070">
    <w:abstractNumId w:val="12"/>
  </w:num>
  <w:num w:numId="17" w16cid:durableId="2106530824">
    <w:abstractNumId w:val="12"/>
  </w:num>
  <w:num w:numId="18" w16cid:durableId="2069454342">
    <w:abstractNumId w:val="14"/>
  </w:num>
  <w:num w:numId="19" w16cid:durableId="386950010">
    <w:abstractNumId w:val="3"/>
  </w:num>
  <w:num w:numId="20" w16cid:durableId="2077819712">
    <w:abstractNumId w:val="11"/>
  </w:num>
  <w:num w:numId="21" w16cid:durableId="1795752574">
    <w:abstractNumId w:val="10"/>
  </w:num>
  <w:num w:numId="22" w16cid:durableId="962350187">
    <w:abstractNumId w:val="13"/>
  </w:num>
  <w:num w:numId="23" w16cid:durableId="384908934">
    <w:abstractNumId w:val="12"/>
  </w:num>
  <w:num w:numId="24" w16cid:durableId="1510871579">
    <w:abstractNumId w:val="2"/>
  </w:num>
  <w:num w:numId="25" w16cid:durableId="1501040924">
    <w:abstractNumId w:val="7"/>
  </w:num>
  <w:num w:numId="26" w16cid:durableId="1286035168">
    <w:abstractNumId w:val="9"/>
  </w:num>
  <w:num w:numId="27" w16cid:durableId="39794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0643"/>
    <w:rsid w:val="000016AF"/>
    <w:rsid w:val="00006BD2"/>
    <w:rsid w:val="00011211"/>
    <w:rsid w:val="00011C58"/>
    <w:rsid w:val="00012713"/>
    <w:rsid w:val="00017C2B"/>
    <w:rsid w:val="000230C6"/>
    <w:rsid w:val="0002582F"/>
    <w:rsid w:val="00025A19"/>
    <w:rsid w:val="000273D2"/>
    <w:rsid w:val="00040BDE"/>
    <w:rsid w:val="0004333D"/>
    <w:rsid w:val="00047C1D"/>
    <w:rsid w:val="0005034A"/>
    <w:rsid w:val="00051586"/>
    <w:rsid w:val="00055466"/>
    <w:rsid w:val="00056547"/>
    <w:rsid w:val="00060CF9"/>
    <w:rsid w:val="0006211C"/>
    <w:rsid w:val="00062E6A"/>
    <w:rsid w:val="000631C2"/>
    <w:rsid w:val="00065BCA"/>
    <w:rsid w:val="000675AC"/>
    <w:rsid w:val="00067C56"/>
    <w:rsid w:val="00067FDB"/>
    <w:rsid w:val="00073C9C"/>
    <w:rsid w:val="0007594E"/>
    <w:rsid w:val="00080EFE"/>
    <w:rsid w:val="0008128B"/>
    <w:rsid w:val="000812B2"/>
    <w:rsid w:val="00086064"/>
    <w:rsid w:val="000866E7"/>
    <w:rsid w:val="00086CAF"/>
    <w:rsid w:val="0008736D"/>
    <w:rsid w:val="00087C50"/>
    <w:rsid w:val="00090A14"/>
    <w:rsid w:val="0009326E"/>
    <w:rsid w:val="000947B6"/>
    <w:rsid w:val="000949DA"/>
    <w:rsid w:val="000964B2"/>
    <w:rsid w:val="000A5671"/>
    <w:rsid w:val="000A5E68"/>
    <w:rsid w:val="000B51C1"/>
    <w:rsid w:val="000B67E8"/>
    <w:rsid w:val="000B6D08"/>
    <w:rsid w:val="000C3009"/>
    <w:rsid w:val="000C53C7"/>
    <w:rsid w:val="000C5589"/>
    <w:rsid w:val="000C7F9F"/>
    <w:rsid w:val="000D26D5"/>
    <w:rsid w:val="000D2E90"/>
    <w:rsid w:val="000D300E"/>
    <w:rsid w:val="000D7DBA"/>
    <w:rsid w:val="000E1967"/>
    <w:rsid w:val="000E218A"/>
    <w:rsid w:val="000E3C1B"/>
    <w:rsid w:val="000E41EE"/>
    <w:rsid w:val="000E4E24"/>
    <w:rsid w:val="000E7252"/>
    <w:rsid w:val="000F04EA"/>
    <w:rsid w:val="000F0F39"/>
    <w:rsid w:val="000F1E61"/>
    <w:rsid w:val="000F3227"/>
    <w:rsid w:val="000F343D"/>
    <w:rsid w:val="000F46CE"/>
    <w:rsid w:val="000F4E52"/>
    <w:rsid w:val="000F65A9"/>
    <w:rsid w:val="00103DC1"/>
    <w:rsid w:val="00104089"/>
    <w:rsid w:val="0010607A"/>
    <w:rsid w:val="00113064"/>
    <w:rsid w:val="00125673"/>
    <w:rsid w:val="001269BD"/>
    <w:rsid w:val="00127D67"/>
    <w:rsid w:val="00130FB7"/>
    <w:rsid w:val="001315B3"/>
    <w:rsid w:val="0013724D"/>
    <w:rsid w:val="00140279"/>
    <w:rsid w:val="00142FA5"/>
    <w:rsid w:val="001432E2"/>
    <w:rsid w:val="00147E21"/>
    <w:rsid w:val="0015396D"/>
    <w:rsid w:val="001566B0"/>
    <w:rsid w:val="001567F4"/>
    <w:rsid w:val="001568F3"/>
    <w:rsid w:val="001607B9"/>
    <w:rsid w:val="00161DB9"/>
    <w:rsid w:val="00162431"/>
    <w:rsid w:val="0016408D"/>
    <w:rsid w:val="00164342"/>
    <w:rsid w:val="0016541C"/>
    <w:rsid w:val="00165C46"/>
    <w:rsid w:val="00166A66"/>
    <w:rsid w:val="00166E7A"/>
    <w:rsid w:val="00183856"/>
    <w:rsid w:val="00183AF8"/>
    <w:rsid w:val="00183CA8"/>
    <w:rsid w:val="00183E60"/>
    <w:rsid w:val="001861D9"/>
    <w:rsid w:val="001873BB"/>
    <w:rsid w:val="00192632"/>
    <w:rsid w:val="00194A9A"/>
    <w:rsid w:val="001969B1"/>
    <w:rsid w:val="001A20D1"/>
    <w:rsid w:val="001A4285"/>
    <w:rsid w:val="001A60D3"/>
    <w:rsid w:val="001A74D6"/>
    <w:rsid w:val="001A7AAE"/>
    <w:rsid w:val="001B0656"/>
    <w:rsid w:val="001B20D3"/>
    <w:rsid w:val="001B2D07"/>
    <w:rsid w:val="001B3757"/>
    <w:rsid w:val="001B428C"/>
    <w:rsid w:val="001B50BD"/>
    <w:rsid w:val="001B6A91"/>
    <w:rsid w:val="001B7593"/>
    <w:rsid w:val="001B76DF"/>
    <w:rsid w:val="001B79AE"/>
    <w:rsid w:val="001C3495"/>
    <w:rsid w:val="001C3590"/>
    <w:rsid w:val="001C4FCE"/>
    <w:rsid w:val="001C7E42"/>
    <w:rsid w:val="001D0E4F"/>
    <w:rsid w:val="001D1365"/>
    <w:rsid w:val="001D1ED6"/>
    <w:rsid w:val="001D207B"/>
    <w:rsid w:val="001D381B"/>
    <w:rsid w:val="001D426E"/>
    <w:rsid w:val="001D5890"/>
    <w:rsid w:val="001D5C5E"/>
    <w:rsid w:val="001D65B7"/>
    <w:rsid w:val="001D7005"/>
    <w:rsid w:val="001E22CD"/>
    <w:rsid w:val="001E320B"/>
    <w:rsid w:val="001E6268"/>
    <w:rsid w:val="001E67B1"/>
    <w:rsid w:val="001E7CE0"/>
    <w:rsid w:val="001F2C18"/>
    <w:rsid w:val="001F64A2"/>
    <w:rsid w:val="00201F3A"/>
    <w:rsid w:val="0020272F"/>
    <w:rsid w:val="00205FCE"/>
    <w:rsid w:val="00206AEE"/>
    <w:rsid w:val="00207141"/>
    <w:rsid w:val="00213F6D"/>
    <w:rsid w:val="00214874"/>
    <w:rsid w:val="002174DD"/>
    <w:rsid w:val="00217B1C"/>
    <w:rsid w:val="00222E34"/>
    <w:rsid w:val="00222EE2"/>
    <w:rsid w:val="00225CB3"/>
    <w:rsid w:val="00230718"/>
    <w:rsid w:val="00230F9E"/>
    <w:rsid w:val="00231477"/>
    <w:rsid w:val="00232741"/>
    <w:rsid w:val="00233B80"/>
    <w:rsid w:val="0023585E"/>
    <w:rsid w:val="00235916"/>
    <w:rsid w:val="00236318"/>
    <w:rsid w:val="002464DF"/>
    <w:rsid w:val="00246EA4"/>
    <w:rsid w:val="0024727E"/>
    <w:rsid w:val="002552B2"/>
    <w:rsid w:val="00256545"/>
    <w:rsid w:val="002622CD"/>
    <w:rsid w:val="00263553"/>
    <w:rsid w:val="00266944"/>
    <w:rsid w:val="00273EF3"/>
    <w:rsid w:val="00274AD2"/>
    <w:rsid w:val="00275EDC"/>
    <w:rsid w:val="002761E1"/>
    <w:rsid w:val="002810D4"/>
    <w:rsid w:val="00282D57"/>
    <w:rsid w:val="00292618"/>
    <w:rsid w:val="00296C3E"/>
    <w:rsid w:val="002A2816"/>
    <w:rsid w:val="002A368B"/>
    <w:rsid w:val="002A3A8A"/>
    <w:rsid w:val="002B0A9A"/>
    <w:rsid w:val="002B1177"/>
    <w:rsid w:val="002B3E29"/>
    <w:rsid w:val="002B6603"/>
    <w:rsid w:val="002B6B07"/>
    <w:rsid w:val="002B6CA0"/>
    <w:rsid w:val="002C053F"/>
    <w:rsid w:val="002C2D0B"/>
    <w:rsid w:val="002C3124"/>
    <w:rsid w:val="002C3245"/>
    <w:rsid w:val="002C32E3"/>
    <w:rsid w:val="002C42E6"/>
    <w:rsid w:val="002C6268"/>
    <w:rsid w:val="002D06A8"/>
    <w:rsid w:val="002D4F4A"/>
    <w:rsid w:val="002E2217"/>
    <w:rsid w:val="002E2DF6"/>
    <w:rsid w:val="002E38B4"/>
    <w:rsid w:val="002E3E32"/>
    <w:rsid w:val="002E40AE"/>
    <w:rsid w:val="002E417B"/>
    <w:rsid w:val="002F305B"/>
    <w:rsid w:val="002F53C3"/>
    <w:rsid w:val="002F5DB2"/>
    <w:rsid w:val="002F6BE5"/>
    <w:rsid w:val="0032067D"/>
    <w:rsid w:val="00320699"/>
    <w:rsid w:val="00320888"/>
    <w:rsid w:val="00324CEA"/>
    <w:rsid w:val="003250A9"/>
    <w:rsid w:val="003313EF"/>
    <w:rsid w:val="00331D48"/>
    <w:rsid w:val="0033273B"/>
    <w:rsid w:val="0034287D"/>
    <w:rsid w:val="00343855"/>
    <w:rsid w:val="00345C88"/>
    <w:rsid w:val="00350DAF"/>
    <w:rsid w:val="00353FDE"/>
    <w:rsid w:val="00354009"/>
    <w:rsid w:val="00354B03"/>
    <w:rsid w:val="0035574C"/>
    <w:rsid w:val="00363A5B"/>
    <w:rsid w:val="00364E85"/>
    <w:rsid w:val="00365ED8"/>
    <w:rsid w:val="00366614"/>
    <w:rsid w:val="003700D9"/>
    <w:rsid w:val="003715A0"/>
    <w:rsid w:val="00371E84"/>
    <w:rsid w:val="00374D65"/>
    <w:rsid w:val="00375F04"/>
    <w:rsid w:val="00380303"/>
    <w:rsid w:val="003832B4"/>
    <w:rsid w:val="00385D62"/>
    <w:rsid w:val="00390712"/>
    <w:rsid w:val="00390B0F"/>
    <w:rsid w:val="00393E7C"/>
    <w:rsid w:val="003966A6"/>
    <w:rsid w:val="00397E19"/>
    <w:rsid w:val="003A0F88"/>
    <w:rsid w:val="003A1E82"/>
    <w:rsid w:val="003A4DB2"/>
    <w:rsid w:val="003A6E1B"/>
    <w:rsid w:val="003B29AC"/>
    <w:rsid w:val="003B2B86"/>
    <w:rsid w:val="003C009A"/>
    <w:rsid w:val="003C1E77"/>
    <w:rsid w:val="003C3EFA"/>
    <w:rsid w:val="003C53FE"/>
    <w:rsid w:val="003C60AC"/>
    <w:rsid w:val="003C6454"/>
    <w:rsid w:val="003C74B1"/>
    <w:rsid w:val="003C7B7F"/>
    <w:rsid w:val="003D01C0"/>
    <w:rsid w:val="003D0BFC"/>
    <w:rsid w:val="003D166D"/>
    <w:rsid w:val="003D5797"/>
    <w:rsid w:val="003D7B4A"/>
    <w:rsid w:val="003D7FD8"/>
    <w:rsid w:val="003E1675"/>
    <w:rsid w:val="003E4E11"/>
    <w:rsid w:val="003E5D43"/>
    <w:rsid w:val="003E6FD8"/>
    <w:rsid w:val="003F122E"/>
    <w:rsid w:val="003F2E82"/>
    <w:rsid w:val="003F4BEC"/>
    <w:rsid w:val="003F7306"/>
    <w:rsid w:val="00401781"/>
    <w:rsid w:val="004051EF"/>
    <w:rsid w:val="004069C1"/>
    <w:rsid w:val="004103EF"/>
    <w:rsid w:val="0041369E"/>
    <w:rsid w:val="00413916"/>
    <w:rsid w:val="00420B81"/>
    <w:rsid w:val="0042331C"/>
    <w:rsid w:val="00423C6F"/>
    <w:rsid w:val="00426CB0"/>
    <w:rsid w:val="00426FC2"/>
    <w:rsid w:val="00430C40"/>
    <w:rsid w:val="00433F36"/>
    <w:rsid w:val="00434D92"/>
    <w:rsid w:val="0043570C"/>
    <w:rsid w:val="00442D11"/>
    <w:rsid w:val="0044346A"/>
    <w:rsid w:val="004452B7"/>
    <w:rsid w:val="00446019"/>
    <w:rsid w:val="0045246A"/>
    <w:rsid w:val="0045352E"/>
    <w:rsid w:val="004577EA"/>
    <w:rsid w:val="00457A70"/>
    <w:rsid w:val="00462DA4"/>
    <w:rsid w:val="00463C48"/>
    <w:rsid w:val="004641A6"/>
    <w:rsid w:val="00465C8A"/>
    <w:rsid w:val="00466E20"/>
    <w:rsid w:val="00467D62"/>
    <w:rsid w:val="00470C21"/>
    <w:rsid w:val="004735BC"/>
    <w:rsid w:val="004818A4"/>
    <w:rsid w:val="004823D3"/>
    <w:rsid w:val="00483406"/>
    <w:rsid w:val="00483E23"/>
    <w:rsid w:val="00490D2B"/>
    <w:rsid w:val="004918D4"/>
    <w:rsid w:val="0049280E"/>
    <w:rsid w:val="00492B9C"/>
    <w:rsid w:val="00492CD2"/>
    <w:rsid w:val="00492E71"/>
    <w:rsid w:val="00493F07"/>
    <w:rsid w:val="00493FD8"/>
    <w:rsid w:val="00495A80"/>
    <w:rsid w:val="0049604D"/>
    <w:rsid w:val="004962A3"/>
    <w:rsid w:val="00497A1C"/>
    <w:rsid w:val="004A13F5"/>
    <w:rsid w:val="004A2BBE"/>
    <w:rsid w:val="004A4534"/>
    <w:rsid w:val="004A4C91"/>
    <w:rsid w:val="004B1493"/>
    <w:rsid w:val="004C1192"/>
    <w:rsid w:val="004C3B62"/>
    <w:rsid w:val="004C6EFD"/>
    <w:rsid w:val="004D006D"/>
    <w:rsid w:val="004D1B38"/>
    <w:rsid w:val="004D3D14"/>
    <w:rsid w:val="004D3F43"/>
    <w:rsid w:val="004E555F"/>
    <w:rsid w:val="004E6F80"/>
    <w:rsid w:val="004E7717"/>
    <w:rsid w:val="004F1081"/>
    <w:rsid w:val="004F3B3D"/>
    <w:rsid w:val="004F46B3"/>
    <w:rsid w:val="004F500D"/>
    <w:rsid w:val="004F57F4"/>
    <w:rsid w:val="004F59BE"/>
    <w:rsid w:val="004F5C76"/>
    <w:rsid w:val="00501FEA"/>
    <w:rsid w:val="00503F4E"/>
    <w:rsid w:val="005046E1"/>
    <w:rsid w:val="00505558"/>
    <w:rsid w:val="00505F6E"/>
    <w:rsid w:val="0050667F"/>
    <w:rsid w:val="00511B37"/>
    <w:rsid w:val="00512FEC"/>
    <w:rsid w:val="00514E35"/>
    <w:rsid w:val="0051574F"/>
    <w:rsid w:val="0052016C"/>
    <w:rsid w:val="00522E9E"/>
    <w:rsid w:val="00523333"/>
    <w:rsid w:val="00524519"/>
    <w:rsid w:val="0052507B"/>
    <w:rsid w:val="0052544A"/>
    <w:rsid w:val="00527268"/>
    <w:rsid w:val="005348E9"/>
    <w:rsid w:val="00534D65"/>
    <w:rsid w:val="005353F8"/>
    <w:rsid w:val="00536857"/>
    <w:rsid w:val="005424D6"/>
    <w:rsid w:val="00542800"/>
    <w:rsid w:val="0054431C"/>
    <w:rsid w:val="00547691"/>
    <w:rsid w:val="00551030"/>
    <w:rsid w:val="00551D83"/>
    <w:rsid w:val="00552B85"/>
    <w:rsid w:val="00553335"/>
    <w:rsid w:val="005534D0"/>
    <w:rsid w:val="00554324"/>
    <w:rsid w:val="00557331"/>
    <w:rsid w:val="00561614"/>
    <w:rsid w:val="005620F0"/>
    <w:rsid w:val="00562902"/>
    <w:rsid w:val="00564FD2"/>
    <w:rsid w:val="00564FD9"/>
    <w:rsid w:val="00566E1B"/>
    <w:rsid w:val="00570C9C"/>
    <w:rsid w:val="00571250"/>
    <w:rsid w:val="00572550"/>
    <w:rsid w:val="00576981"/>
    <w:rsid w:val="0058199B"/>
    <w:rsid w:val="00585D1A"/>
    <w:rsid w:val="005934BD"/>
    <w:rsid w:val="00595E27"/>
    <w:rsid w:val="00596633"/>
    <w:rsid w:val="005A1425"/>
    <w:rsid w:val="005A366F"/>
    <w:rsid w:val="005A57ED"/>
    <w:rsid w:val="005A5CF3"/>
    <w:rsid w:val="005A7348"/>
    <w:rsid w:val="005B7F63"/>
    <w:rsid w:val="005C0683"/>
    <w:rsid w:val="005C3598"/>
    <w:rsid w:val="005C461B"/>
    <w:rsid w:val="005C4EF6"/>
    <w:rsid w:val="005C5177"/>
    <w:rsid w:val="005D171D"/>
    <w:rsid w:val="005D17B6"/>
    <w:rsid w:val="005D2964"/>
    <w:rsid w:val="005D45F7"/>
    <w:rsid w:val="005D50AD"/>
    <w:rsid w:val="005D5F4D"/>
    <w:rsid w:val="005D7849"/>
    <w:rsid w:val="005E1576"/>
    <w:rsid w:val="005E1A52"/>
    <w:rsid w:val="005E1F83"/>
    <w:rsid w:val="005E27B1"/>
    <w:rsid w:val="005E2B67"/>
    <w:rsid w:val="005E2C01"/>
    <w:rsid w:val="005E35B7"/>
    <w:rsid w:val="005F535B"/>
    <w:rsid w:val="005F76A6"/>
    <w:rsid w:val="00600FCB"/>
    <w:rsid w:val="006013B8"/>
    <w:rsid w:val="00602880"/>
    <w:rsid w:val="00603C91"/>
    <w:rsid w:val="00605518"/>
    <w:rsid w:val="00613D50"/>
    <w:rsid w:val="00614D7F"/>
    <w:rsid w:val="00620E06"/>
    <w:rsid w:val="00623CEB"/>
    <w:rsid w:val="00625E2A"/>
    <w:rsid w:val="006263AC"/>
    <w:rsid w:val="00630F52"/>
    <w:rsid w:val="00634616"/>
    <w:rsid w:val="006415D5"/>
    <w:rsid w:val="0064263C"/>
    <w:rsid w:val="00644F9E"/>
    <w:rsid w:val="00650C0D"/>
    <w:rsid w:val="00654E5D"/>
    <w:rsid w:val="00663656"/>
    <w:rsid w:val="006636E6"/>
    <w:rsid w:val="00664C07"/>
    <w:rsid w:val="0067232E"/>
    <w:rsid w:val="00673BE4"/>
    <w:rsid w:val="00675825"/>
    <w:rsid w:val="00677596"/>
    <w:rsid w:val="006812D1"/>
    <w:rsid w:val="006830C7"/>
    <w:rsid w:val="006866E4"/>
    <w:rsid w:val="0068716E"/>
    <w:rsid w:val="00690DF8"/>
    <w:rsid w:val="00691007"/>
    <w:rsid w:val="00695731"/>
    <w:rsid w:val="00697037"/>
    <w:rsid w:val="006A1A83"/>
    <w:rsid w:val="006A2859"/>
    <w:rsid w:val="006A2D19"/>
    <w:rsid w:val="006A38D5"/>
    <w:rsid w:val="006B0426"/>
    <w:rsid w:val="006B0784"/>
    <w:rsid w:val="006B0D1D"/>
    <w:rsid w:val="006B2C4F"/>
    <w:rsid w:val="006B53FA"/>
    <w:rsid w:val="006B76BD"/>
    <w:rsid w:val="006C09EA"/>
    <w:rsid w:val="006C3591"/>
    <w:rsid w:val="006D12CD"/>
    <w:rsid w:val="006D169F"/>
    <w:rsid w:val="006D1AEB"/>
    <w:rsid w:val="006D27AF"/>
    <w:rsid w:val="006D4346"/>
    <w:rsid w:val="006D74E3"/>
    <w:rsid w:val="006E0775"/>
    <w:rsid w:val="006E1B0A"/>
    <w:rsid w:val="006E3178"/>
    <w:rsid w:val="006E643D"/>
    <w:rsid w:val="006E6B26"/>
    <w:rsid w:val="006E78BD"/>
    <w:rsid w:val="006E7F84"/>
    <w:rsid w:val="006F0C2B"/>
    <w:rsid w:val="006F4DE1"/>
    <w:rsid w:val="006F6133"/>
    <w:rsid w:val="006F679C"/>
    <w:rsid w:val="007026E3"/>
    <w:rsid w:val="007028A4"/>
    <w:rsid w:val="00706D0B"/>
    <w:rsid w:val="00707DAB"/>
    <w:rsid w:val="00710EA0"/>
    <w:rsid w:val="00721223"/>
    <w:rsid w:val="00721440"/>
    <w:rsid w:val="00721508"/>
    <w:rsid w:val="007245CA"/>
    <w:rsid w:val="00724F0A"/>
    <w:rsid w:val="0072508F"/>
    <w:rsid w:val="00725205"/>
    <w:rsid w:val="00725C7E"/>
    <w:rsid w:val="00726E97"/>
    <w:rsid w:val="00730D02"/>
    <w:rsid w:val="00730D05"/>
    <w:rsid w:val="00734152"/>
    <w:rsid w:val="0073518F"/>
    <w:rsid w:val="00736540"/>
    <w:rsid w:val="00743C98"/>
    <w:rsid w:val="007457BD"/>
    <w:rsid w:val="00747B39"/>
    <w:rsid w:val="00751724"/>
    <w:rsid w:val="00760654"/>
    <w:rsid w:val="007627FF"/>
    <w:rsid w:val="007639DF"/>
    <w:rsid w:val="00764947"/>
    <w:rsid w:val="00770103"/>
    <w:rsid w:val="00770160"/>
    <w:rsid w:val="00775DE2"/>
    <w:rsid w:val="00784ECC"/>
    <w:rsid w:val="00790295"/>
    <w:rsid w:val="00791C3D"/>
    <w:rsid w:val="00792829"/>
    <w:rsid w:val="00796019"/>
    <w:rsid w:val="007A05E5"/>
    <w:rsid w:val="007A121C"/>
    <w:rsid w:val="007A2615"/>
    <w:rsid w:val="007A3363"/>
    <w:rsid w:val="007A5F27"/>
    <w:rsid w:val="007B141E"/>
    <w:rsid w:val="007B1833"/>
    <w:rsid w:val="007B3582"/>
    <w:rsid w:val="007C0EDF"/>
    <w:rsid w:val="007C122B"/>
    <w:rsid w:val="007C2B92"/>
    <w:rsid w:val="007C4D0C"/>
    <w:rsid w:val="007C6155"/>
    <w:rsid w:val="007D0AFE"/>
    <w:rsid w:val="007D7178"/>
    <w:rsid w:val="007E0AB8"/>
    <w:rsid w:val="007E1FA5"/>
    <w:rsid w:val="007E2EA5"/>
    <w:rsid w:val="007E53CF"/>
    <w:rsid w:val="007E6A06"/>
    <w:rsid w:val="007F2E21"/>
    <w:rsid w:val="007F65E5"/>
    <w:rsid w:val="0080087E"/>
    <w:rsid w:val="00801C0F"/>
    <w:rsid w:val="008024FB"/>
    <w:rsid w:val="00802940"/>
    <w:rsid w:val="008035B4"/>
    <w:rsid w:val="00810CDD"/>
    <w:rsid w:val="00821BDF"/>
    <w:rsid w:val="008243DA"/>
    <w:rsid w:val="00825899"/>
    <w:rsid w:val="008271FE"/>
    <w:rsid w:val="00830AF4"/>
    <w:rsid w:val="0083238C"/>
    <w:rsid w:val="00832443"/>
    <w:rsid w:val="008377C1"/>
    <w:rsid w:val="00840867"/>
    <w:rsid w:val="008453D7"/>
    <w:rsid w:val="008532B7"/>
    <w:rsid w:val="008578C0"/>
    <w:rsid w:val="00860C53"/>
    <w:rsid w:val="00860FB4"/>
    <w:rsid w:val="0086158F"/>
    <w:rsid w:val="008630D8"/>
    <w:rsid w:val="00863BB4"/>
    <w:rsid w:val="00865E7D"/>
    <w:rsid w:val="008677DC"/>
    <w:rsid w:val="008725B4"/>
    <w:rsid w:val="00873501"/>
    <w:rsid w:val="00877371"/>
    <w:rsid w:val="008837C5"/>
    <w:rsid w:val="00885035"/>
    <w:rsid w:val="0088562F"/>
    <w:rsid w:val="00894FEC"/>
    <w:rsid w:val="00895505"/>
    <w:rsid w:val="00896451"/>
    <w:rsid w:val="00896DD0"/>
    <w:rsid w:val="0089714A"/>
    <w:rsid w:val="008A30CB"/>
    <w:rsid w:val="008A3C24"/>
    <w:rsid w:val="008A67FE"/>
    <w:rsid w:val="008A7FE5"/>
    <w:rsid w:val="008B0DA8"/>
    <w:rsid w:val="008B5381"/>
    <w:rsid w:val="008B54C4"/>
    <w:rsid w:val="008B6FAF"/>
    <w:rsid w:val="008B7957"/>
    <w:rsid w:val="008C146A"/>
    <w:rsid w:val="008C3639"/>
    <w:rsid w:val="008C45F1"/>
    <w:rsid w:val="008C5FE6"/>
    <w:rsid w:val="008C6740"/>
    <w:rsid w:val="008D4868"/>
    <w:rsid w:val="008D60D9"/>
    <w:rsid w:val="008D75CD"/>
    <w:rsid w:val="008D7CF0"/>
    <w:rsid w:val="008E0D3B"/>
    <w:rsid w:val="008E1C06"/>
    <w:rsid w:val="008E3F01"/>
    <w:rsid w:val="008E4CD1"/>
    <w:rsid w:val="008E55DA"/>
    <w:rsid w:val="008E62AC"/>
    <w:rsid w:val="008E62EB"/>
    <w:rsid w:val="008F2177"/>
    <w:rsid w:val="008F2D2D"/>
    <w:rsid w:val="008F6FC1"/>
    <w:rsid w:val="00900782"/>
    <w:rsid w:val="009009CD"/>
    <w:rsid w:val="009017B5"/>
    <w:rsid w:val="0090204A"/>
    <w:rsid w:val="00903C0B"/>
    <w:rsid w:val="009050C5"/>
    <w:rsid w:val="00910871"/>
    <w:rsid w:val="00917CC8"/>
    <w:rsid w:val="00920B80"/>
    <w:rsid w:val="00920C27"/>
    <w:rsid w:val="0092456D"/>
    <w:rsid w:val="009247C1"/>
    <w:rsid w:val="00925013"/>
    <w:rsid w:val="00930EC7"/>
    <w:rsid w:val="00935B6E"/>
    <w:rsid w:val="009422A3"/>
    <w:rsid w:val="009448B9"/>
    <w:rsid w:val="00950030"/>
    <w:rsid w:val="00951A2B"/>
    <w:rsid w:val="00952A48"/>
    <w:rsid w:val="00956B7A"/>
    <w:rsid w:val="00956CBF"/>
    <w:rsid w:val="0095751E"/>
    <w:rsid w:val="00960203"/>
    <w:rsid w:val="009602EE"/>
    <w:rsid w:val="00965002"/>
    <w:rsid w:val="0096767C"/>
    <w:rsid w:val="00970686"/>
    <w:rsid w:val="00974023"/>
    <w:rsid w:val="00980C8A"/>
    <w:rsid w:val="00981F61"/>
    <w:rsid w:val="00990319"/>
    <w:rsid w:val="009912DC"/>
    <w:rsid w:val="00996D53"/>
    <w:rsid w:val="00996E66"/>
    <w:rsid w:val="00997051"/>
    <w:rsid w:val="009A043B"/>
    <w:rsid w:val="009A3BB6"/>
    <w:rsid w:val="009B17FE"/>
    <w:rsid w:val="009B28F4"/>
    <w:rsid w:val="009C3329"/>
    <w:rsid w:val="009C4CA5"/>
    <w:rsid w:val="009D1B1E"/>
    <w:rsid w:val="009D3078"/>
    <w:rsid w:val="009D6B1F"/>
    <w:rsid w:val="009D706D"/>
    <w:rsid w:val="009D7101"/>
    <w:rsid w:val="009E2EF4"/>
    <w:rsid w:val="009E3063"/>
    <w:rsid w:val="009E4D3F"/>
    <w:rsid w:val="009E600A"/>
    <w:rsid w:val="009E68FA"/>
    <w:rsid w:val="009F2473"/>
    <w:rsid w:val="009F4128"/>
    <w:rsid w:val="009F4E84"/>
    <w:rsid w:val="009F53BD"/>
    <w:rsid w:val="009F6764"/>
    <w:rsid w:val="009F6CDC"/>
    <w:rsid w:val="00A02572"/>
    <w:rsid w:val="00A030C9"/>
    <w:rsid w:val="00A03CFF"/>
    <w:rsid w:val="00A052D2"/>
    <w:rsid w:val="00A06041"/>
    <w:rsid w:val="00A12B5F"/>
    <w:rsid w:val="00A12CBA"/>
    <w:rsid w:val="00A16592"/>
    <w:rsid w:val="00A20E11"/>
    <w:rsid w:val="00A226B0"/>
    <w:rsid w:val="00A232A8"/>
    <w:rsid w:val="00A240E1"/>
    <w:rsid w:val="00A25500"/>
    <w:rsid w:val="00A30A2A"/>
    <w:rsid w:val="00A30FDD"/>
    <w:rsid w:val="00A33E3F"/>
    <w:rsid w:val="00A42BC3"/>
    <w:rsid w:val="00A43C97"/>
    <w:rsid w:val="00A44727"/>
    <w:rsid w:val="00A453A3"/>
    <w:rsid w:val="00A45543"/>
    <w:rsid w:val="00A45786"/>
    <w:rsid w:val="00A4683F"/>
    <w:rsid w:val="00A47A4D"/>
    <w:rsid w:val="00A47ED8"/>
    <w:rsid w:val="00A50A0B"/>
    <w:rsid w:val="00A516DA"/>
    <w:rsid w:val="00A55A18"/>
    <w:rsid w:val="00A55D04"/>
    <w:rsid w:val="00A56939"/>
    <w:rsid w:val="00A61BA6"/>
    <w:rsid w:val="00A64FC1"/>
    <w:rsid w:val="00A65185"/>
    <w:rsid w:val="00A65C33"/>
    <w:rsid w:val="00A66C77"/>
    <w:rsid w:val="00A7038B"/>
    <w:rsid w:val="00A73BED"/>
    <w:rsid w:val="00A7498C"/>
    <w:rsid w:val="00A76AF6"/>
    <w:rsid w:val="00A82149"/>
    <w:rsid w:val="00A82EF3"/>
    <w:rsid w:val="00A84466"/>
    <w:rsid w:val="00A84F03"/>
    <w:rsid w:val="00A85ED7"/>
    <w:rsid w:val="00A85F28"/>
    <w:rsid w:val="00A86B9A"/>
    <w:rsid w:val="00A86B9D"/>
    <w:rsid w:val="00A93098"/>
    <w:rsid w:val="00A97CF8"/>
    <w:rsid w:val="00AA07DE"/>
    <w:rsid w:val="00AA21E3"/>
    <w:rsid w:val="00AA51CE"/>
    <w:rsid w:val="00AA5D4E"/>
    <w:rsid w:val="00AA6A3A"/>
    <w:rsid w:val="00AA7B30"/>
    <w:rsid w:val="00AB39AF"/>
    <w:rsid w:val="00AC11B8"/>
    <w:rsid w:val="00AC264C"/>
    <w:rsid w:val="00AC2847"/>
    <w:rsid w:val="00AC300A"/>
    <w:rsid w:val="00AC3122"/>
    <w:rsid w:val="00AC4C57"/>
    <w:rsid w:val="00AC559A"/>
    <w:rsid w:val="00AC69C2"/>
    <w:rsid w:val="00AD1108"/>
    <w:rsid w:val="00AD4CF9"/>
    <w:rsid w:val="00AD535C"/>
    <w:rsid w:val="00AD7E5E"/>
    <w:rsid w:val="00AE1065"/>
    <w:rsid w:val="00AE2361"/>
    <w:rsid w:val="00AE4570"/>
    <w:rsid w:val="00AE547A"/>
    <w:rsid w:val="00AF4211"/>
    <w:rsid w:val="00AF619B"/>
    <w:rsid w:val="00B01E2D"/>
    <w:rsid w:val="00B02772"/>
    <w:rsid w:val="00B033B9"/>
    <w:rsid w:val="00B03E64"/>
    <w:rsid w:val="00B10925"/>
    <w:rsid w:val="00B10A58"/>
    <w:rsid w:val="00B11D39"/>
    <w:rsid w:val="00B14249"/>
    <w:rsid w:val="00B16536"/>
    <w:rsid w:val="00B16FA6"/>
    <w:rsid w:val="00B1731D"/>
    <w:rsid w:val="00B17871"/>
    <w:rsid w:val="00B2323C"/>
    <w:rsid w:val="00B27401"/>
    <w:rsid w:val="00B3195F"/>
    <w:rsid w:val="00B319DB"/>
    <w:rsid w:val="00B348BC"/>
    <w:rsid w:val="00B35F51"/>
    <w:rsid w:val="00B37E0D"/>
    <w:rsid w:val="00B43CC5"/>
    <w:rsid w:val="00B43D81"/>
    <w:rsid w:val="00B44AD3"/>
    <w:rsid w:val="00B5028F"/>
    <w:rsid w:val="00B504C7"/>
    <w:rsid w:val="00B511D1"/>
    <w:rsid w:val="00B52C1E"/>
    <w:rsid w:val="00B546A5"/>
    <w:rsid w:val="00B557C7"/>
    <w:rsid w:val="00B56286"/>
    <w:rsid w:val="00B562A2"/>
    <w:rsid w:val="00B60883"/>
    <w:rsid w:val="00B60D25"/>
    <w:rsid w:val="00B65903"/>
    <w:rsid w:val="00B700A1"/>
    <w:rsid w:val="00B71068"/>
    <w:rsid w:val="00B71D00"/>
    <w:rsid w:val="00B72B48"/>
    <w:rsid w:val="00B82EBF"/>
    <w:rsid w:val="00B85809"/>
    <w:rsid w:val="00B85F90"/>
    <w:rsid w:val="00B91C7F"/>
    <w:rsid w:val="00B92213"/>
    <w:rsid w:val="00B92523"/>
    <w:rsid w:val="00B92A43"/>
    <w:rsid w:val="00B93435"/>
    <w:rsid w:val="00B95AA6"/>
    <w:rsid w:val="00BA1834"/>
    <w:rsid w:val="00BA6DBF"/>
    <w:rsid w:val="00BA7E52"/>
    <w:rsid w:val="00BB3B7B"/>
    <w:rsid w:val="00BC22CD"/>
    <w:rsid w:val="00BC2CDD"/>
    <w:rsid w:val="00BC5391"/>
    <w:rsid w:val="00BC5C37"/>
    <w:rsid w:val="00BC5F76"/>
    <w:rsid w:val="00BC7693"/>
    <w:rsid w:val="00BD12B0"/>
    <w:rsid w:val="00BD1760"/>
    <w:rsid w:val="00BD56D6"/>
    <w:rsid w:val="00BD6E40"/>
    <w:rsid w:val="00BE15CD"/>
    <w:rsid w:val="00BE3382"/>
    <w:rsid w:val="00BF0590"/>
    <w:rsid w:val="00BF1E1E"/>
    <w:rsid w:val="00BF4F00"/>
    <w:rsid w:val="00BF69EE"/>
    <w:rsid w:val="00C0011F"/>
    <w:rsid w:val="00C04179"/>
    <w:rsid w:val="00C04214"/>
    <w:rsid w:val="00C06AB5"/>
    <w:rsid w:val="00C140C4"/>
    <w:rsid w:val="00C16423"/>
    <w:rsid w:val="00C16805"/>
    <w:rsid w:val="00C16C36"/>
    <w:rsid w:val="00C1749F"/>
    <w:rsid w:val="00C2029A"/>
    <w:rsid w:val="00C2098E"/>
    <w:rsid w:val="00C24E01"/>
    <w:rsid w:val="00C2608A"/>
    <w:rsid w:val="00C30693"/>
    <w:rsid w:val="00C32F4A"/>
    <w:rsid w:val="00C417F4"/>
    <w:rsid w:val="00C41DE4"/>
    <w:rsid w:val="00C42C32"/>
    <w:rsid w:val="00C42D75"/>
    <w:rsid w:val="00C44366"/>
    <w:rsid w:val="00C46C0F"/>
    <w:rsid w:val="00C5185E"/>
    <w:rsid w:val="00C52E45"/>
    <w:rsid w:val="00C54171"/>
    <w:rsid w:val="00C5589D"/>
    <w:rsid w:val="00C56652"/>
    <w:rsid w:val="00C570BC"/>
    <w:rsid w:val="00C60429"/>
    <w:rsid w:val="00C6056C"/>
    <w:rsid w:val="00C6138D"/>
    <w:rsid w:val="00C632B2"/>
    <w:rsid w:val="00C63B1F"/>
    <w:rsid w:val="00C6796C"/>
    <w:rsid w:val="00C70600"/>
    <w:rsid w:val="00C85D06"/>
    <w:rsid w:val="00C86EFB"/>
    <w:rsid w:val="00C872C9"/>
    <w:rsid w:val="00C87E08"/>
    <w:rsid w:val="00CA286B"/>
    <w:rsid w:val="00CB1CA8"/>
    <w:rsid w:val="00CB2379"/>
    <w:rsid w:val="00CB2CAD"/>
    <w:rsid w:val="00CB550B"/>
    <w:rsid w:val="00CB656D"/>
    <w:rsid w:val="00CB6604"/>
    <w:rsid w:val="00CB71B6"/>
    <w:rsid w:val="00CC1965"/>
    <w:rsid w:val="00CC57A7"/>
    <w:rsid w:val="00CD039C"/>
    <w:rsid w:val="00CD0B96"/>
    <w:rsid w:val="00CD22B2"/>
    <w:rsid w:val="00CE3598"/>
    <w:rsid w:val="00CE5022"/>
    <w:rsid w:val="00CE7605"/>
    <w:rsid w:val="00CF07D7"/>
    <w:rsid w:val="00CF1FAA"/>
    <w:rsid w:val="00CF54F6"/>
    <w:rsid w:val="00CF6635"/>
    <w:rsid w:val="00CF72A2"/>
    <w:rsid w:val="00D040BE"/>
    <w:rsid w:val="00D14B3A"/>
    <w:rsid w:val="00D15E6B"/>
    <w:rsid w:val="00D15EC2"/>
    <w:rsid w:val="00D22067"/>
    <w:rsid w:val="00D22255"/>
    <w:rsid w:val="00D22326"/>
    <w:rsid w:val="00D31CAB"/>
    <w:rsid w:val="00D32591"/>
    <w:rsid w:val="00D35883"/>
    <w:rsid w:val="00D358AB"/>
    <w:rsid w:val="00D422A1"/>
    <w:rsid w:val="00D423ED"/>
    <w:rsid w:val="00D456CF"/>
    <w:rsid w:val="00D56FB4"/>
    <w:rsid w:val="00D6084F"/>
    <w:rsid w:val="00D6284A"/>
    <w:rsid w:val="00D62EB3"/>
    <w:rsid w:val="00D64159"/>
    <w:rsid w:val="00D650B1"/>
    <w:rsid w:val="00D754B9"/>
    <w:rsid w:val="00D8375B"/>
    <w:rsid w:val="00D86C1B"/>
    <w:rsid w:val="00D9376A"/>
    <w:rsid w:val="00D9381A"/>
    <w:rsid w:val="00D94FD3"/>
    <w:rsid w:val="00D95076"/>
    <w:rsid w:val="00D950AF"/>
    <w:rsid w:val="00D9554B"/>
    <w:rsid w:val="00D95B2B"/>
    <w:rsid w:val="00DA362E"/>
    <w:rsid w:val="00DA4921"/>
    <w:rsid w:val="00DA654F"/>
    <w:rsid w:val="00DA75D8"/>
    <w:rsid w:val="00DB3BCB"/>
    <w:rsid w:val="00DC36A5"/>
    <w:rsid w:val="00DC6930"/>
    <w:rsid w:val="00DC6A97"/>
    <w:rsid w:val="00DC6BE5"/>
    <w:rsid w:val="00DD1CED"/>
    <w:rsid w:val="00DD558D"/>
    <w:rsid w:val="00DD5DB6"/>
    <w:rsid w:val="00DE3AAE"/>
    <w:rsid w:val="00DE7BE4"/>
    <w:rsid w:val="00DF1025"/>
    <w:rsid w:val="00DF205B"/>
    <w:rsid w:val="00DF2537"/>
    <w:rsid w:val="00DF2FB3"/>
    <w:rsid w:val="00DF3484"/>
    <w:rsid w:val="00DF6152"/>
    <w:rsid w:val="00DF76D3"/>
    <w:rsid w:val="00E00290"/>
    <w:rsid w:val="00E0450D"/>
    <w:rsid w:val="00E05318"/>
    <w:rsid w:val="00E127BB"/>
    <w:rsid w:val="00E14783"/>
    <w:rsid w:val="00E151DF"/>
    <w:rsid w:val="00E21C5B"/>
    <w:rsid w:val="00E229BD"/>
    <w:rsid w:val="00E26628"/>
    <w:rsid w:val="00E274B3"/>
    <w:rsid w:val="00E30FB1"/>
    <w:rsid w:val="00E34E35"/>
    <w:rsid w:val="00E40BD4"/>
    <w:rsid w:val="00E42AFA"/>
    <w:rsid w:val="00E45CF3"/>
    <w:rsid w:val="00E479D9"/>
    <w:rsid w:val="00E50C45"/>
    <w:rsid w:val="00E5170E"/>
    <w:rsid w:val="00E522CE"/>
    <w:rsid w:val="00E5621A"/>
    <w:rsid w:val="00E56BFB"/>
    <w:rsid w:val="00E579BE"/>
    <w:rsid w:val="00E64522"/>
    <w:rsid w:val="00E66C51"/>
    <w:rsid w:val="00E6756F"/>
    <w:rsid w:val="00E721B1"/>
    <w:rsid w:val="00E7263C"/>
    <w:rsid w:val="00E75327"/>
    <w:rsid w:val="00E75EB4"/>
    <w:rsid w:val="00E77340"/>
    <w:rsid w:val="00E818F9"/>
    <w:rsid w:val="00E82248"/>
    <w:rsid w:val="00E91DF2"/>
    <w:rsid w:val="00E97B84"/>
    <w:rsid w:val="00EA04FA"/>
    <w:rsid w:val="00EA333F"/>
    <w:rsid w:val="00EB0CA7"/>
    <w:rsid w:val="00EB1EAC"/>
    <w:rsid w:val="00EB3BFD"/>
    <w:rsid w:val="00EB4C29"/>
    <w:rsid w:val="00EB540E"/>
    <w:rsid w:val="00EC0060"/>
    <w:rsid w:val="00EC18E3"/>
    <w:rsid w:val="00EC1AA9"/>
    <w:rsid w:val="00EC3080"/>
    <w:rsid w:val="00EC333F"/>
    <w:rsid w:val="00EC3F73"/>
    <w:rsid w:val="00EC56FE"/>
    <w:rsid w:val="00EC7EBE"/>
    <w:rsid w:val="00EC7F4C"/>
    <w:rsid w:val="00ED464D"/>
    <w:rsid w:val="00ED6CC2"/>
    <w:rsid w:val="00ED6F70"/>
    <w:rsid w:val="00EE02E6"/>
    <w:rsid w:val="00EE1CD7"/>
    <w:rsid w:val="00EE1E2A"/>
    <w:rsid w:val="00EE6A24"/>
    <w:rsid w:val="00EF0C2B"/>
    <w:rsid w:val="00EF2936"/>
    <w:rsid w:val="00EF6A9A"/>
    <w:rsid w:val="00EF7CF2"/>
    <w:rsid w:val="00F00BEB"/>
    <w:rsid w:val="00F0438F"/>
    <w:rsid w:val="00F105C7"/>
    <w:rsid w:val="00F10754"/>
    <w:rsid w:val="00F11592"/>
    <w:rsid w:val="00F11DE7"/>
    <w:rsid w:val="00F13F24"/>
    <w:rsid w:val="00F14C85"/>
    <w:rsid w:val="00F159C2"/>
    <w:rsid w:val="00F15E23"/>
    <w:rsid w:val="00F209D9"/>
    <w:rsid w:val="00F24301"/>
    <w:rsid w:val="00F260CA"/>
    <w:rsid w:val="00F26841"/>
    <w:rsid w:val="00F306A8"/>
    <w:rsid w:val="00F40168"/>
    <w:rsid w:val="00F40414"/>
    <w:rsid w:val="00F40BC2"/>
    <w:rsid w:val="00F41F80"/>
    <w:rsid w:val="00F43644"/>
    <w:rsid w:val="00F45DE7"/>
    <w:rsid w:val="00F467EF"/>
    <w:rsid w:val="00F56AC2"/>
    <w:rsid w:val="00F56F90"/>
    <w:rsid w:val="00F57005"/>
    <w:rsid w:val="00F573B0"/>
    <w:rsid w:val="00F57482"/>
    <w:rsid w:val="00F60090"/>
    <w:rsid w:val="00F60103"/>
    <w:rsid w:val="00F606C2"/>
    <w:rsid w:val="00F610B7"/>
    <w:rsid w:val="00F612D0"/>
    <w:rsid w:val="00F61881"/>
    <w:rsid w:val="00F6467F"/>
    <w:rsid w:val="00F66248"/>
    <w:rsid w:val="00F7176B"/>
    <w:rsid w:val="00F7182C"/>
    <w:rsid w:val="00F76494"/>
    <w:rsid w:val="00F84DC1"/>
    <w:rsid w:val="00F967FC"/>
    <w:rsid w:val="00F975FD"/>
    <w:rsid w:val="00FA2DD9"/>
    <w:rsid w:val="00FA3D09"/>
    <w:rsid w:val="00FA702C"/>
    <w:rsid w:val="00FB062A"/>
    <w:rsid w:val="00FB2D58"/>
    <w:rsid w:val="00FB56A0"/>
    <w:rsid w:val="00FB5D93"/>
    <w:rsid w:val="00FB70DC"/>
    <w:rsid w:val="00FB7852"/>
    <w:rsid w:val="00FC2087"/>
    <w:rsid w:val="00FC389A"/>
    <w:rsid w:val="00FC46BA"/>
    <w:rsid w:val="00FC4A75"/>
    <w:rsid w:val="00FC510A"/>
    <w:rsid w:val="00FC6683"/>
    <w:rsid w:val="00FC7D5C"/>
    <w:rsid w:val="00FD32E2"/>
    <w:rsid w:val="00FD4473"/>
    <w:rsid w:val="00FE03B5"/>
    <w:rsid w:val="00FE1982"/>
    <w:rsid w:val="00FE2118"/>
    <w:rsid w:val="00FE3C5D"/>
    <w:rsid w:val="00FE7080"/>
    <w:rsid w:val="00FE7289"/>
    <w:rsid w:val="00FE7B54"/>
    <w:rsid w:val="00FF1252"/>
    <w:rsid w:val="00FF2D3A"/>
    <w:rsid w:val="00FF5E9A"/>
    <w:rsid w:val="02F2A64A"/>
    <w:rsid w:val="0BEF424E"/>
    <w:rsid w:val="0DBE7FC6"/>
    <w:rsid w:val="113062C3"/>
    <w:rsid w:val="16145BC4"/>
    <w:rsid w:val="1D0F027E"/>
    <w:rsid w:val="26F3DFF9"/>
    <w:rsid w:val="589F5B39"/>
    <w:rsid w:val="656634E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A6819"/>
  <w15:chartTrackingRefBased/>
  <w15:docId w15:val="{270506DC-FDCC-4728-B917-FD43DF78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Revision">
    <w:name w:val="Revision"/>
    <w:hidden/>
    <w:uiPriority w:val="99"/>
    <w:semiHidden/>
    <w:rsid w:val="002F6BE5"/>
    <w:rPr>
      <w:sz w:val="22"/>
      <w:lang w:val="en-GB" w:eastAsia="en-US"/>
    </w:rPr>
  </w:style>
  <w:style w:type="character" w:styleId="CommentReference">
    <w:name w:val="annotation reference"/>
    <w:rsid w:val="00D423ED"/>
    <w:rPr>
      <w:sz w:val="16"/>
      <w:szCs w:val="16"/>
    </w:rPr>
  </w:style>
  <w:style w:type="paragraph" w:styleId="CommentText">
    <w:name w:val="annotation text"/>
    <w:basedOn w:val="Normal"/>
    <w:link w:val="CommentTextChar"/>
    <w:rsid w:val="00D423ED"/>
    <w:rPr>
      <w:sz w:val="20"/>
    </w:rPr>
  </w:style>
  <w:style w:type="character" w:customStyle="1" w:styleId="CommentTextChar">
    <w:name w:val="Comment Text Char"/>
    <w:link w:val="CommentText"/>
    <w:rsid w:val="00D423ED"/>
    <w:rPr>
      <w:lang w:val="en-GB"/>
    </w:rPr>
  </w:style>
  <w:style w:type="paragraph" w:styleId="CommentSubject">
    <w:name w:val="annotation subject"/>
    <w:basedOn w:val="CommentText"/>
    <w:next w:val="CommentText"/>
    <w:link w:val="CommentSubjectChar"/>
    <w:rsid w:val="00D423ED"/>
    <w:rPr>
      <w:b/>
      <w:bCs/>
    </w:rPr>
  </w:style>
  <w:style w:type="character" w:customStyle="1" w:styleId="CommentSubjectChar">
    <w:name w:val="Comment Subject Char"/>
    <w:link w:val="CommentSubject"/>
    <w:rsid w:val="00D423ED"/>
    <w:rPr>
      <w:b/>
      <w:bCs/>
      <w:lang w:val="en-GB"/>
    </w:rPr>
  </w:style>
  <w:style w:type="paragraph" w:styleId="ListParagraph">
    <w:name w:val="List Paragraph"/>
    <w:basedOn w:val="Normal"/>
    <w:uiPriority w:val="34"/>
    <w:qFormat/>
    <w:rsid w:val="005046E1"/>
    <w:pPr>
      <w:spacing w:after="160" w:line="259" w:lineRule="auto"/>
      <w:ind w:left="720"/>
      <w:contextualSpacing/>
      <w:jc w:val="left"/>
    </w:pPr>
    <w:rPr>
      <w:rFonts w:ascii="Calibri" w:eastAsia="Calibri" w:hAnsi="Calibri"/>
      <w:kern w:val="2"/>
      <w:szCs w:val="22"/>
      <w:lang w:val="en-CA"/>
    </w:rPr>
  </w:style>
  <w:style w:type="paragraph" w:styleId="EndnoteText">
    <w:name w:val="endnote text"/>
    <w:basedOn w:val="Normal"/>
    <w:link w:val="EndnoteTextChar"/>
    <w:rsid w:val="004D3D14"/>
    <w:rPr>
      <w:sz w:val="20"/>
    </w:rPr>
  </w:style>
  <w:style w:type="character" w:customStyle="1" w:styleId="EndnoteTextChar">
    <w:name w:val="Endnote Text Char"/>
    <w:link w:val="EndnoteText"/>
    <w:rsid w:val="004D3D14"/>
    <w:rPr>
      <w:lang w:val="en-GB" w:eastAsia="en-US"/>
    </w:rPr>
  </w:style>
  <w:style w:type="character" w:styleId="EndnoteReference">
    <w:name w:val="endnote reference"/>
    <w:rsid w:val="004D3D14"/>
    <w:rPr>
      <w:vertAlign w:val="superscript"/>
    </w:rPr>
  </w:style>
  <w:style w:type="paragraph" w:styleId="FootnoteText">
    <w:name w:val="footnote text"/>
    <w:basedOn w:val="Normal"/>
    <w:link w:val="FootnoteTextChar"/>
    <w:rsid w:val="00A7498C"/>
    <w:rPr>
      <w:sz w:val="20"/>
    </w:rPr>
  </w:style>
  <w:style w:type="character" w:customStyle="1" w:styleId="FootnoteTextChar">
    <w:name w:val="Footnote Text Char"/>
    <w:link w:val="FootnoteText"/>
    <w:rsid w:val="00A7498C"/>
    <w:rPr>
      <w:lang w:val="en-GB" w:eastAsia="en-US"/>
    </w:rPr>
  </w:style>
  <w:style w:type="character" w:styleId="FootnoteReference">
    <w:name w:val="footnote reference"/>
    <w:rsid w:val="00A7498C"/>
    <w:rPr>
      <w:vertAlign w:val="superscript"/>
    </w:rPr>
  </w:style>
  <w:style w:type="paragraph" w:styleId="Caption">
    <w:name w:val="caption"/>
    <w:basedOn w:val="Normal"/>
    <w:next w:val="Normal"/>
    <w:unhideWhenUsed/>
    <w:qFormat/>
    <w:rsid w:val="003C3EFA"/>
    <w:rPr>
      <w:b/>
      <w:bCs/>
      <w:sz w:val="20"/>
    </w:rPr>
  </w:style>
  <w:style w:type="character" w:customStyle="1" w:styleId="normaltextrun">
    <w:name w:val="normaltextrun"/>
    <w:basedOn w:val="DefaultParagraphFont"/>
    <w:rsid w:val="0089714A"/>
  </w:style>
  <w:style w:type="table" w:styleId="TableGrid">
    <w:name w:val="Table Grid"/>
    <w:basedOn w:val="TableNormal"/>
    <w:rsid w:val="00623CEB"/>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623CEB"/>
  </w:style>
  <w:style w:type="character" w:customStyle="1" w:styleId="mclose">
    <w:name w:val="mclose"/>
    <w:basedOn w:val="DefaultParagraphFont"/>
    <w:rsid w:val="00623CEB"/>
  </w:style>
  <w:style w:type="character" w:styleId="Hyperlink">
    <w:name w:val="Hyperlink"/>
    <w:basedOn w:val="DefaultParagraphFont"/>
    <w:rsid w:val="00225CB3"/>
    <w:rPr>
      <w:color w:val="0563C1" w:themeColor="hyperlink"/>
      <w:u w:val="single"/>
    </w:rPr>
  </w:style>
  <w:style w:type="character" w:styleId="UnresolvedMention">
    <w:name w:val="Unresolved Mention"/>
    <w:basedOn w:val="DefaultParagraphFont"/>
    <w:uiPriority w:val="99"/>
    <w:semiHidden/>
    <w:unhideWhenUsed/>
    <w:rsid w:val="00225CB3"/>
    <w:rPr>
      <w:color w:val="605E5C"/>
      <w:shd w:val="clear" w:color="auto" w:fill="E1DFDD"/>
    </w:rPr>
  </w:style>
  <w:style w:type="character" w:styleId="FollowedHyperlink">
    <w:name w:val="FollowedHyperlink"/>
    <w:basedOn w:val="DefaultParagraphFont"/>
    <w:rsid w:val="00D95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2129011772">
      <w:bodyDiv w:val="1"/>
      <w:marLeft w:val="0"/>
      <w:marRight w:val="0"/>
      <w:marTop w:val="0"/>
      <w:marBottom w:val="0"/>
      <w:divBdr>
        <w:top w:val="none" w:sz="0" w:space="0" w:color="auto"/>
        <w:left w:val="none" w:sz="0" w:space="0" w:color="auto"/>
        <w:bottom w:val="none" w:sz="0" w:space="0" w:color="auto"/>
        <w:right w:val="none" w:sz="0" w:space="0" w:color="auto"/>
      </w:divBdr>
      <w:divsChild>
        <w:div w:id="731344730">
          <w:marLeft w:val="0"/>
          <w:marRight w:val="0"/>
          <w:marTop w:val="0"/>
          <w:marBottom w:val="0"/>
          <w:divBdr>
            <w:top w:val="none" w:sz="0" w:space="0" w:color="auto"/>
            <w:left w:val="none" w:sz="0" w:space="0" w:color="auto"/>
            <w:bottom w:val="none" w:sz="0" w:space="0" w:color="auto"/>
            <w:right w:val="none" w:sz="0" w:space="0" w:color="auto"/>
          </w:divBdr>
          <w:divsChild>
            <w:div w:id="898591212">
              <w:marLeft w:val="0"/>
              <w:marRight w:val="0"/>
              <w:marTop w:val="0"/>
              <w:marBottom w:val="0"/>
              <w:divBdr>
                <w:top w:val="none" w:sz="0" w:space="0" w:color="auto"/>
                <w:left w:val="none" w:sz="0" w:space="0" w:color="auto"/>
                <w:bottom w:val="none" w:sz="0" w:space="0" w:color="auto"/>
                <w:right w:val="none" w:sz="0" w:space="0" w:color="auto"/>
              </w:divBdr>
              <w:divsChild>
                <w:div w:id="855461024">
                  <w:marLeft w:val="0"/>
                  <w:marRight w:val="0"/>
                  <w:marTop w:val="0"/>
                  <w:marBottom w:val="0"/>
                  <w:divBdr>
                    <w:top w:val="none" w:sz="0" w:space="0" w:color="auto"/>
                    <w:left w:val="none" w:sz="0" w:space="0" w:color="auto"/>
                    <w:bottom w:val="none" w:sz="0" w:space="0" w:color="auto"/>
                    <w:right w:val="none" w:sz="0" w:space="0" w:color="auto"/>
                  </w:divBdr>
                  <w:divsChild>
                    <w:div w:id="20405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vcanada.sharepoint.com/sites/M365_CommEng/Shared%20Documents/Team%20-%20Spectronauts/ICAO%20-%20FSMP/FSMP%20WG20/Papers%20submitted/Document%20used%20as%20support%20to%20develop%20NC%20papers/FSMP-WG%2020%20IP07_ASDE%20specification%2024.5GHz%20in%20Japan%2020250207.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vcanada.sharepoint.com/sites/M365_CommEng/Shared%20Documents/Team%20-%20Spectronauts/ICAO%20-%20FSMP/FSMP%20WG20/Papers%20submitted/Document%20used%20as%20support%20to%20develop%20NC%20papers/R23-WP5B-C-0216!N26!MSW-E.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946F1-8326-4DEE-8190-7E68F1081EA1}"/>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8477B412-5B06-4E45-BF86-BC08B9C88FB5}">
  <ds:schemaRefs>
    <ds:schemaRef ds:uri="http://schemas.openxmlformats.org/officeDocument/2006/bibliography"/>
  </ds:schemaRefs>
</ds:datastoreItem>
</file>

<file path=customXml/itemProps4.xml><?xml version="1.0" encoding="utf-8"?>
<ds:datastoreItem xmlns:ds="http://schemas.openxmlformats.org/officeDocument/2006/customXml" ds:itemID="{41EBB628-44F4-486C-A6FD-8A114BDCDD76}">
  <ds:schemaRefs>
    <ds:schemaRef ds:uri="http://schemas.microsoft.com/office/2006/metadata/properties"/>
    <ds:schemaRef ds:uri="http://schemas.microsoft.com/office/infopath/2007/PartnerControls"/>
    <ds:schemaRef ds:uri="244728ce-b602-4f7a-b659-540d5fd5b6be"/>
    <ds:schemaRef ds:uri="146cc8cb-de9d-4ef5-8dd6-0cad0190a096"/>
  </ds:schemaRefs>
</ds:datastoreItem>
</file>

<file path=docProps/app.xml><?xml version="1.0" encoding="utf-8"?>
<Properties xmlns="http://schemas.openxmlformats.org/officeDocument/2006/extended-properties" xmlns:vt="http://schemas.openxmlformats.org/officeDocument/2006/docPropsVTypes">
  <Template>ATMRPP_WG_WHL_1.dot</Template>
  <TotalTime>1</TotalTime>
  <Pages>4</Pages>
  <Words>1098</Words>
  <Characters>6919</Characters>
  <Application>Microsoft Office Word</Application>
  <DocSecurity>0</DocSecurity>
  <Lines>432</Lines>
  <Paragraphs>308</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3</cp:revision>
  <cp:lastPrinted>2005-03-16T18:26:00Z</cp:lastPrinted>
  <dcterms:created xsi:type="dcterms:W3CDTF">2025-02-27T05:20:00Z</dcterms:created>
  <dcterms:modified xsi:type="dcterms:W3CDTF">2025-02-27T05:21:00Z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y fmtid="{D5CDD505-2E9C-101B-9397-08002B2CF9AE}" pid="3" name="MSIP_Label_2cbe7761-2aac-44f7-8abe-d090d72647bf_Enabled">
    <vt:lpwstr>true</vt:lpwstr>
  </property>
  <property fmtid="{D5CDD505-2E9C-101B-9397-08002B2CF9AE}" pid="4" name="MSIP_Label_2cbe7761-2aac-44f7-8abe-d090d72647bf_SetDate">
    <vt:lpwstr>2025-01-10T18:38:53Z</vt:lpwstr>
  </property>
  <property fmtid="{D5CDD505-2E9C-101B-9397-08002B2CF9AE}" pid="5" name="MSIP_Label_2cbe7761-2aac-44f7-8abe-d090d72647bf_Method">
    <vt:lpwstr>Standard</vt:lpwstr>
  </property>
  <property fmtid="{D5CDD505-2E9C-101B-9397-08002B2CF9AE}" pid="6" name="MSIP_Label_2cbe7761-2aac-44f7-8abe-d090d72647bf_Name">
    <vt:lpwstr>Proprietary Files</vt:lpwstr>
  </property>
  <property fmtid="{D5CDD505-2E9C-101B-9397-08002B2CF9AE}" pid="7" name="MSIP_Label_2cbe7761-2aac-44f7-8abe-d090d72647bf_SiteId">
    <vt:lpwstr>6ddf65e7-9232-4a19-bb68-a2dbf5ea5a74</vt:lpwstr>
  </property>
  <property fmtid="{D5CDD505-2E9C-101B-9397-08002B2CF9AE}" pid="8" name="MSIP_Label_2cbe7761-2aac-44f7-8abe-d090d72647bf_ActionId">
    <vt:lpwstr>e95fe328-8cd7-4e84-ae37-84bcbe4c4ef1</vt:lpwstr>
  </property>
  <property fmtid="{D5CDD505-2E9C-101B-9397-08002B2CF9AE}" pid="9" name="MSIP_Label_2cbe7761-2aac-44f7-8abe-d090d72647bf_ContentBits">
    <vt:lpwstr>1</vt:lpwstr>
  </property>
  <property fmtid="{D5CDD505-2E9C-101B-9397-08002B2CF9AE}" pid="10" name="ContentTypeId">
    <vt:lpwstr>0x010100B372B09A9A77C4438999FF1325BEF759</vt:lpwstr>
  </property>
  <property fmtid="{D5CDD505-2E9C-101B-9397-08002B2CF9AE}" pid="11" name="MediaServiceImageTags">
    <vt:lpwstr/>
  </property>
  <property fmtid="{D5CDD505-2E9C-101B-9397-08002B2CF9AE}" pid="12" name="SecurityClassification">
    <vt:lpwstr>1;#Proprietary / Exclusif|a9d36c23-cfa8-4bda-ad55-10e31d671e63</vt:lpwstr>
  </property>
</Properties>
</file>