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853C" w14:textId="77777777" w:rsidR="00C32F4A" w:rsidRDefault="00C32F4A" w:rsidP="00C32F4A">
      <w:pPr>
        <w:jc w:val="center"/>
        <w:rPr>
          <w:b/>
        </w:rPr>
      </w:pPr>
      <w:r>
        <w:rPr>
          <w:b/>
        </w:rPr>
        <w:t>FREQUENCY SPECTRUM MANAGEMENT PANEL (FSMP)</w:t>
      </w:r>
    </w:p>
    <w:p w14:paraId="5868342C" w14:textId="77777777" w:rsidR="00C32F4A" w:rsidRDefault="00C32F4A" w:rsidP="00C32F4A">
      <w:pPr>
        <w:tabs>
          <w:tab w:val="left" w:pos="6972"/>
        </w:tabs>
        <w:jc w:val="center"/>
        <w:rPr>
          <w:b/>
        </w:rPr>
      </w:pPr>
    </w:p>
    <w:p w14:paraId="30A6730C" w14:textId="77777777" w:rsidR="00FC389A" w:rsidRDefault="008D4C23" w:rsidP="00FC389A">
      <w:pPr>
        <w:widowControl w:val="0"/>
        <w:autoSpaceDE w:val="0"/>
        <w:autoSpaceDN w:val="0"/>
        <w:adjustRightInd w:val="0"/>
        <w:ind w:right="4"/>
        <w:jc w:val="center"/>
        <w:rPr>
          <w:rFonts w:eastAsia="SimSun"/>
          <w:b/>
          <w:caps/>
          <w:szCs w:val="24"/>
        </w:rPr>
      </w:pPr>
      <w:r w:rsidRPr="008D4C23">
        <w:rPr>
          <w:rFonts w:eastAsia="SimSun"/>
          <w:b/>
          <w:szCs w:val="24"/>
        </w:rPr>
        <w:t>Twentieth</w:t>
      </w:r>
      <w:r w:rsidR="00FC389A" w:rsidRPr="003A7291">
        <w:rPr>
          <w:rFonts w:eastAsia="SimSun"/>
          <w:b/>
          <w:szCs w:val="24"/>
        </w:rPr>
        <w:t xml:space="preserve"> Working Group Meeting </w:t>
      </w:r>
    </w:p>
    <w:p w14:paraId="7C985EE2" w14:textId="77777777" w:rsidR="008D4C23" w:rsidRDefault="008D4C23" w:rsidP="008D4C23">
      <w:pPr>
        <w:pStyle w:val="Maintitle"/>
        <w:ind w:left="0"/>
        <w:jc w:val="both"/>
      </w:pPr>
    </w:p>
    <w:p w14:paraId="7C7D07E6" w14:textId="77777777" w:rsidR="0009326E" w:rsidRDefault="008D4C23" w:rsidP="008D4C23">
      <w:pPr>
        <w:pStyle w:val="Maintitle"/>
      </w:pPr>
      <w:r>
        <w:t>Bangkok, Thailand, 26 February -7 March 2025</w:t>
      </w:r>
    </w:p>
    <w:p w14:paraId="63A4EFE0" w14:textId="77777777" w:rsidR="00770160" w:rsidRDefault="00770160">
      <w:pPr>
        <w:tabs>
          <w:tab w:val="left" w:pos="0"/>
          <w:tab w:val="left" w:pos="1570"/>
          <w:tab w:val="left" w:pos="1857"/>
        </w:tabs>
      </w:pPr>
    </w:p>
    <w:p w14:paraId="49933ED0" w14:textId="77777777" w:rsidR="00770160" w:rsidRDefault="00770160">
      <w:pPr>
        <w:tabs>
          <w:tab w:val="left" w:pos="0"/>
          <w:tab w:val="left" w:pos="1570"/>
          <w:tab w:val="left" w:pos="1857"/>
        </w:tabs>
      </w:pPr>
    </w:p>
    <w:p w14:paraId="30DD949E" w14:textId="757EDE61" w:rsidR="00770160" w:rsidRDefault="00770160">
      <w:pPr>
        <w:pStyle w:val="Agendaitemtitle"/>
        <w:rPr>
          <w:lang w:val="sv-SE"/>
        </w:rPr>
      </w:pPr>
      <w:r>
        <w:rPr>
          <w:lang w:val="sv-SE"/>
        </w:rPr>
        <w:t>Agenda Item ..:</w:t>
      </w:r>
      <w:r>
        <w:rPr>
          <w:lang w:val="sv-SE"/>
        </w:rPr>
        <w:tab/>
      </w:r>
      <w:r w:rsidR="00D433B4">
        <w:rPr>
          <w:lang w:val="sv-SE"/>
        </w:rPr>
        <w:t>Radar Altimeters</w:t>
      </w:r>
    </w:p>
    <w:p w14:paraId="3F9B502F" w14:textId="77777777" w:rsidR="00770160" w:rsidRDefault="00770160">
      <w:pPr>
        <w:pStyle w:val="Agendaitemtitle"/>
        <w:rPr>
          <w:b w:val="0"/>
          <w:lang w:val="sv-SE"/>
        </w:rPr>
      </w:pPr>
    </w:p>
    <w:p w14:paraId="445FEC4C" w14:textId="77777777" w:rsidR="00770160" w:rsidRDefault="00770160">
      <w:pPr>
        <w:tabs>
          <w:tab w:val="left" w:pos="6972"/>
        </w:tabs>
        <w:rPr>
          <w:b/>
          <w:lang w:val="sv-SE"/>
        </w:rPr>
      </w:pPr>
    </w:p>
    <w:p w14:paraId="2EF8F58E" w14:textId="52D233DE" w:rsidR="00770160" w:rsidRDefault="008208A0">
      <w:pPr>
        <w:pStyle w:val="Maintitle"/>
      </w:pPr>
      <w:r>
        <w:t xml:space="preserve">PRIOPOSED TEXT FOR LIASION STATEMENT </w:t>
      </w:r>
      <w:r w:rsidR="00ED433A">
        <w:t>TO ITU</w:t>
      </w:r>
      <w:r w:rsidR="00506C59">
        <w:t>-</w:t>
      </w:r>
      <w:r w:rsidR="00ED433A">
        <w:t xml:space="preserve">R ON WRC-27 AGENDA ITEM </w:t>
      </w:r>
      <w:r w:rsidR="00506C59">
        <w:t>.7</w:t>
      </w:r>
    </w:p>
    <w:p w14:paraId="1FF1092D" w14:textId="77777777" w:rsidR="00770160" w:rsidRDefault="00770160">
      <w:pPr>
        <w:tabs>
          <w:tab w:val="left" w:pos="6972"/>
        </w:tabs>
      </w:pPr>
    </w:p>
    <w:p w14:paraId="7CF9CCD9" w14:textId="77777777" w:rsidR="00770160" w:rsidRDefault="00770160">
      <w:pPr>
        <w:tabs>
          <w:tab w:val="left" w:pos="6972"/>
        </w:tabs>
      </w:pPr>
    </w:p>
    <w:p w14:paraId="1634A84E" w14:textId="319BD2C3" w:rsidR="00770160" w:rsidRDefault="00770160">
      <w:pPr>
        <w:jc w:val="center"/>
      </w:pPr>
      <w:r>
        <w:t>(Presented by</w:t>
      </w:r>
      <w:bookmarkStart w:id="0" w:name="presented_by"/>
      <w:bookmarkEnd w:id="0"/>
      <w:r>
        <w:t xml:space="preserve"> </w:t>
      </w:r>
      <w:r w:rsidR="008208A0">
        <w:t>Andrew Roy, ASRI</w:t>
      </w:r>
      <w:r>
        <w:t>)</w:t>
      </w:r>
    </w:p>
    <w:p w14:paraId="7D297B65" w14:textId="77777777" w:rsidR="00770160" w:rsidRDefault="00770160"/>
    <w:p w14:paraId="3B6FC156"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EADC094" w14:textId="77777777">
        <w:trPr>
          <w:cantSplit/>
          <w:trHeight w:hRule="exact" w:val="480"/>
          <w:jc w:val="center"/>
        </w:trPr>
        <w:tc>
          <w:tcPr>
            <w:tcW w:w="7200" w:type="dxa"/>
            <w:vAlign w:val="center"/>
          </w:tcPr>
          <w:p w14:paraId="4958CC98" w14:textId="77777777" w:rsidR="00770160" w:rsidRDefault="00770160">
            <w:pPr>
              <w:jc w:val="center"/>
              <w:rPr>
                <w:sz w:val="24"/>
                <w:lang w:val="en-US"/>
              </w:rPr>
            </w:pPr>
            <w:r>
              <w:rPr>
                <w:b/>
              </w:rPr>
              <w:t>SUMMARY</w:t>
            </w:r>
          </w:p>
        </w:tc>
      </w:tr>
      <w:tr w:rsidR="00770160" w14:paraId="18F08197" w14:textId="77777777">
        <w:trPr>
          <w:cantSplit/>
          <w:jc w:val="center"/>
        </w:trPr>
        <w:tc>
          <w:tcPr>
            <w:tcW w:w="7200" w:type="dxa"/>
          </w:tcPr>
          <w:p w14:paraId="1AC1D40C" w14:textId="4E09938D" w:rsidR="00770160" w:rsidRDefault="00506C59">
            <w:pPr>
              <w:rPr>
                <w:lang w:val="en-US"/>
              </w:rPr>
            </w:pPr>
            <w:r>
              <w:rPr>
                <w:lang w:val="en-US"/>
              </w:rPr>
              <w:t xml:space="preserve">A framework is provided for a liaison statement to the ITU-R on WRC-27 Agenda Item 1.7, including provisional text on radar altimeters and operational scenarios.  </w:t>
            </w:r>
          </w:p>
        </w:tc>
      </w:tr>
    </w:tbl>
    <w:p w14:paraId="5DA83E4B" w14:textId="77777777" w:rsidR="00770160" w:rsidRDefault="00770160"/>
    <w:p w14:paraId="084F98B3" w14:textId="0541A799" w:rsidR="00770160" w:rsidRDefault="00770160">
      <w:pPr>
        <w:pStyle w:val="1Heading"/>
      </w:pPr>
      <w:r>
        <w:t>INTRODUCTION</w:t>
      </w:r>
      <w:r w:rsidR="00BB7722">
        <w:t xml:space="preserve"> AND DISCUSSION</w:t>
      </w:r>
    </w:p>
    <w:p w14:paraId="09326C24" w14:textId="61CE8031" w:rsidR="00D433B4" w:rsidRDefault="00BB7722">
      <w:pPr>
        <w:pStyle w:val="2para"/>
      </w:pPr>
      <w:r>
        <w:t>To support ICAO’s engagement on WRC-27 Agenda Item 1.7 and concerns about possible IMT usage in 4 400 – 4 800 MHz</w:t>
      </w:r>
      <w:r w:rsidR="00D433B4">
        <w:t xml:space="preserve"> near the radar altimeter and WAIC systems</w:t>
      </w:r>
      <w:r>
        <w:t>, the attached annex has been developed to enable discussions at FSMP</w:t>
      </w:r>
      <w:r w:rsidR="00D433B4">
        <w:t xml:space="preserve"> WG/20.  It covers </w:t>
      </w:r>
      <w:r>
        <w:t xml:space="preserve">use of ITU-R Recommendation M.2059, operating scenarios for sharing studies, and the WAIC input developed by </w:t>
      </w:r>
      <w:r w:rsidR="00D433B4">
        <w:t>the 1.7 offline group.  It should be noted that the operating scenarios text developed at FSMP WG/20 should also be sent to FLTOPSP before forwarding the liaison to the ITU-R.  Therefore, it is recommended the offline group continue working after WG/20 to allow FLPTOPSP to respond in time for the next ITU-R meeting.</w:t>
      </w:r>
    </w:p>
    <w:p w14:paraId="0383C445" w14:textId="77777777" w:rsidR="00770160" w:rsidRDefault="00770160">
      <w:pPr>
        <w:pStyle w:val="1Heading"/>
      </w:pPr>
      <w:r>
        <w:t>ACTION BY THE MEETING</w:t>
      </w:r>
    </w:p>
    <w:p w14:paraId="710D5013" w14:textId="77777777" w:rsidR="00770160" w:rsidRDefault="00770160">
      <w:pPr>
        <w:pStyle w:val="2para"/>
      </w:pPr>
      <w:r>
        <w:t>The meeting is invited to:</w:t>
      </w:r>
    </w:p>
    <w:p w14:paraId="26C5CDE8" w14:textId="77777777" w:rsidR="00770160" w:rsidRDefault="00770160">
      <w:pPr>
        <w:pStyle w:val="Listabc"/>
      </w:pPr>
      <w:r>
        <w:rPr>
          <w:lang w:val="en-GB"/>
        </w:rPr>
        <w:t>n</w:t>
      </w:r>
      <w:r>
        <w:t>ote and review the contents of this working paper;</w:t>
      </w:r>
    </w:p>
    <w:p w14:paraId="54D36476" w14:textId="3940245E" w:rsidR="009A1DE0" w:rsidRDefault="009A1DE0" w:rsidP="009A1DE0">
      <w:pPr>
        <w:pStyle w:val="Listabc"/>
      </w:pPr>
      <w:r>
        <w:t>Engage with FLTOPSP to gain additional information on the MSD scenarios; and</w:t>
      </w:r>
    </w:p>
    <w:p w14:paraId="1507542C" w14:textId="77777777" w:rsidR="00201816" w:rsidRDefault="00770160" w:rsidP="00201816">
      <w:pPr>
        <w:pStyle w:val="Listabc"/>
        <w:spacing w:after="0"/>
        <w:ind w:left="1797"/>
      </w:pPr>
      <w:r>
        <w:t xml:space="preserve">endorse the proposed </w:t>
      </w:r>
      <w:r w:rsidR="009A1DE0">
        <w:t>text of the attached liasion statement to ITU-R.</w:t>
      </w:r>
    </w:p>
    <w:p w14:paraId="56467455" w14:textId="77777777" w:rsidR="00201816" w:rsidRDefault="00201816" w:rsidP="00201816">
      <w:pPr>
        <w:pStyle w:val="Listabc"/>
        <w:numPr>
          <w:ilvl w:val="0"/>
          <w:numId w:val="0"/>
        </w:numPr>
        <w:spacing w:after="0"/>
        <w:ind w:left="1797"/>
      </w:pPr>
    </w:p>
    <w:p w14:paraId="38272E61" w14:textId="69BB1E68" w:rsidR="0093279C" w:rsidRDefault="00770160" w:rsidP="00201816">
      <w:pPr>
        <w:pStyle w:val="Listabc"/>
        <w:numPr>
          <w:ilvl w:val="0"/>
          <w:numId w:val="0"/>
        </w:numPr>
        <w:spacing w:after="0"/>
        <w:jc w:val="center"/>
      </w:pPr>
      <w:r>
        <w:t>— END —</w:t>
      </w:r>
    </w:p>
    <w:p w14:paraId="59FAEB1C" w14:textId="1B5F8402" w:rsidR="0093279C" w:rsidRDefault="0093279C" w:rsidP="0093279C">
      <w:pPr>
        <w:jc w:val="center"/>
        <w:rPr>
          <w:b/>
          <w:bCs/>
        </w:rPr>
      </w:pPr>
      <w:r>
        <w:rPr>
          <w:b/>
          <w:bCs/>
        </w:rPr>
        <w:t xml:space="preserve">ICAO </w:t>
      </w:r>
      <w:r w:rsidRPr="0093279C">
        <w:rPr>
          <w:b/>
          <w:bCs/>
        </w:rPr>
        <w:t>LIASION STATEMENT TO ITU-R WORKING PARTY 5B</w:t>
      </w:r>
    </w:p>
    <w:p w14:paraId="418DBF14" w14:textId="77777777" w:rsidR="0093279C" w:rsidRPr="0093279C" w:rsidRDefault="0093279C" w:rsidP="0093279C">
      <w:pPr>
        <w:jc w:val="center"/>
        <w:rPr>
          <w:b/>
          <w:bCs/>
        </w:rPr>
      </w:pPr>
    </w:p>
    <w:p w14:paraId="380EFCA2" w14:textId="70711882" w:rsidR="0093279C" w:rsidRDefault="0093279C" w:rsidP="0093279C">
      <w:pPr>
        <w:rPr>
          <w:sz w:val="24"/>
          <w:szCs w:val="24"/>
        </w:rPr>
      </w:pPr>
      <w:r w:rsidRPr="00766748">
        <w:rPr>
          <w:sz w:val="24"/>
          <w:szCs w:val="24"/>
        </w:rPr>
        <w:t>ICAO provides the following for the consideration of Working Party 5B (WP</w:t>
      </w:r>
      <w:r>
        <w:rPr>
          <w:sz w:val="24"/>
          <w:szCs w:val="24"/>
        </w:rPr>
        <w:t> </w:t>
      </w:r>
      <w:r w:rsidRPr="00766748">
        <w:rPr>
          <w:sz w:val="24"/>
          <w:szCs w:val="24"/>
        </w:rPr>
        <w:t xml:space="preserve">5B) in providing </w:t>
      </w:r>
      <w:r w:rsidRPr="00766748">
        <w:rPr>
          <w:i/>
          <w:iCs/>
          <w:sz w:val="24"/>
          <w:szCs w:val="24"/>
        </w:rPr>
        <w:t>“[a]</w:t>
      </w:r>
      <w:proofErr w:type="spellStart"/>
      <w:r w:rsidRPr="00766748">
        <w:rPr>
          <w:i/>
          <w:iCs/>
          <w:sz w:val="24"/>
          <w:szCs w:val="24"/>
        </w:rPr>
        <w:t>dditional</w:t>
      </w:r>
      <w:proofErr w:type="spellEnd"/>
      <w:r w:rsidRPr="00766748">
        <w:rPr>
          <w:i/>
          <w:iCs/>
          <w:sz w:val="24"/>
          <w:szCs w:val="24"/>
        </w:rPr>
        <w:t xml:space="preserve"> information on operational considerations and appropriate technical characteristics/protection criteria for the other altitudes in the “Range of Altitude”, including ground manoeuvres,” </w:t>
      </w:r>
      <w:r w:rsidRPr="00766748">
        <w:rPr>
          <w:sz w:val="24"/>
          <w:szCs w:val="24"/>
        </w:rPr>
        <w:t>to Working Party 5D (WP 5D), with respect to Recommendation</w:t>
      </w:r>
      <w:r w:rsidRPr="00766748">
        <w:rPr>
          <w:b/>
          <w:bCs/>
          <w:sz w:val="24"/>
          <w:szCs w:val="24"/>
        </w:rPr>
        <w:t xml:space="preserve"> </w:t>
      </w:r>
      <w:hyperlink r:id="rId10" w:history="1">
        <w:r w:rsidRPr="00766748">
          <w:rPr>
            <w:rStyle w:val="Hyperlink"/>
            <w:sz w:val="24"/>
            <w:szCs w:val="24"/>
          </w:rPr>
          <w:t>ITU-R M.2059-0</w:t>
        </w:r>
      </w:hyperlink>
      <w:r w:rsidRPr="00766748">
        <w:rPr>
          <w:sz w:val="24"/>
          <w:szCs w:val="24"/>
        </w:rPr>
        <w:t xml:space="preserve"> (M.2059), as indicated in the liaison, </w:t>
      </w:r>
      <w:hyperlink r:id="rId11" w:history="1">
        <w:r w:rsidRPr="00766748">
          <w:rPr>
            <w:rStyle w:val="Hyperlink"/>
            <w:sz w:val="24"/>
            <w:szCs w:val="24"/>
          </w:rPr>
          <w:t>5D/127</w:t>
        </w:r>
      </w:hyperlink>
      <w:r w:rsidRPr="00766748">
        <w:rPr>
          <w:sz w:val="24"/>
          <w:szCs w:val="24"/>
        </w:rPr>
        <w:t>, from WP 5B to WP 5D.</w:t>
      </w:r>
      <w:r w:rsidRPr="00766748">
        <w:rPr>
          <w:i/>
          <w:iCs/>
          <w:sz w:val="24"/>
          <w:szCs w:val="24"/>
        </w:rPr>
        <w:t xml:space="preserve"> </w:t>
      </w:r>
      <w:r w:rsidR="004C525D">
        <w:rPr>
          <w:i/>
          <w:iCs/>
          <w:sz w:val="24"/>
          <w:szCs w:val="24"/>
        </w:rPr>
        <w:t xml:space="preserve"> </w:t>
      </w:r>
      <w:r>
        <w:rPr>
          <w:sz w:val="24"/>
          <w:szCs w:val="24"/>
        </w:rPr>
        <w:t xml:space="preserve">ICAO also provides additional guidance on </w:t>
      </w:r>
      <w:r w:rsidR="004C525D">
        <w:rPr>
          <w:sz w:val="24"/>
          <w:szCs w:val="24"/>
        </w:rPr>
        <w:t>necessary operational scenarios for studies involving the radar altimeters and WAIC technical parameters.</w:t>
      </w:r>
    </w:p>
    <w:p w14:paraId="7434CB2F" w14:textId="77777777" w:rsidR="004C525D" w:rsidRDefault="004C525D" w:rsidP="0093279C">
      <w:pPr>
        <w:rPr>
          <w:sz w:val="24"/>
          <w:szCs w:val="24"/>
        </w:rPr>
      </w:pPr>
    </w:p>
    <w:p w14:paraId="1390E2CB" w14:textId="4C2878EF" w:rsidR="004C525D" w:rsidRPr="004C525D" w:rsidRDefault="004C525D" w:rsidP="0093279C">
      <w:pPr>
        <w:rPr>
          <w:b/>
          <w:bCs/>
          <w:sz w:val="24"/>
          <w:szCs w:val="24"/>
        </w:rPr>
      </w:pPr>
      <w:r w:rsidRPr="004C525D">
        <w:rPr>
          <w:b/>
          <w:bCs/>
          <w:sz w:val="24"/>
          <w:szCs w:val="24"/>
        </w:rPr>
        <w:t>USE OF RECOMMENDATION ITU-R M.2059</w:t>
      </w:r>
    </w:p>
    <w:p w14:paraId="2F562F3E" w14:textId="77777777" w:rsidR="0093279C" w:rsidRDefault="0093279C" w:rsidP="0093279C"/>
    <w:p w14:paraId="3AE541D1" w14:textId="2A0D3A86" w:rsidR="009A1DE0" w:rsidRDefault="009A1DE0" w:rsidP="009A1DE0">
      <w:pPr>
        <w:rPr>
          <w:sz w:val="24"/>
          <w:szCs w:val="24"/>
        </w:rPr>
      </w:pPr>
      <w:r w:rsidRPr="00766748">
        <w:rPr>
          <w:sz w:val="24"/>
          <w:szCs w:val="24"/>
        </w:rPr>
        <w:t xml:space="preserve">ICAO is concerned by </w:t>
      </w:r>
      <w:r>
        <w:rPr>
          <w:sz w:val="24"/>
          <w:szCs w:val="24"/>
        </w:rPr>
        <w:t>statements</w:t>
      </w:r>
      <w:r w:rsidRPr="00766748">
        <w:rPr>
          <w:sz w:val="24"/>
          <w:szCs w:val="24"/>
        </w:rPr>
        <w:t xml:space="preserve"> raised in the previous ITU</w:t>
      </w:r>
      <w:r>
        <w:rPr>
          <w:sz w:val="24"/>
          <w:szCs w:val="24"/>
        </w:rPr>
        <w:t>-R Working Party 5B and 5D</w:t>
      </w:r>
      <w:r w:rsidRPr="00766748">
        <w:rPr>
          <w:sz w:val="24"/>
          <w:szCs w:val="24"/>
        </w:rPr>
        <w:t xml:space="preserve"> meetings that the protection criteria contained within </w:t>
      </w:r>
      <w:r>
        <w:rPr>
          <w:sz w:val="24"/>
          <w:szCs w:val="24"/>
        </w:rPr>
        <w:t>M.2059</w:t>
      </w:r>
      <w:r w:rsidRPr="00766748">
        <w:rPr>
          <w:sz w:val="24"/>
          <w:szCs w:val="24"/>
        </w:rPr>
        <w:t xml:space="preserve"> only applies at </w:t>
      </w:r>
      <w:r>
        <w:rPr>
          <w:sz w:val="24"/>
          <w:szCs w:val="24"/>
        </w:rPr>
        <w:t>the</w:t>
      </w:r>
      <w:r w:rsidRPr="00766748">
        <w:rPr>
          <w:sz w:val="24"/>
          <w:szCs w:val="24"/>
        </w:rPr>
        <w:t xml:space="preserve"> “operational altitude” contained within tables 1 and 2</w:t>
      </w:r>
      <w:r>
        <w:rPr>
          <w:sz w:val="24"/>
          <w:szCs w:val="24"/>
        </w:rPr>
        <w:t>, as this was not the understanding of ICAO</w:t>
      </w:r>
      <w:r w:rsidRPr="00766748">
        <w:rPr>
          <w:sz w:val="24"/>
          <w:szCs w:val="24"/>
        </w:rPr>
        <w:t xml:space="preserve">.  </w:t>
      </w:r>
    </w:p>
    <w:p w14:paraId="3F6697F1" w14:textId="77777777" w:rsidR="009A1DE0" w:rsidRPr="00766748" w:rsidRDefault="009A1DE0" w:rsidP="009A1DE0">
      <w:pPr>
        <w:rPr>
          <w:sz w:val="24"/>
          <w:szCs w:val="24"/>
        </w:rPr>
      </w:pPr>
    </w:p>
    <w:p w14:paraId="081AC4DF" w14:textId="77777777" w:rsidR="009A1DE0" w:rsidRDefault="009A1DE0" w:rsidP="009A1DE0">
      <w:pPr>
        <w:rPr>
          <w:sz w:val="24"/>
          <w:szCs w:val="24"/>
        </w:rPr>
      </w:pPr>
      <w:r>
        <w:rPr>
          <w:sz w:val="24"/>
          <w:szCs w:val="24"/>
        </w:rPr>
        <w:t>In response</w:t>
      </w:r>
      <w:r w:rsidRPr="00766748">
        <w:rPr>
          <w:sz w:val="24"/>
          <w:szCs w:val="24"/>
        </w:rPr>
        <w:t xml:space="preserve">, ICAO has consulted with the major global radio altimeter manufacturers who were involved in the </w:t>
      </w:r>
      <w:r>
        <w:rPr>
          <w:sz w:val="24"/>
          <w:szCs w:val="24"/>
        </w:rPr>
        <w:t xml:space="preserve">writing and </w:t>
      </w:r>
      <w:r w:rsidRPr="00766748">
        <w:rPr>
          <w:sz w:val="24"/>
          <w:szCs w:val="24"/>
        </w:rPr>
        <w:t>development of M.2059</w:t>
      </w:r>
      <w:r>
        <w:rPr>
          <w:sz w:val="24"/>
          <w:szCs w:val="24"/>
        </w:rPr>
        <w:t xml:space="preserve">.  Representatives of manufacturers </w:t>
      </w:r>
      <w:r w:rsidRPr="00766748">
        <w:rPr>
          <w:sz w:val="24"/>
          <w:szCs w:val="24"/>
        </w:rPr>
        <w:t xml:space="preserve">have confirmed to ICAO that the protection criteria contained within </w:t>
      </w:r>
      <w:r>
        <w:rPr>
          <w:sz w:val="24"/>
          <w:szCs w:val="24"/>
        </w:rPr>
        <w:t>M.2059 were written to be</w:t>
      </w:r>
      <w:r w:rsidRPr="00766748">
        <w:rPr>
          <w:sz w:val="24"/>
          <w:szCs w:val="24"/>
        </w:rPr>
        <w:t xml:space="preserve"> applicable at all altitudes at which the radio altimeter system operates</w:t>
      </w:r>
      <w:r>
        <w:rPr>
          <w:sz w:val="24"/>
          <w:szCs w:val="24"/>
        </w:rPr>
        <w:t xml:space="preserve">.  This includes from the </w:t>
      </w:r>
      <w:r w:rsidRPr="00766748">
        <w:rPr>
          <w:sz w:val="24"/>
          <w:szCs w:val="24"/>
        </w:rPr>
        <w:t>ground level up to the maximum operational altitude.</w:t>
      </w:r>
      <w:r>
        <w:rPr>
          <w:sz w:val="24"/>
          <w:szCs w:val="24"/>
        </w:rPr>
        <w:t xml:space="preserve">  This is already included in M</w:t>
      </w:r>
      <w:r w:rsidRPr="00766748">
        <w:rPr>
          <w:sz w:val="24"/>
          <w:szCs w:val="24"/>
        </w:rPr>
        <w:t>.2059</w:t>
      </w:r>
      <w:r>
        <w:rPr>
          <w:sz w:val="24"/>
          <w:szCs w:val="24"/>
        </w:rPr>
        <w:t xml:space="preserve"> </w:t>
      </w:r>
      <w:r w:rsidRPr="004D0548">
        <w:rPr>
          <w:sz w:val="24"/>
          <w:szCs w:val="24"/>
        </w:rPr>
        <w:t>Annex 3</w:t>
      </w:r>
      <w:r>
        <w:rPr>
          <w:sz w:val="24"/>
          <w:szCs w:val="24"/>
        </w:rPr>
        <w:t>, s</w:t>
      </w:r>
      <w:r w:rsidRPr="004D0548">
        <w:rPr>
          <w:sz w:val="24"/>
          <w:szCs w:val="24"/>
        </w:rPr>
        <w:t xml:space="preserve">ection 3 </w:t>
      </w:r>
      <w:r>
        <w:rPr>
          <w:sz w:val="24"/>
          <w:szCs w:val="24"/>
        </w:rPr>
        <w:t xml:space="preserve">which </w:t>
      </w:r>
      <w:r w:rsidRPr="004D0548">
        <w:rPr>
          <w:sz w:val="24"/>
          <w:szCs w:val="24"/>
        </w:rPr>
        <w:t>states “</w:t>
      </w:r>
      <w:r w:rsidRPr="00937CE6">
        <w:rPr>
          <w:i/>
          <w:iCs/>
          <w:sz w:val="24"/>
          <w:szCs w:val="24"/>
        </w:rPr>
        <w:t>Various scenarios from ground level up to 12 km should be considered in sharing studies,</w:t>
      </w:r>
      <w:r w:rsidRPr="004D0548">
        <w:rPr>
          <w:sz w:val="24"/>
          <w:szCs w:val="24"/>
        </w:rPr>
        <w:t>” and</w:t>
      </w:r>
      <w:r>
        <w:rPr>
          <w:sz w:val="24"/>
          <w:szCs w:val="24"/>
        </w:rPr>
        <w:t xml:space="preserve"> </w:t>
      </w:r>
      <w:r w:rsidRPr="00937CE6">
        <w:rPr>
          <w:i/>
          <w:iCs/>
          <w:sz w:val="24"/>
          <w:szCs w:val="24"/>
        </w:rPr>
        <w:t xml:space="preserve">“… harmful interference needs to be avoided when the aircraft is in operation. In order to avoid harmful </w:t>
      </w:r>
      <w:proofErr w:type="gramStart"/>
      <w:r w:rsidRPr="00937CE6">
        <w:rPr>
          <w:i/>
          <w:iCs/>
          <w:sz w:val="24"/>
          <w:szCs w:val="24"/>
        </w:rPr>
        <w:t>interference</w:t>
      </w:r>
      <w:proofErr w:type="gramEnd"/>
      <w:r w:rsidRPr="00937CE6">
        <w:rPr>
          <w:i/>
          <w:iCs/>
          <w:sz w:val="24"/>
          <w:szCs w:val="24"/>
        </w:rPr>
        <w:t xml:space="preserve"> the following protection criteria have to be fulfilled in flight critical operating scenarios: Desensitization … Front End Overload … False Altitudes</w:t>
      </w:r>
      <w:r w:rsidRPr="004D0548">
        <w:rPr>
          <w:sz w:val="24"/>
          <w:szCs w:val="24"/>
        </w:rPr>
        <w:t>”</w:t>
      </w:r>
    </w:p>
    <w:p w14:paraId="6714B9CB" w14:textId="77777777" w:rsidR="009A1DE0" w:rsidRPr="004D0548" w:rsidRDefault="009A1DE0" w:rsidP="009A1DE0">
      <w:pPr>
        <w:rPr>
          <w:sz w:val="24"/>
          <w:szCs w:val="24"/>
        </w:rPr>
      </w:pPr>
    </w:p>
    <w:p w14:paraId="05FF5F9B" w14:textId="77777777" w:rsidR="009A1DE0" w:rsidRDefault="009A1DE0" w:rsidP="009A1DE0">
      <w:pPr>
        <w:rPr>
          <w:sz w:val="24"/>
          <w:szCs w:val="24"/>
        </w:rPr>
      </w:pPr>
      <w:r w:rsidRPr="00766748">
        <w:rPr>
          <w:sz w:val="24"/>
          <w:szCs w:val="24"/>
        </w:rPr>
        <w:t xml:space="preserve">Based upon the </w:t>
      </w:r>
      <w:r>
        <w:rPr>
          <w:sz w:val="24"/>
          <w:szCs w:val="24"/>
        </w:rPr>
        <w:t>existing</w:t>
      </w:r>
      <w:r w:rsidRPr="00766748">
        <w:rPr>
          <w:sz w:val="24"/>
          <w:szCs w:val="24"/>
        </w:rPr>
        <w:t xml:space="preserve"> content from M.2059 as well </w:t>
      </w:r>
      <w:r>
        <w:rPr>
          <w:sz w:val="24"/>
          <w:szCs w:val="24"/>
        </w:rPr>
        <w:t>supporting statements</w:t>
      </w:r>
      <w:r w:rsidRPr="00766748">
        <w:rPr>
          <w:sz w:val="24"/>
          <w:szCs w:val="24"/>
        </w:rPr>
        <w:t xml:space="preserve"> from the radio altimeter manufacturers,</w:t>
      </w:r>
      <w:r>
        <w:rPr>
          <w:sz w:val="24"/>
          <w:szCs w:val="24"/>
        </w:rPr>
        <w:t xml:space="preserve"> ICAO strongly recommends</w:t>
      </w:r>
      <w:r w:rsidRPr="00766748">
        <w:rPr>
          <w:sz w:val="24"/>
          <w:szCs w:val="24"/>
        </w:rPr>
        <w:t xml:space="preserve"> ITU-R studies involving radio altimeters should consider the </w:t>
      </w:r>
      <w:r>
        <w:rPr>
          <w:sz w:val="24"/>
          <w:szCs w:val="24"/>
        </w:rPr>
        <w:t xml:space="preserve">M.2059 </w:t>
      </w:r>
      <w:r w:rsidRPr="00766748">
        <w:rPr>
          <w:sz w:val="24"/>
          <w:szCs w:val="24"/>
        </w:rPr>
        <w:t xml:space="preserve">protection criteria as applicable at </w:t>
      </w:r>
      <w:r>
        <w:rPr>
          <w:sz w:val="24"/>
          <w:szCs w:val="24"/>
        </w:rPr>
        <w:t xml:space="preserve">all aircraft </w:t>
      </w:r>
      <w:r w:rsidRPr="00766748">
        <w:rPr>
          <w:sz w:val="24"/>
          <w:szCs w:val="24"/>
        </w:rPr>
        <w:t xml:space="preserve">altitudes from ground level up until the maximum operational altitude </w:t>
      </w:r>
      <w:r>
        <w:rPr>
          <w:sz w:val="24"/>
          <w:szCs w:val="24"/>
        </w:rPr>
        <w:t>of approximately 12 km</w:t>
      </w:r>
      <w:r w:rsidRPr="00766748">
        <w:rPr>
          <w:sz w:val="24"/>
          <w:szCs w:val="24"/>
        </w:rPr>
        <w:t xml:space="preserve">. </w:t>
      </w:r>
    </w:p>
    <w:p w14:paraId="2EAD9C36" w14:textId="77777777" w:rsidR="009A1DE0" w:rsidRPr="00766748" w:rsidRDefault="009A1DE0" w:rsidP="009A1DE0">
      <w:pPr>
        <w:rPr>
          <w:sz w:val="24"/>
          <w:szCs w:val="24"/>
        </w:rPr>
      </w:pPr>
    </w:p>
    <w:p w14:paraId="31036074" w14:textId="77777777" w:rsidR="009A1DE0" w:rsidRPr="00766748" w:rsidRDefault="009A1DE0" w:rsidP="009A1DE0">
      <w:pPr>
        <w:rPr>
          <w:sz w:val="24"/>
          <w:szCs w:val="24"/>
        </w:rPr>
      </w:pPr>
      <w:r w:rsidRPr="00766748">
        <w:rPr>
          <w:sz w:val="24"/>
          <w:szCs w:val="24"/>
        </w:rPr>
        <w:t xml:space="preserve">While new </w:t>
      </w:r>
      <w:r>
        <w:rPr>
          <w:sz w:val="24"/>
          <w:szCs w:val="24"/>
        </w:rPr>
        <w:t xml:space="preserve">radar altimeter </w:t>
      </w:r>
      <w:r w:rsidRPr="00766748">
        <w:rPr>
          <w:sz w:val="24"/>
          <w:szCs w:val="24"/>
        </w:rPr>
        <w:t xml:space="preserve">standards in development may provide altitude dependent protection criteria, </w:t>
      </w:r>
      <w:r>
        <w:rPr>
          <w:sz w:val="24"/>
          <w:szCs w:val="24"/>
        </w:rPr>
        <w:t xml:space="preserve">the current </w:t>
      </w:r>
      <w:r w:rsidRPr="00766748">
        <w:rPr>
          <w:sz w:val="24"/>
          <w:szCs w:val="24"/>
        </w:rPr>
        <w:t xml:space="preserve">M.2059 </w:t>
      </w:r>
      <w:r>
        <w:rPr>
          <w:sz w:val="24"/>
          <w:szCs w:val="24"/>
        </w:rPr>
        <w:t>as written and intended by the radar altimeter manufacturers does not account for this factor</w:t>
      </w:r>
      <w:r w:rsidRPr="00766748">
        <w:rPr>
          <w:sz w:val="24"/>
          <w:szCs w:val="24"/>
        </w:rPr>
        <w:t>.</w:t>
      </w:r>
      <w:r>
        <w:rPr>
          <w:sz w:val="24"/>
          <w:szCs w:val="24"/>
        </w:rPr>
        <w:t xml:space="preserve">  Incorrectly assuming otherwise in ITU-R studies may have global safety implications for current operational radio altimeters.  </w:t>
      </w:r>
    </w:p>
    <w:p w14:paraId="6DC50888" w14:textId="77777777" w:rsidR="009A1DE0" w:rsidRDefault="009A1DE0" w:rsidP="0093279C"/>
    <w:p w14:paraId="453BF4F7" w14:textId="5CB8A000" w:rsidR="009A1DE0" w:rsidRDefault="009A1DE0" w:rsidP="0093279C">
      <w:pPr>
        <w:rPr>
          <w:b/>
          <w:bCs/>
        </w:rPr>
      </w:pPr>
      <w:r w:rsidRPr="009A1DE0">
        <w:rPr>
          <w:b/>
          <w:bCs/>
        </w:rPr>
        <w:t>OPERATIONAL SCEANRIOS FOR ASSESMENT OF IMT AGAINST RADAR ALTIMETERS</w:t>
      </w:r>
    </w:p>
    <w:p w14:paraId="56DF184E" w14:textId="77777777" w:rsidR="009A1DE0" w:rsidRDefault="009A1DE0" w:rsidP="0093279C">
      <w:pPr>
        <w:rPr>
          <w:b/>
          <w:bCs/>
        </w:rPr>
      </w:pPr>
    </w:p>
    <w:p w14:paraId="1F1240AD" w14:textId="77777777" w:rsidR="00075BD5" w:rsidRPr="00075BD5" w:rsidRDefault="00075BD5" w:rsidP="00075BD5">
      <w:pPr>
        <w:rPr>
          <w:sz w:val="24"/>
          <w:szCs w:val="24"/>
          <w:lang w:val="en-US"/>
        </w:rPr>
      </w:pPr>
      <w:r w:rsidRPr="00075BD5">
        <w:rPr>
          <w:sz w:val="24"/>
          <w:szCs w:val="24"/>
          <w:lang w:val="en-US"/>
        </w:rPr>
        <w:t>Given that the radar altimeter is a “Design Assurance Level (DAL) A” system, the target failure rate of the system</w:t>
      </w:r>
      <w:proofErr w:type="gramStart"/>
      <w:r w:rsidRPr="00075BD5">
        <w:rPr>
          <w:sz w:val="24"/>
          <w:szCs w:val="24"/>
          <w:lang w:val="en-US"/>
        </w:rPr>
        <w:t>, as a whole, must</w:t>
      </w:r>
      <w:proofErr w:type="gramEnd"/>
      <w:r w:rsidRPr="00075BD5">
        <w:rPr>
          <w:sz w:val="24"/>
          <w:szCs w:val="24"/>
          <w:lang w:val="en-US"/>
        </w:rPr>
        <w:t xml:space="preserve"> meet an assurance level of 1*10</w:t>
      </w:r>
      <w:r w:rsidRPr="00075BD5">
        <w:rPr>
          <w:sz w:val="24"/>
          <w:szCs w:val="24"/>
          <w:vertAlign w:val="superscript"/>
          <w:lang w:val="en-US"/>
        </w:rPr>
        <w:t>-9</w:t>
      </w:r>
      <w:r w:rsidRPr="00075BD5">
        <w:rPr>
          <w:sz w:val="24"/>
          <w:szCs w:val="24"/>
          <w:lang w:val="en-US"/>
        </w:rPr>
        <w:t> / flight hour. Without the proper protection criteria, interference in adjacent bands (or spurious emissions that fall within 4.2-4.4 GHz), pose a common mode failure threat to the system</w:t>
      </w:r>
      <w:proofErr w:type="gramStart"/>
      <w:r w:rsidRPr="00075BD5">
        <w:rPr>
          <w:sz w:val="24"/>
          <w:szCs w:val="24"/>
          <w:lang w:val="en-US"/>
        </w:rPr>
        <w:t>. In order to</w:t>
      </w:r>
      <w:proofErr w:type="gramEnd"/>
      <w:r w:rsidRPr="00075BD5">
        <w:rPr>
          <w:sz w:val="24"/>
          <w:szCs w:val="24"/>
          <w:lang w:val="en-US"/>
        </w:rPr>
        <w:t xml:space="preserve"> prevent this failure, it is necessary to ensure that the radar altimeter continues to function to a minimum separation distance (MSD) from an interference source or emitter. To determine an appropriate MSD, we must evaluate credible scenarios that would put an aircraft </w:t>
      </w:r>
      <w:proofErr w:type="gramStart"/>
      <w:r w:rsidRPr="00075BD5">
        <w:rPr>
          <w:sz w:val="24"/>
          <w:szCs w:val="24"/>
          <w:lang w:val="en-US"/>
        </w:rPr>
        <w:t>in close proximity to</w:t>
      </w:r>
      <w:proofErr w:type="gramEnd"/>
      <w:r w:rsidRPr="00075BD5">
        <w:rPr>
          <w:sz w:val="24"/>
          <w:szCs w:val="24"/>
          <w:lang w:val="en-US"/>
        </w:rPr>
        <w:t xml:space="preserve"> an emitter. </w:t>
      </w:r>
    </w:p>
    <w:p w14:paraId="1A47E665" w14:textId="77777777" w:rsidR="00075BD5" w:rsidRPr="00075BD5" w:rsidRDefault="00075BD5" w:rsidP="00075BD5">
      <w:pPr>
        <w:rPr>
          <w:sz w:val="24"/>
          <w:szCs w:val="24"/>
          <w:lang w:val="en-US"/>
        </w:rPr>
      </w:pPr>
      <w:r w:rsidRPr="00075BD5">
        <w:rPr>
          <w:sz w:val="24"/>
          <w:szCs w:val="24"/>
          <w:lang w:val="en-US"/>
        </w:rPr>
        <w:t> </w:t>
      </w:r>
    </w:p>
    <w:p w14:paraId="535E7759" w14:textId="77777777" w:rsidR="00075BD5" w:rsidRPr="00075BD5" w:rsidRDefault="00075BD5" w:rsidP="00075BD5">
      <w:pPr>
        <w:rPr>
          <w:i/>
          <w:iCs/>
          <w:sz w:val="24"/>
          <w:szCs w:val="24"/>
          <w:lang w:val="en-US"/>
        </w:rPr>
      </w:pPr>
      <w:r w:rsidRPr="00075BD5">
        <w:rPr>
          <w:sz w:val="24"/>
          <w:szCs w:val="24"/>
          <w:lang w:val="en-US"/>
        </w:rPr>
        <w:t>One such example would be during takeoff</w:t>
      </w:r>
      <w:proofErr w:type="gramStart"/>
      <w:r w:rsidRPr="00075BD5">
        <w:rPr>
          <w:sz w:val="24"/>
          <w:szCs w:val="24"/>
          <w:lang w:val="en-US"/>
        </w:rPr>
        <w:t xml:space="preserve">. </w:t>
      </w:r>
      <w:proofErr w:type="gramEnd"/>
      <w:r w:rsidRPr="00075BD5">
        <w:rPr>
          <w:sz w:val="24"/>
          <w:szCs w:val="24"/>
          <w:lang w:val="en-US"/>
        </w:rPr>
        <w:t>ICAO Annex 6 Part I, 5.2.8. provides general guidance for takeoff performance and states “</w:t>
      </w:r>
      <w:r w:rsidRPr="00075BD5">
        <w:rPr>
          <w:i/>
          <w:iCs/>
          <w:sz w:val="24"/>
          <w:szCs w:val="24"/>
          <w:lang w:val="en-US"/>
        </w:rPr>
        <w:t xml:space="preserve">The </w:t>
      </w:r>
      <w:proofErr w:type="spellStart"/>
      <w:r w:rsidRPr="00075BD5">
        <w:rPr>
          <w:i/>
          <w:iCs/>
          <w:sz w:val="24"/>
          <w:szCs w:val="24"/>
          <w:lang w:val="en-US"/>
        </w:rPr>
        <w:t>aeroplane</w:t>
      </w:r>
      <w:proofErr w:type="spellEnd"/>
      <w:r w:rsidRPr="00075BD5">
        <w:rPr>
          <w:i/>
          <w:iCs/>
          <w:sz w:val="24"/>
          <w:szCs w:val="24"/>
          <w:lang w:val="en-US"/>
        </w:rPr>
        <w:t xml:space="preserve"> shall be able, in the event of a critical engine failing, or for other reasons, at any point in the take-off, either to discontinue the take-off and stop within the accelerate-stop distance available, or to continue the take-off and clear all obstacles along the flight path by an adequate vertical or horizontal distance…”</w:t>
      </w:r>
      <w:r w:rsidRPr="00075BD5">
        <w:rPr>
          <w:sz w:val="24"/>
          <w:szCs w:val="24"/>
          <w:u w:val="single"/>
          <w:lang w:val="en-US"/>
        </w:rPr>
        <w:t xml:space="preserve"> </w:t>
      </w:r>
      <w:r w:rsidRPr="00075BD5">
        <w:rPr>
          <w:sz w:val="24"/>
          <w:szCs w:val="24"/>
          <w:lang w:val="en-US"/>
        </w:rPr>
        <w:t xml:space="preserve">To gain clarity on what constitutes “adequate vertical and horizontal distance”, we can look at regulations such as </w:t>
      </w:r>
      <w:hyperlink r:id="rId12" w:anchor="p-121.189(d)(2)" w:history="1">
        <w:r w:rsidRPr="00075BD5">
          <w:rPr>
            <w:rStyle w:val="Hyperlink"/>
            <w:sz w:val="24"/>
            <w:szCs w:val="24"/>
            <w:lang w:val="en-US"/>
          </w:rPr>
          <w:t>14 CFR 121.189(d)(2)</w:t>
        </w:r>
      </w:hyperlink>
      <w:r w:rsidRPr="00075BD5">
        <w:rPr>
          <w:sz w:val="24"/>
          <w:szCs w:val="24"/>
          <w:lang w:val="en-US"/>
        </w:rPr>
        <w:t xml:space="preserve">, which only requires a vertical clearance of 35 ft. Simply put, an aircraft could fly directly over an obstacle that contains an emitter, come within 35 ft of the emitter, and be fully compliant with this regulation. </w:t>
      </w:r>
    </w:p>
    <w:p w14:paraId="6A15762F" w14:textId="77777777" w:rsidR="00075BD5" w:rsidRPr="00075BD5" w:rsidRDefault="00075BD5" w:rsidP="00075BD5">
      <w:pPr>
        <w:rPr>
          <w:sz w:val="24"/>
          <w:szCs w:val="24"/>
          <w:lang w:val="en-US"/>
        </w:rPr>
      </w:pPr>
      <w:r w:rsidRPr="00075BD5">
        <w:rPr>
          <w:sz w:val="24"/>
          <w:szCs w:val="24"/>
          <w:lang w:val="en-US"/>
        </w:rPr>
        <w:t> </w:t>
      </w:r>
    </w:p>
    <w:p w14:paraId="5463D5A5" w14:textId="77777777" w:rsidR="00075BD5" w:rsidRPr="00075BD5" w:rsidRDefault="00075BD5" w:rsidP="00075BD5">
      <w:pPr>
        <w:rPr>
          <w:sz w:val="24"/>
          <w:szCs w:val="24"/>
          <w:lang w:val="en-US"/>
        </w:rPr>
      </w:pPr>
      <w:r w:rsidRPr="00075BD5">
        <w:rPr>
          <w:sz w:val="24"/>
          <w:szCs w:val="24"/>
          <w:lang w:val="en-US"/>
        </w:rPr>
        <w:t xml:space="preserve">In that circumstance, it would be critical that the radar altimeter be protected to withstand the emissions, </w:t>
      </w:r>
      <w:proofErr w:type="gramStart"/>
      <w:r w:rsidRPr="00075BD5">
        <w:rPr>
          <w:sz w:val="24"/>
          <w:szCs w:val="24"/>
          <w:lang w:val="en-US"/>
        </w:rPr>
        <w:t>so as to</w:t>
      </w:r>
      <w:proofErr w:type="gramEnd"/>
      <w:r w:rsidRPr="00075BD5">
        <w:rPr>
          <w:sz w:val="24"/>
          <w:szCs w:val="24"/>
          <w:lang w:val="en-US"/>
        </w:rPr>
        <w:t xml:space="preserve"> maintain continuity. If the emitter were to cause a common mode failure of the radar altimeters installed on the aircraft due to insufficient tolerance or protection criteria, this could have catastrophic consequences. </w:t>
      </w:r>
    </w:p>
    <w:p w14:paraId="1507FC5A" w14:textId="77777777" w:rsidR="00075BD5" w:rsidRPr="00075BD5" w:rsidRDefault="00075BD5" w:rsidP="00075BD5">
      <w:pPr>
        <w:rPr>
          <w:sz w:val="24"/>
          <w:szCs w:val="24"/>
          <w:lang w:val="en-US"/>
        </w:rPr>
      </w:pPr>
      <w:r w:rsidRPr="00075BD5">
        <w:rPr>
          <w:sz w:val="24"/>
          <w:szCs w:val="24"/>
          <w:lang w:val="en-US"/>
        </w:rPr>
        <w:t> </w:t>
      </w:r>
    </w:p>
    <w:p w14:paraId="6E68C143" w14:textId="77777777" w:rsidR="00075BD5" w:rsidRPr="00075BD5" w:rsidRDefault="00075BD5" w:rsidP="00075BD5">
      <w:pPr>
        <w:rPr>
          <w:sz w:val="24"/>
          <w:szCs w:val="24"/>
          <w:lang w:val="en-US"/>
        </w:rPr>
      </w:pPr>
      <w:r w:rsidRPr="00075BD5">
        <w:rPr>
          <w:sz w:val="24"/>
          <w:szCs w:val="24"/>
          <w:lang w:val="en-US"/>
        </w:rPr>
        <w:t xml:space="preserve">By establishing protection criteria commensurate to these regulations (the most conservative would be 35 ft separation, though it is noted that EASA requires a minimum of 50 ft obstacle clearance on departure climb), we would cover other scenarios where an aircraft could find itself near emitters, such as the near collision scenario, where an aircraft loses altitude due to </w:t>
      </w:r>
      <w:proofErr w:type="gramStart"/>
      <w:r w:rsidRPr="00075BD5">
        <w:rPr>
          <w:sz w:val="24"/>
          <w:szCs w:val="24"/>
          <w:lang w:val="en-US"/>
        </w:rPr>
        <w:t>a severe</w:t>
      </w:r>
      <w:proofErr w:type="gramEnd"/>
      <w:r w:rsidRPr="00075BD5">
        <w:rPr>
          <w:sz w:val="24"/>
          <w:szCs w:val="24"/>
          <w:lang w:val="en-US"/>
        </w:rPr>
        <w:t xml:space="preserve"> windshear condition. In such a scenario, an untimely loss of radar altimeter function or display of misleading data would, again, likely result in a catastrophic outcome, given that this instruments output data is critical for the Airman in validating the success or failure of his pitch control inputs during the escape maneuver</w:t>
      </w:r>
      <w:proofErr w:type="gramStart"/>
      <w:r w:rsidRPr="00075BD5">
        <w:rPr>
          <w:sz w:val="24"/>
          <w:szCs w:val="24"/>
          <w:lang w:val="en-US"/>
        </w:rPr>
        <w:t xml:space="preserve">. </w:t>
      </w:r>
      <w:proofErr w:type="gramEnd"/>
      <w:r w:rsidRPr="00075BD5">
        <w:rPr>
          <w:sz w:val="24"/>
          <w:szCs w:val="24"/>
          <w:lang w:val="en-US"/>
        </w:rPr>
        <w:t>No data or misleading data could ultimately lead to inappropriate control of the aircraft resulting in contact with the ground. </w:t>
      </w:r>
    </w:p>
    <w:p w14:paraId="4931EDEF" w14:textId="77777777" w:rsidR="009A1DE0" w:rsidRPr="007D5ACD" w:rsidRDefault="009A1DE0" w:rsidP="0093279C">
      <w:pPr>
        <w:rPr>
          <w:sz w:val="24"/>
          <w:szCs w:val="24"/>
        </w:rPr>
      </w:pPr>
    </w:p>
    <w:p w14:paraId="59FD3C4B" w14:textId="56491497" w:rsidR="009A1DE0" w:rsidRPr="007D5ACD" w:rsidRDefault="009A1DE0" w:rsidP="0093279C">
      <w:pPr>
        <w:rPr>
          <w:b/>
          <w:bCs/>
          <w:sz w:val="24"/>
          <w:szCs w:val="24"/>
        </w:rPr>
      </w:pPr>
      <w:r w:rsidRPr="007D5ACD">
        <w:rPr>
          <w:b/>
          <w:bCs/>
          <w:sz w:val="24"/>
          <w:szCs w:val="24"/>
        </w:rPr>
        <w:t>WAIC TECHNICAL PARAMETERS</w:t>
      </w:r>
    </w:p>
    <w:p w14:paraId="5CB86866" w14:textId="77777777" w:rsidR="009A1DE0" w:rsidRPr="007D5ACD" w:rsidRDefault="009A1DE0" w:rsidP="0093279C">
      <w:pPr>
        <w:rPr>
          <w:b/>
          <w:bCs/>
          <w:sz w:val="24"/>
          <w:szCs w:val="24"/>
        </w:rPr>
      </w:pPr>
    </w:p>
    <w:p w14:paraId="2F88B0E0" w14:textId="504B628B" w:rsidR="009A1DE0" w:rsidRPr="007D5ACD" w:rsidRDefault="009A1DE0" w:rsidP="0093279C">
      <w:pPr>
        <w:rPr>
          <w:sz w:val="24"/>
          <w:szCs w:val="24"/>
        </w:rPr>
      </w:pPr>
      <w:r w:rsidRPr="007D5ACD">
        <w:rPr>
          <w:sz w:val="24"/>
          <w:szCs w:val="24"/>
        </w:rPr>
        <w:t>[Insert reviewed output from 1.7 offline meeting]</w:t>
      </w:r>
    </w:p>
    <w:p w14:paraId="60E488EF" w14:textId="77777777" w:rsidR="009A1DE0" w:rsidRDefault="009A1DE0" w:rsidP="0093279C"/>
    <w:p w14:paraId="7A1D4776" w14:textId="77777777" w:rsidR="009A1DE0" w:rsidRPr="009A1DE0" w:rsidRDefault="009A1DE0" w:rsidP="0093279C"/>
    <w:sectPr w:rsidR="009A1DE0" w:rsidRPr="009A1DE0" w:rsidSect="00201816">
      <w:headerReference w:type="even" r:id="rId13"/>
      <w:headerReference w:type="default" r:id="rId14"/>
      <w:footerReference w:type="even" r:id="rId15"/>
      <w:footerReference w:type="default" r:id="rId16"/>
      <w:headerReference w:type="first" r:id="rId17"/>
      <w:footerReference w:type="first" r:id="rId18"/>
      <w:pgSz w:w="12242" w:h="15842" w:code="1"/>
      <w:pgMar w:top="1474" w:right="1247" w:bottom="1247"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512B" w14:textId="77777777" w:rsidR="00D3042F" w:rsidRDefault="00D3042F">
      <w:r>
        <w:separator/>
      </w:r>
    </w:p>
  </w:endnote>
  <w:endnote w:type="continuationSeparator" w:id="0">
    <w:p w14:paraId="50AA173F" w14:textId="77777777" w:rsidR="00D3042F" w:rsidRDefault="00D3042F">
      <w:r>
        <w:continuationSeparator/>
      </w:r>
    </w:p>
  </w:endnote>
  <w:endnote w:type="continuationNotice" w:id="1">
    <w:p w14:paraId="524627EF" w14:textId="77777777" w:rsidR="00D3042F" w:rsidRDefault="00D30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49C5" w14:textId="77777777" w:rsidR="00201816" w:rsidRDefault="0020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5042" w14:textId="77777777" w:rsidR="00201816" w:rsidRDefault="00201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BB3"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12B63ABF" w14:textId="5E4588C0" w:rsidR="00770160" w:rsidRPr="00932443" w:rsidRDefault="00770160">
    <w:pPr>
      <w:pStyle w:val="Footer"/>
      <w:rPr>
        <w:lang w:val="en-CA"/>
      </w:rPr>
    </w:pPr>
    <w:r>
      <w:rPr>
        <w:sz w:val="18"/>
        <w:lang w:val="en-US"/>
      </w:rPr>
      <w:fldChar w:fldCharType="begin"/>
    </w:r>
    <w:r w:rsidRPr="00932443">
      <w:rPr>
        <w:sz w:val="18"/>
        <w:lang w:val="en-CA"/>
      </w:rPr>
      <w:instrText xml:space="preserve"> FILENAME  \* MERGEFORMAT </w:instrText>
    </w:r>
    <w:r>
      <w:rPr>
        <w:sz w:val="18"/>
        <w:lang w:val="en-US"/>
      </w:rPr>
      <w:fldChar w:fldCharType="separate"/>
    </w:r>
    <w:r w:rsidR="00932443" w:rsidRPr="00932443">
      <w:rPr>
        <w:noProof/>
        <w:sz w:val="18"/>
        <w:lang w:val="en-CA"/>
      </w:rPr>
      <w:t>FSMP-WG20-WP17_ICAO LS to ITU on 1.7.docx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25F9" w14:textId="77777777" w:rsidR="00D3042F" w:rsidRDefault="00D3042F">
      <w:r>
        <w:separator/>
      </w:r>
    </w:p>
  </w:footnote>
  <w:footnote w:type="continuationSeparator" w:id="0">
    <w:p w14:paraId="42ED3464" w14:textId="77777777" w:rsidR="00D3042F" w:rsidRDefault="00D3042F">
      <w:r>
        <w:continuationSeparator/>
      </w:r>
    </w:p>
  </w:footnote>
  <w:footnote w:type="continuationNotice" w:id="1">
    <w:p w14:paraId="0D4B18A9" w14:textId="77777777" w:rsidR="00D3042F" w:rsidRDefault="00D30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C63D" w14:textId="7994A7B7" w:rsidR="00770160" w:rsidRDefault="00201816" w:rsidP="00F56F90">
    <w:pPr>
      <w:tabs>
        <w:tab w:val="center" w:pos="4876"/>
      </w:tabs>
      <w:spacing w:after="600"/>
    </w:pPr>
    <w:r w:rsidRPr="00201816">
      <w:t>FSMP-WG/20-WP/17</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5E49" w14:textId="33AD93A0"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BB7722">
      <w:t>20</w:t>
    </w:r>
    <w:r w:rsidR="007E6A06">
      <w:t xml:space="preserve"> </w:t>
    </w:r>
    <w:r>
      <w:t>WP/</w:t>
    </w:r>
    <w:r w:rsidR="0049280E">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340B16F5" w14:textId="77777777" w:rsidTr="00664C07">
      <w:trPr>
        <w:trHeight w:val="1790"/>
      </w:trPr>
      <w:tc>
        <w:tcPr>
          <w:tcW w:w="1915" w:type="dxa"/>
          <w:shd w:val="clear" w:color="auto" w:fill="FFFFFF"/>
        </w:tcPr>
        <w:p w14:paraId="36605815" w14:textId="5C2B1F83" w:rsidR="00920C27" w:rsidRDefault="00E010A1" w:rsidP="00664C07">
          <w:bookmarkStart w:id="1" w:name="logo"/>
          <w:r w:rsidRPr="00484298">
            <w:rPr>
              <w:noProof/>
              <w:lang w:eastAsia="zh-CN"/>
            </w:rPr>
            <w:drawing>
              <wp:inline distT="0" distB="0" distL="0" distR="0" wp14:anchorId="300EC5E8" wp14:editId="3FDB53D0">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291FFF0A" w14:textId="04832A59" w:rsidR="00920C27" w:rsidRPr="00066AB7" w:rsidRDefault="00E010A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2103240C" wp14:editId="32C32C31">
                    <wp:simplePos x="0" y="0"/>
                    <wp:positionH relativeFrom="column">
                      <wp:posOffset>12700</wp:posOffset>
                    </wp:positionH>
                    <wp:positionV relativeFrom="paragraph">
                      <wp:posOffset>342900</wp:posOffset>
                    </wp:positionV>
                    <wp:extent cx="2400300" cy="0"/>
                    <wp:effectExtent l="0" t="0" r="0" b="0"/>
                    <wp:wrapNone/>
                    <wp:docPr id="15527189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3B81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4B87DB34"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35F1390D" w14:textId="77777777" w:rsidR="00920C27" w:rsidRPr="00066AB7" w:rsidRDefault="00920C27" w:rsidP="00664C07">
          <w:pPr>
            <w:rPr>
              <w:rFonts w:ascii="Arial" w:hAnsi="Arial" w:cs="Arial"/>
              <w:szCs w:val="22"/>
            </w:rPr>
          </w:pPr>
        </w:p>
        <w:p w14:paraId="0226756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698B9991" w14:textId="77777777" w:rsidTr="00664C07">
            <w:trPr>
              <w:jc w:val="right"/>
            </w:trPr>
            <w:tc>
              <w:tcPr>
                <w:tcW w:w="0" w:type="auto"/>
              </w:tcPr>
              <w:p w14:paraId="187397F0" w14:textId="4FCC4233" w:rsidR="00920C27" w:rsidRPr="00066AB7" w:rsidRDefault="000D26D5" w:rsidP="00522FC8">
                <w:pPr>
                  <w:framePr w:hSpace="180" w:wrap="around" w:vAnchor="text" w:hAnchor="text" w:y="1"/>
                  <w:suppressOverlap/>
                  <w:jc w:val="left"/>
                  <w:rPr>
                    <w:szCs w:val="22"/>
                  </w:rPr>
                </w:pPr>
                <w:bookmarkStart w:id="2" w:name="document_no"/>
                <w:r>
                  <w:rPr>
                    <w:szCs w:val="22"/>
                  </w:rPr>
                  <w:t>FS</w:t>
                </w:r>
                <w:r w:rsidR="00725205">
                  <w:rPr>
                    <w:szCs w:val="22"/>
                  </w:rPr>
                  <w:t>MP</w:t>
                </w:r>
                <w:r w:rsidR="007E6A06">
                  <w:rPr>
                    <w:szCs w:val="22"/>
                  </w:rPr>
                  <w:t>-WG</w:t>
                </w:r>
                <w:r w:rsidR="00920C27" w:rsidRPr="00066AB7">
                  <w:rPr>
                    <w:szCs w:val="22"/>
                  </w:rPr>
                  <w:t>/</w:t>
                </w:r>
                <w:r w:rsidR="008D4C23">
                  <w:rPr>
                    <w:szCs w:val="22"/>
                  </w:rPr>
                  <w:t>20</w:t>
                </w:r>
                <w:r w:rsidR="00FC389A">
                  <w:rPr>
                    <w:szCs w:val="22"/>
                  </w:rPr>
                  <w:t>-</w:t>
                </w:r>
                <w:r w:rsidR="00920C27" w:rsidRPr="00066AB7">
                  <w:rPr>
                    <w:szCs w:val="22"/>
                  </w:rPr>
                  <w:t>WP/</w:t>
                </w:r>
                <w:r w:rsidR="00932443">
                  <w:rPr>
                    <w:szCs w:val="22"/>
                  </w:rPr>
                  <w:t>17</w:t>
                </w:r>
                <w:bookmarkEnd w:id="2"/>
              </w:p>
              <w:p w14:paraId="259894A7" w14:textId="77777777" w:rsidR="00920C27" w:rsidRPr="00066AB7" w:rsidRDefault="00885035" w:rsidP="00522FC8">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8D4C23">
                  <w:rPr>
                    <w:sz w:val="18"/>
                    <w:szCs w:val="18"/>
                  </w:rPr>
                  <w:t>5</w:t>
                </w:r>
                <w:r>
                  <w:rPr>
                    <w:sz w:val="18"/>
                    <w:szCs w:val="18"/>
                  </w:rPr>
                  <w:t>-0</w:t>
                </w:r>
                <w:r w:rsidR="0009326E">
                  <w:rPr>
                    <w:sz w:val="18"/>
                    <w:szCs w:val="18"/>
                  </w:rPr>
                  <w:t>2</w:t>
                </w:r>
                <w:r>
                  <w:rPr>
                    <w:sz w:val="18"/>
                    <w:szCs w:val="18"/>
                  </w:rPr>
                  <w:t>-</w:t>
                </w:r>
                <w:r w:rsidR="008D4C23">
                  <w:rPr>
                    <w:sz w:val="18"/>
                    <w:szCs w:val="18"/>
                  </w:rPr>
                  <w:t>2</w:t>
                </w:r>
                <w:r w:rsidR="0009326E">
                  <w:rPr>
                    <w:sz w:val="18"/>
                    <w:szCs w:val="18"/>
                  </w:rPr>
                  <w:t>6</w:t>
                </w:r>
                <w:r w:rsidR="00920C27" w:rsidRPr="00066AB7">
                  <w:rPr>
                    <w:b/>
                    <w:sz w:val="18"/>
                    <w:szCs w:val="18"/>
                  </w:rPr>
                  <w:t xml:space="preserve"> </w:t>
                </w:r>
                <w:bookmarkStart w:id="8" w:name="info_paper"/>
                <w:bookmarkEnd w:id="8"/>
              </w:p>
            </w:tc>
          </w:tr>
          <w:tr w:rsidR="00920C27" w14:paraId="2FC24CE9" w14:textId="77777777" w:rsidTr="00664C07">
            <w:trPr>
              <w:jc w:val="right"/>
            </w:trPr>
            <w:tc>
              <w:tcPr>
                <w:tcW w:w="0" w:type="auto"/>
              </w:tcPr>
              <w:p w14:paraId="2B8F33C8" w14:textId="77777777" w:rsidR="00920C27" w:rsidRPr="00066AB7" w:rsidRDefault="00920C27" w:rsidP="00522FC8">
                <w:pPr>
                  <w:framePr w:hSpace="180" w:wrap="around" w:vAnchor="text" w:hAnchor="text" w:y="1"/>
                  <w:suppressOverlap/>
                  <w:jc w:val="left"/>
                  <w:rPr>
                    <w:szCs w:val="22"/>
                  </w:rPr>
                </w:pPr>
              </w:p>
            </w:tc>
          </w:tr>
        </w:tbl>
        <w:p w14:paraId="4C0D4489"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DD42264" w14:textId="309239D8" w:rsidR="00770160" w:rsidRDefault="00770160" w:rsidP="00201816">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5" w15:restartNumberingAfterBreak="0">
    <w:nsid w:val="7EC80887"/>
    <w:multiLevelType w:val="hybridMultilevel"/>
    <w:tmpl w:val="752CA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17063">
    <w:abstractNumId w:val="3"/>
  </w:num>
  <w:num w:numId="2" w16cid:durableId="1639070378">
    <w:abstractNumId w:val="4"/>
  </w:num>
  <w:num w:numId="3" w16cid:durableId="1158420063">
    <w:abstractNumId w:val="1"/>
  </w:num>
  <w:num w:numId="4" w16cid:durableId="1570724105">
    <w:abstractNumId w:val="0"/>
  </w:num>
  <w:num w:numId="5" w16cid:durableId="1883126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92522">
    <w:abstractNumId w:val="2"/>
  </w:num>
  <w:num w:numId="7" w16cid:durableId="748620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582F"/>
    <w:rsid w:val="000273D2"/>
    <w:rsid w:val="00067C56"/>
    <w:rsid w:val="00074D07"/>
    <w:rsid w:val="00075BD5"/>
    <w:rsid w:val="00091AE6"/>
    <w:rsid w:val="0009326E"/>
    <w:rsid w:val="000D26D5"/>
    <w:rsid w:val="000E218A"/>
    <w:rsid w:val="001566B0"/>
    <w:rsid w:val="001E68DF"/>
    <w:rsid w:val="00201816"/>
    <w:rsid w:val="00206F87"/>
    <w:rsid w:val="0020768F"/>
    <w:rsid w:val="00225E9F"/>
    <w:rsid w:val="00263E32"/>
    <w:rsid w:val="0028041F"/>
    <w:rsid w:val="00296C3E"/>
    <w:rsid w:val="002C2D0B"/>
    <w:rsid w:val="002E406D"/>
    <w:rsid w:val="002E7BB4"/>
    <w:rsid w:val="002F53C3"/>
    <w:rsid w:val="003715A0"/>
    <w:rsid w:val="003D7FD8"/>
    <w:rsid w:val="003E5596"/>
    <w:rsid w:val="00423C6F"/>
    <w:rsid w:val="004353C4"/>
    <w:rsid w:val="00436BEC"/>
    <w:rsid w:val="004735BC"/>
    <w:rsid w:val="00480E8E"/>
    <w:rsid w:val="0049280E"/>
    <w:rsid w:val="00492CD2"/>
    <w:rsid w:val="004C525D"/>
    <w:rsid w:val="004E681E"/>
    <w:rsid w:val="004E6F80"/>
    <w:rsid w:val="004F363A"/>
    <w:rsid w:val="00505F6E"/>
    <w:rsid w:val="00506C59"/>
    <w:rsid w:val="0051574F"/>
    <w:rsid w:val="00522FC8"/>
    <w:rsid w:val="00552B85"/>
    <w:rsid w:val="005656C4"/>
    <w:rsid w:val="005903AF"/>
    <w:rsid w:val="005A2567"/>
    <w:rsid w:val="005D2A70"/>
    <w:rsid w:val="005F535B"/>
    <w:rsid w:val="006245B3"/>
    <w:rsid w:val="00625E2A"/>
    <w:rsid w:val="00664C07"/>
    <w:rsid w:val="00692701"/>
    <w:rsid w:val="006A0717"/>
    <w:rsid w:val="006A444C"/>
    <w:rsid w:val="00725205"/>
    <w:rsid w:val="00760654"/>
    <w:rsid w:val="00770160"/>
    <w:rsid w:val="00796019"/>
    <w:rsid w:val="007D5ACD"/>
    <w:rsid w:val="007E6A06"/>
    <w:rsid w:val="008208A0"/>
    <w:rsid w:val="00860FB4"/>
    <w:rsid w:val="00885035"/>
    <w:rsid w:val="00896451"/>
    <w:rsid w:val="008B54C4"/>
    <w:rsid w:val="008D4C23"/>
    <w:rsid w:val="0090204A"/>
    <w:rsid w:val="00920B80"/>
    <w:rsid w:val="00920C27"/>
    <w:rsid w:val="00932443"/>
    <w:rsid w:val="0093279C"/>
    <w:rsid w:val="009366D9"/>
    <w:rsid w:val="009602EE"/>
    <w:rsid w:val="009A1DE0"/>
    <w:rsid w:val="009A3BB6"/>
    <w:rsid w:val="00A03CFF"/>
    <w:rsid w:val="00A12CBA"/>
    <w:rsid w:val="00A232A8"/>
    <w:rsid w:val="00A864C1"/>
    <w:rsid w:val="00AA7B30"/>
    <w:rsid w:val="00B07CC5"/>
    <w:rsid w:val="00B95AA6"/>
    <w:rsid w:val="00BB7722"/>
    <w:rsid w:val="00BC5391"/>
    <w:rsid w:val="00BE7C57"/>
    <w:rsid w:val="00C2608A"/>
    <w:rsid w:val="00C32F4A"/>
    <w:rsid w:val="00C63C18"/>
    <w:rsid w:val="00CF72A2"/>
    <w:rsid w:val="00D22255"/>
    <w:rsid w:val="00D3042F"/>
    <w:rsid w:val="00D433B4"/>
    <w:rsid w:val="00D506CE"/>
    <w:rsid w:val="00D8375B"/>
    <w:rsid w:val="00D94FD3"/>
    <w:rsid w:val="00DA654F"/>
    <w:rsid w:val="00DF76D3"/>
    <w:rsid w:val="00E010A1"/>
    <w:rsid w:val="00E33635"/>
    <w:rsid w:val="00E5621A"/>
    <w:rsid w:val="00E71157"/>
    <w:rsid w:val="00E7263C"/>
    <w:rsid w:val="00E77340"/>
    <w:rsid w:val="00E905A6"/>
    <w:rsid w:val="00E91DF2"/>
    <w:rsid w:val="00E93D15"/>
    <w:rsid w:val="00E97B4E"/>
    <w:rsid w:val="00EB1EAC"/>
    <w:rsid w:val="00ED3D4D"/>
    <w:rsid w:val="00ED433A"/>
    <w:rsid w:val="00F36032"/>
    <w:rsid w:val="00F56F90"/>
    <w:rsid w:val="00F84DC1"/>
    <w:rsid w:val="00F975FD"/>
    <w:rsid w:val="00FA622B"/>
    <w:rsid w:val="00FC389A"/>
    <w:rsid w:val="00FF1252"/>
    <w:rsid w:val="00FF33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B51B7"/>
  <w15:chartTrackingRefBased/>
  <w15:docId w15:val="{92A5BF5F-8180-4691-90E0-8CAEDDEB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unhideWhenUsed/>
    <w:qFormat/>
    <w:rsid w:val="0093279C"/>
    <w:rPr>
      <w:color w:val="467886" w:themeColor="hyperlink"/>
      <w:u w:val="single"/>
    </w:rPr>
  </w:style>
  <w:style w:type="character" w:styleId="CommentReference">
    <w:name w:val="annotation reference"/>
    <w:basedOn w:val="DefaultParagraphFont"/>
    <w:rsid w:val="00436BEC"/>
    <w:rPr>
      <w:sz w:val="16"/>
      <w:szCs w:val="16"/>
    </w:rPr>
  </w:style>
  <w:style w:type="paragraph" w:styleId="CommentText">
    <w:name w:val="annotation text"/>
    <w:basedOn w:val="Normal"/>
    <w:link w:val="CommentTextChar"/>
    <w:rsid w:val="00436BEC"/>
    <w:rPr>
      <w:sz w:val="20"/>
    </w:rPr>
  </w:style>
  <w:style w:type="character" w:customStyle="1" w:styleId="CommentTextChar">
    <w:name w:val="Comment Text Char"/>
    <w:basedOn w:val="DefaultParagraphFont"/>
    <w:link w:val="CommentText"/>
    <w:rsid w:val="00436BEC"/>
    <w:rPr>
      <w:lang w:val="en-GB"/>
    </w:rPr>
  </w:style>
  <w:style w:type="paragraph" w:styleId="CommentSubject">
    <w:name w:val="annotation subject"/>
    <w:basedOn w:val="CommentText"/>
    <w:next w:val="CommentText"/>
    <w:link w:val="CommentSubjectChar"/>
    <w:rsid w:val="00436BEC"/>
    <w:rPr>
      <w:b/>
      <w:bCs/>
    </w:rPr>
  </w:style>
  <w:style w:type="character" w:customStyle="1" w:styleId="CommentSubjectChar">
    <w:name w:val="Comment Subject Char"/>
    <w:basedOn w:val="CommentTextChar"/>
    <w:link w:val="CommentSubject"/>
    <w:rsid w:val="00436BEC"/>
    <w:rPr>
      <w:b/>
      <w:bCs/>
      <w:lang w:val="en-GB"/>
    </w:rPr>
  </w:style>
  <w:style w:type="character" w:styleId="UnresolvedMention">
    <w:name w:val="Unresolved Mention"/>
    <w:basedOn w:val="DefaultParagraphFont"/>
    <w:uiPriority w:val="99"/>
    <w:semiHidden/>
    <w:unhideWhenUsed/>
    <w:rsid w:val="00E9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4768">
      <w:bodyDiv w:val="1"/>
      <w:marLeft w:val="0"/>
      <w:marRight w:val="0"/>
      <w:marTop w:val="0"/>
      <w:marBottom w:val="0"/>
      <w:divBdr>
        <w:top w:val="none" w:sz="0" w:space="0" w:color="auto"/>
        <w:left w:val="none" w:sz="0" w:space="0" w:color="auto"/>
        <w:bottom w:val="none" w:sz="0" w:space="0" w:color="auto"/>
        <w:right w:val="none" w:sz="0" w:space="0" w:color="auto"/>
      </w:divBdr>
    </w:div>
    <w:div w:id="204216088">
      <w:bodyDiv w:val="1"/>
      <w:marLeft w:val="0"/>
      <w:marRight w:val="0"/>
      <w:marTop w:val="0"/>
      <w:marBottom w:val="0"/>
      <w:divBdr>
        <w:top w:val="none" w:sz="0" w:space="0" w:color="auto"/>
        <w:left w:val="none" w:sz="0" w:space="0" w:color="auto"/>
        <w:bottom w:val="none" w:sz="0" w:space="0" w:color="auto"/>
        <w:right w:val="none" w:sz="0" w:space="0" w:color="auto"/>
      </w:divBdr>
    </w:div>
    <w:div w:id="911741165">
      <w:bodyDiv w:val="1"/>
      <w:marLeft w:val="0"/>
      <w:marRight w:val="0"/>
      <w:marTop w:val="0"/>
      <w:marBottom w:val="0"/>
      <w:divBdr>
        <w:top w:val="none" w:sz="0" w:space="0" w:color="auto"/>
        <w:left w:val="none" w:sz="0" w:space="0" w:color="auto"/>
        <w:bottom w:val="none" w:sz="0" w:space="0" w:color="auto"/>
        <w:right w:val="none" w:sz="0" w:space="0" w:color="auto"/>
      </w:divBdr>
    </w:div>
    <w:div w:id="1294604057">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14/part-121/section-121.18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meetingdoc.asp?lang=en&amp;parent=R23-WP5D-C-012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tu.int/rec/R-REC-M.2059/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5382E-41B2-460E-85CE-4BBCE2EF1122}"/>
</file>

<file path=customXml/itemProps2.xml><?xml version="1.0" encoding="utf-8"?>
<ds:datastoreItem xmlns:ds="http://schemas.openxmlformats.org/officeDocument/2006/customXml" ds:itemID="{0648EC02-D43C-4BFC-8670-E3FD0B24B7EF}">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1220</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ASRI</cp:lastModifiedBy>
  <cp:revision>27</cp:revision>
  <cp:lastPrinted>2005-03-16T18:26:00Z</cp:lastPrinted>
  <dcterms:created xsi:type="dcterms:W3CDTF">2025-02-25T02:24:00Z</dcterms:created>
  <dcterms:modified xsi:type="dcterms:W3CDTF">2025-02-26T01:41:00Z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