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853C" w14:textId="77777777" w:rsidR="00C32F4A" w:rsidRDefault="00C32F4A" w:rsidP="00C32F4A">
      <w:pPr>
        <w:jc w:val="center"/>
        <w:rPr>
          <w:b/>
        </w:rPr>
      </w:pPr>
      <w:r>
        <w:rPr>
          <w:b/>
        </w:rPr>
        <w:t>FREQUENCY SPECTRUM MANAGEMENT PANEL (FSMP)</w:t>
      </w:r>
    </w:p>
    <w:p w14:paraId="5868342C" w14:textId="77777777" w:rsidR="00C32F4A" w:rsidRDefault="00C32F4A" w:rsidP="00C32F4A">
      <w:pPr>
        <w:tabs>
          <w:tab w:val="left" w:pos="6972"/>
        </w:tabs>
        <w:jc w:val="center"/>
        <w:rPr>
          <w:b/>
        </w:rPr>
      </w:pPr>
    </w:p>
    <w:p w14:paraId="30A6730C" w14:textId="77777777" w:rsidR="00FC389A" w:rsidRDefault="008D4C23" w:rsidP="00FC389A">
      <w:pPr>
        <w:widowControl w:val="0"/>
        <w:autoSpaceDE w:val="0"/>
        <w:autoSpaceDN w:val="0"/>
        <w:adjustRightInd w:val="0"/>
        <w:ind w:right="4"/>
        <w:jc w:val="center"/>
        <w:rPr>
          <w:rFonts w:eastAsia="SimSun"/>
          <w:b/>
          <w:caps/>
          <w:szCs w:val="24"/>
        </w:rPr>
      </w:pPr>
      <w:r w:rsidRPr="008D4C23">
        <w:rPr>
          <w:rFonts w:eastAsia="SimSun"/>
          <w:b/>
          <w:szCs w:val="24"/>
        </w:rPr>
        <w:t>Twentieth</w:t>
      </w:r>
      <w:r w:rsidR="00FC389A" w:rsidRPr="003A7291">
        <w:rPr>
          <w:rFonts w:eastAsia="SimSun"/>
          <w:b/>
          <w:szCs w:val="24"/>
        </w:rPr>
        <w:t xml:space="preserve"> Working Group Meeting </w:t>
      </w:r>
    </w:p>
    <w:p w14:paraId="7C985EE2" w14:textId="77777777" w:rsidR="008D4C23" w:rsidRDefault="008D4C23" w:rsidP="008D4C23">
      <w:pPr>
        <w:pStyle w:val="Maintitle"/>
        <w:ind w:left="0"/>
        <w:jc w:val="both"/>
      </w:pPr>
    </w:p>
    <w:p w14:paraId="7C7D07E6" w14:textId="77777777" w:rsidR="0009326E" w:rsidRDefault="008D4C23" w:rsidP="008D4C23">
      <w:pPr>
        <w:pStyle w:val="Maintitle"/>
      </w:pPr>
      <w:r>
        <w:t>Bangkok, Thailand, 26 February -7 March 2025</w:t>
      </w:r>
    </w:p>
    <w:p w14:paraId="63A4EFE0" w14:textId="77777777" w:rsidR="00770160" w:rsidRDefault="00770160">
      <w:pPr>
        <w:tabs>
          <w:tab w:val="left" w:pos="0"/>
          <w:tab w:val="left" w:pos="1570"/>
          <w:tab w:val="left" w:pos="1857"/>
        </w:tabs>
      </w:pPr>
    </w:p>
    <w:p w14:paraId="49933ED0" w14:textId="77777777" w:rsidR="00770160" w:rsidRDefault="00770160">
      <w:pPr>
        <w:tabs>
          <w:tab w:val="left" w:pos="0"/>
          <w:tab w:val="left" w:pos="1570"/>
          <w:tab w:val="left" w:pos="1857"/>
        </w:tabs>
      </w:pPr>
    </w:p>
    <w:p w14:paraId="30DD949E" w14:textId="77777777" w:rsidR="00770160" w:rsidRDefault="00770160">
      <w:pPr>
        <w:pStyle w:val="Agendaitemtitle"/>
        <w:rPr>
          <w:lang w:val="sv-SE"/>
        </w:rPr>
      </w:pPr>
      <w:r>
        <w:rPr>
          <w:lang w:val="sv-SE"/>
        </w:rPr>
        <w:t>Agenda Item ..:</w:t>
      </w:r>
      <w:r>
        <w:rPr>
          <w:lang w:val="sv-SE"/>
        </w:rPr>
        <w:tab/>
        <w:t>Agenda item text</w:t>
      </w:r>
    </w:p>
    <w:p w14:paraId="3F9B502F" w14:textId="77777777" w:rsidR="00770160" w:rsidRDefault="00770160">
      <w:pPr>
        <w:pStyle w:val="Agendaitemtitle"/>
        <w:rPr>
          <w:b w:val="0"/>
          <w:lang w:val="sv-SE"/>
        </w:rPr>
      </w:pPr>
    </w:p>
    <w:p w14:paraId="445FEC4C" w14:textId="77777777" w:rsidR="00770160" w:rsidRDefault="00770160">
      <w:pPr>
        <w:tabs>
          <w:tab w:val="left" w:pos="6972"/>
        </w:tabs>
        <w:rPr>
          <w:b/>
          <w:lang w:val="sv-SE"/>
        </w:rPr>
      </w:pPr>
    </w:p>
    <w:p w14:paraId="1FF1092D" w14:textId="7CF27E06" w:rsidR="00770160" w:rsidRDefault="005636CE" w:rsidP="005636CE">
      <w:pPr>
        <w:tabs>
          <w:tab w:val="left" w:pos="6972"/>
        </w:tabs>
        <w:jc w:val="center"/>
      </w:pPr>
      <w:r w:rsidRPr="005636CE">
        <w:rPr>
          <w:b/>
          <w:snapToGrid w:val="0"/>
        </w:rPr>
        <w:t>OUTPUT FROM 1.7 OFFLINE GROUP</w:t>
      </w:r>
    </w:p>
    <w:p w14:paraId="7CF9CCD9" w14:textId="77777777" w:rsidR="00770160" w:rsidRDefault="00770160">
      <w:pPr>
        <w:tabs>
          <w:tab w:val="left" w:pos="6972"/>
        </w:tabs>
      </w:pPr>
    </w:p>
    <w:p w14:paraId="1634A84E" w14:textId="73FCA7F7" w:rsidR="00770160" w:rsidRDefault="00770160">
      <w:pPr>
        <w:jc w:val="center"/>
      </w:pPr>
      <w:r>
        <w:t>(</w:t>
      </w:r>
      <w:r w:rsidR="005636CE">
        <w:t xml:space="preserve">Prepared by 1.7 Offline Group, </w:t>
      </w:r>
      <w:r>
        <w:t>Presented by</w:t>
      </w:r>
      <w:bookmarkStart w:id="0" w:name="presented_by"/>
      <w:bookmarkEnd w:id="0"/>
      <w:r>
        <w:t xml:space="preserve"> </w:t>
      </w:r>
      <w:r w:rsidR="005636CE">
        <w:t>FSMP Chair</w:t>
      </w:r>
      <w:r>
        <w:t>)</w:t>
      </w:r>
    </w:p>
    <w:p w14:paraId="7D297B65" w14:textId="77777777" w:rsidR="00770160" w:rsidRDefault="00770160"/>
    <w:p w14:paraId="3B6FC156"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6EADC094" w14:textId="77777777">
        <w:trPr>
          <w:cantSplit/>
          <w:trHeight w:hRule="exact" w:val="480"/>
          <w:jc w:val="center"/>
        </w:trPr>
        <w:tc>
          <w:tcPr>
            <w:tcW w:w="7200" w:type="dxa"/>
            <w:vAlign w:val="center"/>
          </w:tcPr>
          <w:p w14:paraId="4958CC98" w14:textId="77777777" w:rsidR="00770160" w:rsidRDefault="00770160">
            <w:pPr>
              <w:jc w:val="center"/>
              <w:rPr>
                <w:sz w:val="24"/>
                <w:lang w:val="en-US"/>
              </w:rPr>
            </w:pPr>
            <w:r>
              <w:rPr>
                <w:b/>
              </w:rPr>
              <w:t>SUMMARY</w:t>
            </w:r>
          </w:p>
        </w:tc>
      </w:tr>
      <w:tr w:rsidR="00770160" w14:paraId="18F08197" w14:textId="77777777">
        <w:trPr>
          <w:cantSplit/>
          <w:jc w:val="center"/>
        </w:trPr>
        <w:tc>
          <w:tcPr>
            <w:tcW w:w="7200" w:type="dxa"/>
          </w:tcPr>
          <w:p w14:paraId="1AC1D40C" w14:textId="052988C9" w:rsidR="00770160" w:rsidRDefault="00ED5504">
            <w:pPr>
              <w:rPr>
                <w:lang w:val="en-US"/>
              </w:rPr>
            </w:pPr>
            <w:r>
              <w:rPr>
                <w:lang w:val="en-US"/>
              </w:rPr>
              <w:t>Report and o</w:t>
            </w:r>
            <w:r w:rsidR="00DF6B64">
              <w:rPr>
                <w:lang w:val="en-US"/>
              </w:rPr>
              <w:t>utcome from offline group created at FSMP WG/1</w:t>
            </w:r>
            <w:r w:rsidR="00244CA1">
              <w:rPr>
                <w:lang w:val="en-US"/>
              </w:rPr>
              <w:t>9</w:t>
            </w:r>
            <w:r w:rsidR="00DF6B64">
              <w:rPr>
                <w:lang w:val="en-US"/>
              </w:rPr>
              <w:t xml:space="preserve"> to develop text and responses to the ITU-R for WRC-27 Agenda Item 1.7</w:t>
            </w:r>
            <w:r w:rsidR="00770160">
              <w:rPr>
                <w:lang w:val="en-US"/>
              </w:rPr>
              <w:t xml:space="preserve"> </w:t>
            </w:r>
          </w:p>
        </w:tc>
      </w:tr>
    </w:tbl>
    <w:p w14:paraId="5DA83E4B" w14:textId="77777777" w:rsidR="00770160" w:rsidRDefault="00770160"/>
    <w:p w14:paraId="1A6AA52E" w14:textId="77777777" w:rsidR="00770160" w:rsidRDefault="00770160"/>
    <w:p w14:paraId="084F98B3" w14:textId="77777777" w:rsidR="00770160" w:rsidRDefault="00770160">
      <w:pPr>
        <w:pStyle w:val="1Heading"/>
      </w:pPr>
      <w:r>
        <w:t>INTRODUCTION</w:t>
      </w:r>
    </w:p>
    <w:p w14:paraId="70A1CD56" w14:textId="5A604DD4" w:rsidR="00770160" w:rsidRDefault="00244CA1">
      <w:pPr>
        <w:pStyle w:val="2para"/>
      </w:pPr>
      <w:r>
        <w:t xml:space="preserve">At FSMP WG/19 it was agreed that an offline group be </w:t>
      </w:r>
      <w:r>
        <w:rPr>
          <w:lang w:val="en-US"/>
        </w:rPr>
        <w:t>created to develop text and responses to the ITU-R for WRC-27 Agenda Item 1.7.  Since W</w:t>
      </w:r>
      <w:r w:rsidR="00620235">
        <w:rPr>
          <w:lang w:val="en-US"/>
        </w:rPr>
        <w:t>G/19, the 1.7 offline group completed work on a LS to ITU-R WP5B</w:t>
      </w:r>
      <w:r w:rsidR="00A6571A">
        <w:rPr>
          <w:lang w:val="en-US"/>
        </w:rPr>
        <w:t xml:space="preserve"> in Nov 2024</w:t>
      </w:r>
      <w:r w:rsidR="00620235">
        <w:rPr>
          <w:lang w:val="en-US"/>
        </w:rPr>
        <w:t xml:space="preserve">, and </w:t>
      </w:r>
      <w:r w:rsidR="00A6571A">
        <w:rPr>
          <w:lang w:val="en-US"/>
        </w:rPr>
        <w:t xml:space="preserve">then began developing additional material to support the outcomes of the WP5B meeting.  </w:t>
      </w:r>
      <w:r w:rsidR="00EF53E4">
        <w:rPr>
          <w:lang w:val="en-US"/>
        </w:rPr>
        <w:t xml:space="preserve">While discussions covered both radar altimeter and WAIC, only the WAIC </w:t>
      </w:r>
      <w:r w:rsidR="00B46B16">
        <w:rPr>
          <w:lang w:val="en-US"/>
        </w:rPr>
        <w:t>technical discussions have provided an output for consideration at FSMP WG/20.  This is provided below</w:t>
      </w:r>
      <w:r w:rsidR="00132277">
        <w:rPr>
          <w:lang w:val="en-US"/>
        </w:rPr>
        <w:t xml:space="preserve"> for consideration by FSMP WG/20 for review and potential approval</w:t>
      </w:r>
    </w:p>
    <w:p w14:paraId="0A4F52EF" w14:textId="77777777" w:rsidR="00770160" w:rsidRDefault="00770160">
      <w:pPr>
        <w:pStyle w:val="1Heading"/>
      </w:pPr>
      <w:r>
        <w:t>DISCUSSION</w:t>
      </w:r>
    </w:p>
    <w:p w14:paraId="25D7FDF1" w14:textId="2F961C3B" w:rsidR="00FA30A9" w:rsidRPr="00FA30A9" w:rsidRDefault="00FA30A9" w:rsidP="00B06876">
      <w:pPr>
        <w:pStyle w:val="2para"/>
        <w:rPr>
          <w:lang w:val="en-US"/>
        </w:rPr>
      </w:pPr>
      <w:r w:rsidRPr="00FA30A9">
        <w:rPr>
          <w:lang w:val="en-US"/>
        </w:rPr>
        <w:t>In the meeting</w:t>
      </w:r>
      <w:r w:rsidRPr="00E87F9D">
        <w:rPr>
          <w:lang w:val="en-US"/>
        </w:rPr>
        <w:t>s</w:t>
      </w:r>
      <w:r w:rsidRPr="00FA30A9">
        <w:rPr>
          <w:lang w:val="en-US"/>
        </w:rPr>
        <w:t xml:space="preserve">, </w:t>
      </w:r>
      <w:r w:rsidRPr="00E87F9D">
        <w:rPr>
          <w:lang w:val="en-US"/>
        </w:rPr>
        <w:t>the 1.7 offline group</w:t>
      </w:r>
      <w:r w:rsidRPr="00FA30A9">
        <w:rPr>
          <w:lang w:val="en-US"/>
        </w:rPr>
        <w:t xml:space="preserve"> discussed the activities and actions at the most recent ITU WP 5D and 5B meetings last year, and the implications for ICAO’s position.   </w:t>
      </w:r>
      <w:r w:rsidRPr="00E87F9D">
        <w:rPr>
          <w:lang w:val="en-US"/>
        </w:rPr>
        <w:t>T</w:t>
      </w:r>
      <w:r w:rsidRPr="00FA30A9">
        <w:rPr>
          <w:lang w:val="en-US"/>
        </w:rPr>
        <w:t xml:space="preserve">here was a lot of concern about how the aviation viewpoint was addressed in those meetings, both from a procedural and </w:t>
      </w:r>
      <w:r w:rsidRPr="00E87F9D">
        <w:rPr>
          <w:lang w:val="en-US"/>
        </w:rPr>
        <w:t>t</w:t>
      </w:r>
      <w:r w:rsidRPr="00FA30A9">
        <w:rPr>
          <w:lang w:val="en-US"/>
        </w:rPr>
        <w:t xml:space="preserve">echnical perspective.  There were also multiple comments expressing concern about the lack of aviation support in the meetings, both in terms of aviation experts in the room, and </w:t>
      </w:r>
      <w:r w:rsidR="00E87F9D" w:rsidRPr="00E87F9D">
        <w:rPr>
          <w:lang w:val="en-US"/>
        </w:rPr>
        <w:t>those able to take the</w:t>
      </w:r>
      <w:r w:rsidRPr="00FA30A9">
        <w:rPr>
          <w:lang w:val="en-US"/>
        </w:rPr>
        <w:t xml:space="preserve"> microphone.  The result of the discussion </w:t>
      </w:r>
      <w:r w:rsidR="00E87F9D">
        <w:rPr>
          <w:lang w:val="en-US"/>
        </w:rPr>
        <w:t>was</w:t>
      </w:r>
      <w:r w:rsidRPr="00FA30A9">
        <w:rPr>
          <w:lang w:val="en-US"/>
        </w:rPr>
        <w:t xml:space="preserve"> two main areas to be addressed</w:t>
      </w:r>
      <w:r w:rsidR="00E87F9D">
        <w:rPr>
          <w:lang w:val="en-US"/>
        </w:rPr>
        <w:t xml:space="preserve"> long-term</w:t>
      </w:r>
      <w:r w:rsidRPr="00FA30A9">
        <w:rPr>
          <w:lang w:val="en-US"/>
        </w:rPr>
        <w:t>:</w:t>
      </w:r>
    </w:p>
    <w:p w14:paraId="6A35D3F3" w14:textId="77777777" w:rsidR="00FA30A9" w:rsidRPr="00FA30A9" w:rsidRDefault="00FA30A9" w:rsidP="00FA30A9">
      <w:pPr>
        <w:pStyle w:val="2para"/>
        <w:rPr>
          <w:lang w:val="en-US"/>
        </w:rPr>
      </w:pPr>
      <w:r w:rsidRPr="00FA30A9">
        <w:rPr>
          <w:lang w:val="en-US"/>
        </w:rPr>
        <w:t>What content/material could/should ICAO provide to the ITU?</w:t>
      </w:r>
    </w:p>
    <w:p w14:paraId="2E110378" w14:textId="77777777" w:rsidR="00FA30A9" w:rsidRPr="00FA30A9" w:rsidRDefault="00FA30A9" w:rsidP="00FA30A9">
      <w:pPr>
        <w:pStyle w:val="2para"/>
        <w:rPr>
          <w:lang w:val="en-US"/>
        </w:rPr>
      </w:pPr>
      <w:r w:rsidRPr="00FA30A9">
        <w:rPr>
          <w:lang w:val="en-US"/>
        </w:rPr>
        <w:t>How will aviation support this material through attendance and expertise? </w:t>
      </w:r>
    </w:p>
    <w:p w14:paraId="202D4383" w14:textId="2D2BF7A9" w:rsidR="00770160" w:rsidRDefault="009D61A2">
      <w:pPr>
        <w:pStyle w:val="2para"/>
      </w:pPr>
      <w:r>
        <w:lastRenderedPageBreak/>
        <w:t>While several discussions occurred on the</w:t>
      </w:r>
      <w:r w:rsidR="000222A3">
        <w:t xml:space="preserve"> radar altimeter for </w:t>
      </w:r>
      <w:r w:rsidR="0083339E">
        <w:t>future</w:t>
      </w:r>
      <w:r w:rsidR="000222A3">
        <w:t xml:space="preserve"> planning, the main focus of the </w:t>
      </w:r>
      <w:r w:rsidR="000144BC">
        <w:t xml:space="preserve">offline </w:t>
      </w:r>
      <w:r w:rsidR="000222A3">
        <w:t xml:space="preserve">meetings </w:t>
      </w:r>
      <w:r w:rsidR="0035089C">
        <w:t xml:space="preserve">was taken by development of the </w:t>
      </w:r>
      <w:r w:rsidR="00A97E48">
        <w:t>following text for the WAIC section of a potential LS to ITU-R on WRC-27 Agenda Item 1.7</w:t>
      </w:r>
      <w:r w:rsidR="00770160">
        <w:t xml:space="preserve">. </w:t>
      </w:r>
      <w:r w:rsidR="00CB2E7A">
        <w:t xml:space="preserve"> </w:t>
      </w:r>
      <w:r w:rsidR="0035089C">
        <w:t xml:space="preserve">It provided to the full FSMP membership for </w:t>
      </w:r>
      <w:r w:rsidR="00AB1994">
        <w:t xml:space="preserve">review, </w:t>
      </w:r>
      <w:r w:rsidR="00B179F4">
        <w:t>not</w:t>
      </w:r>
      <w:r w:rsidR="0035089C">
        <w:t>ing</w:t>
      </w:r>
      <w:r w:rsidR="00CB2E7A">
        <w:t xml:space="preserve"> the following 2 points:</w:t>
      </w:r>
    </w:p>
    <w:p w14:paraId="35F111BF" w14:textId="622D908D" w:rsidR="00CB2E7A" w:rsidRDefault="00CB2E7A" w:rsidP="00CB2E7A">
      <w:pPr>
        <w:pStyle w:val="3para"/>
      </w:pPr>
      <w:r w:rsidRPr="008A5DEC">
        <w:rPr>
          <w:highlight w:val="yellow"/>
        </w:rPr>
        <w:t>First highlighted text section</w:t>
      </w:r>
      <w:r>
        <w:t xml:space="preserve"> is a post-meeting suggestion from the FSMP chair after some late clarification on the number of in-band WAIC protection criteria</w:t>
      </w:r>
      <w:r w:rsidR="00E8329E">
        <w:t xml:space="preserve"> and their usage.</w:t>
      </w:r>
      <w:r w:rsidR="00A437E4">
        <w:t xml:space="preserve">  </w:t>
      </w:r>
      <w:r w:rsidR="00B179F4">
        <w:t>Unfortunately,</w:t>
      </w:r>
      <w:r w:rsidR="00A437E4">
        <w:t xml:space="preserve"> there was not enough time in that meeting to address t</w:t>
      </w:r>
      <w:r w:rsidR="00960A7B">
        <w:t xml:space="preserve">he suggestion in text, and the FSMP </w:t>
      </w:r>
      <w:r w:rsidR="00B1631A">
        <w:t>Chair offered to provide this text in the contribution to the FSMP WG/20 for consideration.  T</w:t>
      </w:r>
      <w:r w:rsidR="00E8329E">
        <w:t>his text has not been reviewed or approved by the 1.7 Offline group</w:t>
      </w:r>
      <w:r w:rsidR="00B1631A">
        <w:t xml:space="preserve"> and is offered to the FSMP for consideration understanding </w:t>
      </w:r>
      <w:r w:rsidR="00B179F4">
        <w:t>its status.</w:t>
      </w:r>
    </w:p>
    <w:p w14:paraId="0E36021C" w14:textId="78AD7A3F" w:rsidR="00E8329E" w:rsidRDefault="00B1631A" w:rsidP="00CB2E7A">
      <w:pPr>
        <w:pStyle w:val="3para"/>
      </w:pPr>
      <w:r w:rsidRPr="008A5DEC">
        <w:rPr>
          <w:highlight w:val="cyan"/>
        </w:rPr>
        <w:t>The 2</w:t>
      </w:r>
      <w:r w:rsidRPr="008A5DEC">
        <w:rPr>
          <w:highlight w:val="cyan"/>
          <w:vertAlign w:val="superscript"/>
        </w:rPr>
        <w:t>nd</w:t>
      </w:r>
      <w:r w:rsidRPr="008A5DEC">
        <w:rPr>
          <w:highlight w:val="cyan"/>
        </w:rPr>
        <w:t xml:space="preserve"> highlighted text</w:t>
      </w:r>
      <w:r>
        <w:t xml:space="preserve"> on adjacent band performance was proposed as an excerpt from the RTCA/EUROCAE WAIC MOPS, but the 1.7 offline meeting ran out of time to fully consider it.  </w:t>
      </w:r>
      <w:r w:rsidR="00B179F4">
        <w:t>This text has not been reviewed or approved by the 1.7 Offline group and is offered to the FSMP for consideration understanding its status.</w:t>
      </w:r>
    </w:p>
    <w:p w14:paraId="0620F569" w14:textId="0F5200EC" w:rsidR="005C74F7" w:rsidRDefault="005C74F7" w:rsidP="005C74F7">
      <w:pPr>
        <w:pStyle w:val="1Heading"/>
      </w:pPr>
      <w:r>
        <w:t>SUGGESTED TEXT ON WAIC FOR THE ITU-R</w:t>
      </w:r>
    </w:p>
    <w:p w14:paraId="2FC86450" w14:textId="77777777" w:rsidR="006F56F8" w:rsidRPr="008849E2" w:rsidRDefault="006F56F8" w:rsidP="006F56F8">
      <w:pPr>
        <w:rPr>
          <w:b/>
          <w:bCs/>
        </w:rPr>
      </w:pPr>
      <w:r w:rsidRPr="008849E2">
        <w:rPr>
          <w:b/>
          <w:bCs/>
        </w:rPr>
        <w:t xml:space="preserve">Additional Technical Information on WAIC systems:  </w:t>
      </w:r>
    </w:p>
    <w:p w14:paraId="35BD0C55" w14:textId="77777777" w:rsidR="006F56F8" w:rsidRPr="002E793D" w:rsidRDefault="006F56F8" w:rsidP="006F56F8">
      <w:pPr>
        <w:rPr>
          <w:bCs/>
          <w:highlight w:val="yellow"/>
        </w:rPr>
      </w:pPr>
    </w:p>
    <w:p w14:paraId="308EE65B" w14:textId="77777777" w:rsidR="006F56F8" w:rsidRPr="002E793D" w:rsidRDefault="006F56F8" w:rsidP="006F56F8">
      <w:pPr>
        <w:rPr>
          <w:b/>
          <w:bCs/>
        </w:rPr>
      </w:pPr>
      <w:r w:rsidRPr="002E793D">
        <w:rPr>
          <w:b/>
          <w:bCs/>
        </w:rPr>
        <w:t>WAIC Background</w:t>
      </w:r>
    </w:p>
    <w:p w14:paraId="752803DA" w14:textId="77777777" w:rsidR="006F56F8" w:rsidRPr="002E793D" w:rsidRDefault="006F56F8" w:rsidP="006F56F8"/>
    <w:p w14:paraId="1B28B763" w14:textId="77777777" w:rsidR="006F56F8" w:rsidRPr="002E793D" w:rsidRDefault="006F56F8" w:rsidP="006F56F8">
      <w:r w:rsidRPr="002E793D">
        <w:t xml:space="preserve">WAIC systems provide safety-related wireless communication over short distances between two or more points onboard a single aircraft. They </w:t>
      </w:r>
      <w:r>
        <w:t>are</w:t>
      </w:r>
      <w:r w:rsidRPr="002E793D">
        <w:t xml:space="preserve"> installed at various locations both within and </w:t>
      </w:r>
      <w:r>
        <w:t xml:space="preserve">on the </w:t>
      </w:r>
      <w:r w:rsidRPr="002E793D">
        <w:t xml:space="preserve">outside </w:t>
      </w:r>
      <w:r>
        <w:t xml:space="preserve">of </w:t>
      </w:r>
      <w:r w:rsidRPr="002E793D">
        <w:t>the aircraft</w:t>
      </w:r>
      <w:bookmarkStart w:id="1" w:name="_Hlk181703116"/>
      <w:r w:rsidRPr="002E793D">
        <w:t>, and operate during all phases of flight, including on the ground</w:t>
      </w:r>
      <w:bookmarkEnd w:id="1"/>
      <w:r>
        <w:t xml:space="preserve"> (as described in ITU-R Report M.2283-0)</w:t>
      </w:r>
      <w:r w:rsidRPr="002E793D">
        <w:t xml:space="preserve">.  WAIC systems do not provide air-to-ground, air-to-satellite, or air-to-air communications. They are only used for aircraft communications related to the safety and regularity of flight, allowing greater flexibility and redundancy to the existing internal aircraft wiring. One example of </w:t>
      </w:r>
      <w:r>
        <w:t xml:space="preserve">communications provided by </w:t>
      </w:r>
      <w:r w:rsidRPr="002E793D">
        <w:t xml:space="preserve">WAIC systems is sensor information used to monitor the health of an aircraft structure and critical systems, and to communicate this information to a central onboard entity.  </w:t>
      </w:r>
    </w:p>
    <w:p w14:paraId="041007BE" w14:textId="77777777" w:rsidR="006F56F8" w:rsidRPr="002E793D" w:rsidRDefault="006F56F8" w:rsidP="006F56F8"/>
    <w:p w14:paraId="7605AF08" w14:textId="77777777" w:rsidR="006F56F8" w:rsidRPr="002E793D" w:rsidRDefault="006F56F8" w:rsidP="006F56F8">
      <w:pPr>
        <w:rPr>
          <w:b/>
          <w:bCs/>
        </w:rPr>
      </w:pPr>
      <w:r w:rsidRPr="002E793D">
        <w:rPr>
          <w:b/>
          <w:bCs/>
        </w:rPr>
        <w:t>WAIC Technical Parameters</w:t>
      </w:r>
    </w:p>
    <w:p w14:paraId="5318A9C9" w14:textId="77777777" w:rsidR="006F56F8" w:rsidRPr="002E793D" w:rsidRDefault="006F56F8" w:rsidP="006F56F8"/>
    <w:p w14:paraId="743662CD" w14:textId="77777777" w:rsidR="006F56F8" w:rsidRDefault="006F56F8" w:rsidP="006F56F8">
      <w:pPr>
        <w:rPr>
          <w:bCs/>
        </w:rPr>
      </w:pPr>
      <w:r w:rsidRPr="002E793D">
        <w:rPr>
          <w:bCs/>
        </w:rPr>
        <w:t xml:space="preserve">In addition to the material provided in Doc. 5B/128, ICAO has compiled the below technical details (see </w:t>
      </w:r>
      <w:r>
        <w:rPr>
          <w:bCs/>
        </w:rPr>
        <w:t>T</w:t>
      </w:r>
      <w:r w:rsidRPr="002E793D">
        <w:rPr>
          <w:bCs/>
        </w:rPr>
        <w:t xml:space="preserve">able 1) using the applicable ITU Reports and Recommendations and </w:t>
      </w:r>
      <w:r>
        <w:rPr>
          <w:bCs/>
        </w:rPr>
        <w:t xml:space="preserve">upcoming </w:t>
      </w:r>
      <w:r w:rsidRPr="002E793D">
        <w:rPr>
          <w:bCs/>
        </w:rPr>
        <w:t>ICAO Standards and Recommended Practices (</w:t>
      </w:r>
      <w:r>
        <w:rPr>
          <w:bCs/>
        </w:rPr>
        <w:t>in the final stages of ICAO approval and expected for applicability in 2025</w:t>
      </w:r>
      <w:r w:rsidRPr="002E793D">
        <w:rPr>
          <w:bCs/>
        </w:rPr>
        <w:t xml:space="preserve">), regarding the operational and technical characteristics that would apply </w:t>
      </w:r>
      <w:r>
        <w:rPr>
          <w:bCs/>
        </w:rPr>
        <w:t>to</w:t>
      </w:r>
      <w:r w:rsidRPr="002E793D">
        <w:rPr>
          <w:bCs/>
        </w:rPr>
        <w:t xml:space="preserve"> WAIC systems.</w:t>
      </w:r>
    </w:p>
    <w:p w14:paraId="65794A0E" w14:textId="77777777" w:rsidR="006F56F8" w:rsidRDefault="006F56F8" w:rsidP="006F56F8">
      <w:pPr>
        <w:rPr>
          <w:bCs/>
        </w:rPr>
      </w:pPr>
    </w:p>
    <w:p w14:paraId="1A919E48" w14:textId="3386CC07" w:rsidR="006F56F8" w:rsidRDefault="006F56F8" w:rsidP="006F56F8">
      <w:pPr>
        <w:rPr>
          <w:bCs/>
        </w:rPr>
      </w:pPr>
      <w:r w:rsidRPr="00877305">
        <w:rPr>
          <w:bCs/>
        </w:rPr>
        <w:t>The technical characteristics presented in Table 1 should be utilized for conducting sharing studies, based on the following assumptions:</w:t>
      </w:r>
    </w:p>
    <w:p w14:paraId="29FB1B17" w14:textId="77777777" w:rsidR="006F56F8" w:rsidRDefault="006F56F8" w:rsidP="006F56F8">
      <w:pPr>
        <w:rPr>
          <w:bCs/>
          <w:highlight w:val="yellow"/>
        </w:rPr>
      </w:pPr>
    </w:p>
    <w:p w14:paraId="5F71F9CF" w14:textId="77777777" w:rsidR="006F56F8" w:rsidRPr="00877305" w:rsidRDefault="006F56F8" w:rsidP="006F56F8">
      <w:pPr>
        <w:pStyle w:val="ListParagraph"/>
        <w:numPr>
          <w:ilvl w:val="0"/>
          <w:numId w:val="7"/>
        </w:numPr>
        <w:rPr>
          <w:bCs/>
        </w:rPr>
      </w:pPr>
      <w:r w:rsidRPr="00877305">
        <w:rPr>
          <w:bCs/>
        </w:rPr>
        <w:t xml:space="preserve">Emitter abstraction: The </w:t>
      </w:r>
      <w:r>
        <w:rPr>
          <w:bCs/>
        </w:rPr>
        <w:t xml:space="preserve">aggregate </w:t>
      </w:r>
      <w:r w:rsidRPr="00877305">
        <w:rPr>
          <w:bCs/>
        </w:rPr>
        <w:t>emissions from all WAIC emitters onboard an aircraft (“Max. transmission power” in Table 1 below) can be represented by a single omnidirectional point source located at the geometrical center of the aircraft. This abstraction has been used in sharing studies contained in Report ITU-R M.2319 and is the basis for the definition of the maximum permissible e.i.r.p. level of a WAIC system as contained in the ICAO SARPs text.</w:t>
      </w:r>
    </w:p>
    <w:p w14:paraId="3289693E" w14:textId="77777777" w:rsidR="006F56F8" w:rsidRPr="00877305" w:rsidRDefault="006F56F8" w:rsidP="006F56F8">
      <w:pPr>
        <w:rPr>
          <w:bCs/>
        </w:rPr>
      </w:pPr>
    </w:p>
    <w:p w14:paraId="5C9750B4" w14:textId="77777777" w:rsidR="006F56F8" w:rsidRPr="00877305" w:rsidRDefault="006F56F8" w:rsidP="006F56F8">
      <w:pPr>
        <w:pStyle w:val="ListParagraph"/>
        <w:numPr>
          <w:ilvl w:val="0"/>
          <w:numId w:val="7"/>
        </w:numPr>
        <w:rPr>
          <w:bCs/>
        </w:rPr>
      </w:pPr>
      <w:r w:rsidRPr="00877305">
        <w:rPr>
          <w:bCs/>
        </w:rPr>
        <w:lastRenderedPageBreak/>
        <w:t>Receiver location: A receiving WAIC station, subject to potential interference caused by emissions from another radio system falling into the WAIC frequency band, is assumed to be located at a position on the aircraft that is closest to the transmit antenna of that radio system. This assumption ensures protection for WAIC receivers situated at the extremities of the aircraft, which are designed to reliably operate when exposed to a maximum interference power spectral density as contained in Table 1.</w:t>
      </w:r>
    </w:p>
    <w:p w14:paraId="33FFF9C9" w14:textId="77777777" w:rsidR="006F56F8" w:rsidRPr="00877305" w:rsidRDefault="006F56F8" w:rsidP="006F56F8">
      <w:pPr>
        <w:rPr>
          <w:bCs/>
        </w:rPr>
      </w:pPr>
    </w:p>
    <w:p w14:paraId="7E1E592D" w14:textId="705F0202" w:rsidR="006F56F8" w:rsidRPr="00877305" w:rsidRDefault="006F56F8" w:rsidP="006F56F8">
      <w:r w:rsidRPr="00877305">
        <w:rPr>
          <w:bCs/>
        </w:rPr>
        <w:t xml:space="preserve">WP 5B is encouraged by ICAO to confirm to WP 5D the need to use this information, noting that </w:t>
      </w:r>
      <w:r w:rsidRPr="00877305">
        <w:t xml:space="preserve">these protection criteria apply to all WAIC </w:t>
      </w:r>
      <w:r>
        <w:t xml:space="preserve">emitters and </w:t>
      </w:r>
      <w:r w:rsidRPr="00877305">
        <w:t>receivers operating both within and outside the aircraft.</w:t>
      </w:r>
      <w:r w:rsidR="006010EF" w:rsidRPr="006010EF">
        <w:t xml:space="preserve"> </w:t>
      </w:r>
      <w:r w:rsidR="006010EF">
        <w:t xml:space="preserve"> </w:t>
      </w:r>
      <w:r w:rsidR="002D7511" w:rsidRPr="002D7511">
        <w:rPr>
          <w:highlight w:val="yellow"/>
        </w:rPr>
        <w:t>[</w:t>
      </w:r>
      <w:r w:rsidR="006010EF" w:rsidRPr="002D7511">
        <w:rPr>
          <w:highlight w:val="yellow"/>
        </w:rPr>
        <w:t xml:space="preserve">The max. interference power spectral density and Front-end overload protection level </w:t>
      </w:r>
      <w:r w:rsidR="002D7511" w:rsidRPr="002D7511">
        <w:rPr>
          <w:highlight w:val="yellow"/>
        </w:rPr>
        <w:t>in Table 1</w:t>
      </w:r>
      <w:r w:rsidR="002D7511">
        <w:rPr>
          <w:highlight w:val="yellow"/>
        </w:rPr>
        <w:t xml:space="preserve"> </w:t>
      </w:r>
      <w:r w:rsidR="006010EF" w:rsidRPr="002D7511">
        <w:rPr>
          <w:highlight w:val="yellow"/>
        </w:rPr>
        <w:t>are</w:t>
      </w:r>
      <w:r w:rsidR="002D7511">
        <w:rPr>
          <w:highlight w:val="yellow"/>
        </w:rPr>
        <w:t xml:space="preserve"> both</w:t>
      </w:r>
      <w:r w:rsidR="006010EF" w:rsidRPr="002D7511">
        <w:rPr>
          <w:highlight w:val="yellow"/>
        </w:rPr>
        <w:t xml:space="preserve"> in-band protection criteria, and </w:t>
      </w:r>
      <w:r w:rsidR="002D7511" w:rsidRPr="002D7511">
        <w:rPr>
          <w:highlight w:val="yellow"/>
        </w:rPr>
        <w:t>adjacent</w:t>
      </w:r>
      <w:r w:rsidR="006010EF" w:rsidRPr="002D7511">
        <w:rPr>
          <w:highlight w:val="yellow"/>
        </w:rPr>
        <w:t xml:space="preserve"> band </w:t>
      </w:r>
      <w:r w:rsidR="002D7511" w:rsidRPr="002D7511">
        <w:rPr>
          <w:highlight w:val="yellow"/>
        </w:rPr>
        <w:t>protection criteria are included in the following paragraph</w:t>
      </w:r>
      <w:r w:rsidR="002D7511">
        <w:t>].</w:t>
      </w:r>
    </w:p>
    <w:p w14:paraId="6D500649" w14:textId="77777777" w:rsidR="006F56F8" w:rsidRDefault="006F56F8" w:rsidP="006F56F8"/>
    <w:p w14:paraId="60AC88C0" w14:textId="2BC13AA2" w:rsidR="006F56F8" w:rsidRDefault="006F56F8" w:rsidP="006F56F8">
      <w:r>
        <w:t>It is further noted that o</w:t>
      </w:r>
      <w:r w:rsidRPr="00877305">
        <w:t>wn-ship (</w:t>
      </w:r>
      <w:r>
        <w:t xml:space="preserve">or </w:t>
      </w:r>
      <w:r w:rsidRPr="00877305">
        <w:t>co-site) coexistence between systems installed on a given aircraft is handled by the aircraft certification process and is out of scope of any sharing studies carried out by ITU-R.</w:t>
      </w:r>
    </w:p>
    <w:p w14:paraId="5607051E" w14:textId="77777777" w:rsidR="006F56F8" w:rsidRPr="002E793D" w:rsidRDefault="006F56F8" w:rsidP="006F56F8"/>
    <w:p w14:paraId="665C21CB" w14:textId="77777777" w:rsidR="006F56F8" w:rsidRPr="002E793D" w:rsidRDefault="006F56F8" w:rsidP="006F56F8">
      <w:pPr>
        <w:jc w:val="center"/>
      </w:pPr>
      <w:r w:rsidRPr="002E793D">
        <w:t>Table 1: WAIC RF-Characteristics</w:t>
      </w:r>
    </w:p>
    <w:p w14:paraId="7789570A" w14:textId="77777777" w:rsidR="006F56F8" w:rsidRPr="002E793D" w:rsidRDefault="006F56F8" w:rsidP="006F56F8"/>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770"/>
        <w:gridCol w:w="1161"/>
        <w:gridCol w:w="992"/>
        <w:gridCol w:w="3953"/>
      </w:tblGrid>
      <w:tr w:rsidR="006F56F8" w:rsidRPr="002E793D" w14:paraId="49507AA2" w14:textId="77777777" w:rsidTr="00FA6492">
        <w:trPr>
          <w:trHeight w:val="411"/>
          <w:tblHeader/>
          <w:jc w:val="center"/>
        </w:trPr>
        <w:tc>
          <w:tcPr>
            <w:tcW w:w="2459" w:type="dxa"/>
            <w:vAlign w:val="center"/>
          </w:tcPr>
          <w:p w14:paraId="6ADD02DB" w14:textId="77777777" w:rsidR="006F56F8" w:rsidRPr="002E793D" w:rsidRDefault="006F56F8" w:rsidP="00FA6492">
            <w:pPr>
              <w:jc w:val="left"/>
              <w:rPr>
                <w:b/>
              </w:rPr>
            </w:pPr>
          </w:p>
        </w:tc>
        <w:tc>
          <w:tcPr>
            <w:tcW w:w="770" w:type="dxa"/>
            <w:vAlign w:val="center"/>
          </w:tcPr>
          <w:p w14:paraId="3BC37EE0" w14:textId="77777777" w:rsidR="006F56F8" w:rsidRPr="002E793D" w:rsidRDefault="006F56F8" w:rsidP="00FA6492">
            <w:pPr>
              <w:jc w:val="center"/>
              <w:rPr>
                <w:b/>
              </w:rPr>
            </w:pPr>
            <w:r w:rsidRPr="002E793D">
              <w:rPr>
                <w:b/>
              </w:rPr>
              <w:t>Value</w:t>
            </w:r>
          </w:p>
        </w:tc>
        <w:tc>
          <w:tcPr>
            <w:tcW w:w="1161" w:type="dxa"/>
            <w:vAlign w:val="center"/>
          </w:tcPr>
          <w:p w14:paraId="55E71FD4" w14:textId="77777777" w:rsidR="006F56F8" w:rsidRPr="002E793D" w:rsidRDefault="006F56F8" w:rsidP="00FA6492">
            <w:pPr>
              <w:jc w:val="center"/>
              <w:rPr>
                <w:b/>
              </w:rPr>
            </w:pPr>
            <w:r w:rsidRPr="002E793D">
              <w:rPr>
                <w:b/>
              </w:rPr>
              <w:t>Unit</w:t>
            </w:r>
          </w:p>
        </w:tc>
        <w:tc>
          <w:tcPr>
            <w:tcW w:w="992" w:type="dxa"/>
            <w:vAlign w:val="center"/>
          </w:tcPr>
          <w:p w14:paraId="1EBCFAA9" w14:textId="77777777" w:rsidR="006F56F8" w:rsidRPr="002E793D" w:rsidRDefault="006F56F8" w:rsidP="00FA6492">
            <w:pPr>
              <w:jc w:val="center"/>
              <w:rPr>
                <w:b/>
              </w:rPr>
            </w:pPr>
            <w:r w:rsidRPr="002E793D">
              <w:rPr>
                <w:b/>
              </w:rPr>
              <w:t>Symbol</w:t>
            </w:r>
          </w:p>
        </w:tc>
        <w:tc>
          <w:tcPr>
            <w:tcW w:w="3953" w:type="dxa"/>
            <w:vAlign w:val="center"/>
          </w:tcPr>
          <w:p w14:paraId="52E8D56C" w14:textId="77777777" w:rsidR="006F56F8" w:rsidRPr="002E793D" w:rsidRDefault="006F56F8" w:rsidP="00FA6492">
            <w:pPr>
              <w:jc w:val="center"/>
              <w:rPr>
                <w:b/>
              </w:rPr>
            </w:pPr>
            <w:r w:rsidRPr="002E793D">
              <w:rPr>
                <w:b/>
              </w:rPr>
              <w:t>Comment</w:t>
            </w:r>
            <w:r>
              <w:rPr>
                <w:b/>
              </w:rPr>
              <w:t>/Reference</w:t>
            </w:r>
          </w:p>
        </w:tc>
      </w:tr>
      <w:tr w:rsidR="006F56F8" w:rsidRPr="002E793D" w14:paraId="19EC2021" w14:textId="77777777" w:rsidTr="00FA6492">
        <w:trPr>
          <w:trHeight w:val="197"/>
          <w:jc w:val="center"/>
        </w:trPr>
        <w:tc>
          <w:tcPr>
            <w:tcW w:w="2459" w:type="dxa"/>
            <w:vAlign w:val="center"/>
          </w:tcPr>
          <w:p w14:paraId="2F7D6FFF" w14:textId="77777777" w:rsidR="006F56F8" w:rsidRPr="002E793D" w:rsidRDefault="006F56F8" w:rsidP="00FA6492">
            <w:pPr>
              <w:jc w:val="left"/>
              <w:rPr>
                <w:b/>
              </w:rPr>
            </w:pPr>
            <w:r w:rsidRPr="002E793D">
              <w:rPr>
                <w:b/>
              </w:rPr>
              <w:t>Transmitter</w:t>
            </w:r>
          </w:p>
        </w:tc>
        <w:tc>
          <w:tcPr>
            <w:tcW w:w="770" w:type="dxa"/>
            <w:vAlign w:val="center"/>
          </w:tcPr>
          <w:p w14:paraId="7A3E46A0" w14:textId="77777777" w:rsidR="006F56F8" w:rsidRPr="002E793D" w:rsidRDefault="006F56F8" w:rsidP="00FA6492">
            <w:pPr>
              <w:jc w:val="center"/>
            </w:pPr>
          </w:p>
        </w:tc>
        <w:tc>
          <w:tcPr>
            <w:tcW w:w="1161" w:type="dxa"/>
            <w:vAlign w:val="center"/>
          </w:tcPr>
          <w:p w14:paraId="422862C8" w14:textId="77777777" w:rsidR="006F56F8" w:rsidRPr="002E793D" w:rsidRDefault="006F56F8" w:rsidP="00FA6492">
            <w:pPr>
              <w:jc w:val="center"/>
            </w:pPr>
          </w:p>
        </w:tc>
        <w:tc>
          <w:tcPr>
            <w:tcW w:w="992" w:type="dxa"/>
            <w:vAlign w:val="center"/>
          </w:tcPr>
          <w:p w14:paraId="226279D6" w14:textId="77777777" w:rsidR="006F56F8" w:rsidRPr="002E793D" w:rsidRDefault="006F56F8" w:rsidP="00FA6492">
            <w:pPr>
              <w:jc w:val="center"/>
            </w:pPr>
          </w:p>
        </w:tc>
        <w:tc>
          <w:tcPr>
            <w:tcW w:w="3953" w:type="dxa"/>
            <w:vAlign w:val="center"/>
          </w:tcPr>
          <w:p w14:paraId="36E8BECA" w14:textId="77777777" w:rsidR="006F56F8" w:rsidRPr="002E793D" w:rsidRDefault="006F56F8" w:rsidP="00FA6492">
            <w:pPr>
              <w:jc w:val="left"/>
            </w:pPr>
          </w:p>
        </w:tc>
      </w:tr>
      <w:tr w:rsidR="006F56F8" w:rsidRPr="002E793D" w14:paraId="233AF050" w14:textId="77777777" w:rsidTr="00FA6492">
        <w:trPr>
          <w:trHeight w:val="859"/>
          <w:jc w:val="center"/>
        </w:trPr>
        <w:tc>
          <w:tcPr>
            <w:tcW w:w="2459" w:type="dxa"/>
            <w:vAlign w:val="center"/>
          </w:tcPr>
          <w:p w14:paraId="1299562D" w14:textId="77777777" w:rsidR="006F56F8" w:rsidRPr="002E793D" w:rsidRDefault="006F56F8" w:rsidP="00FA6492">
            <w:pPr>
              <w:jc w:val="left"/>
            </w:pPr>
            <w:r w:rsidRPr="002E793D">
              <w:t xml:space="preserve">Transmitter antenna gain </w:t>
            </w:r>
          </w:p>
        </w:tc>
        <w:tc>
          <w:tcPr>
            <w:tcW w:w="770" w:type="dxa"/>
            <w:vAlign w:val="center"/>
          </w:tcPr>
          <w:p w14:paraId="1F8BBB11" w14:textId="77777777" w:rsidR="006F56F8" w:rsidRPr="002E793D" w:rsidRDefault="006F56F8" w:rsidP="00FA6492">
            <w:pPr>
              <w:jc w:val="center"/>
            </w:pPr>
            <w:r w:rsidRPr="002E793D">
              <w:t>0</w:t>
            </w:r>
          </w:p>
        </w:tc>
        <w:tc>
          <w:tcPr>
            <w:tcW w:w="1161" w:type="dxa"/>
            <w:vAlign w:val="center"/>
          </w:tcPr>
          <w:p w14:paraId="4E942FED" w14:textId="77777777" w:rsidR="006F56F8" w:rsidRPr="002E793D" w:rsidRDefault="006F56F8" w:rsidP="00FA6492">
            <w:pPr>
              <w:jc w:val="center"/>
            </w:pPr>
            <w:r w:rsidRPr="002E793D">
              <w:t>dBi</w:t>
            </w:r>
          </w:p>
        </w:tc>
        <w:tc>
          <w:tcPr>
            <w:tcW w:w="992" w:type="dxa"/>
            <w:vAlign w:val="center"/>
          </w:tcPr>
          <w:p w14:paraId="25FF6C25" w14:textId="77777777" w:rsidR="006F56F8" w:rsidRPr="002E793D" w:rsidRDefault="006F56F8" w:rsidP="00FA6492">
            <w:pPr>
              <w:jc w:val="center"/>
              <w:rPr>
                <w:i/>
                <w:iCs/>
              </w:rPr>
            </w:pPr>
            <w:r w:rsidRPr="002E793D">
              <w:rPr>
                <w:i/>
                <w:iCs/>
              </w:rPr>
              <w:t>G</w:t>
            </w:r>
            <w:r w:rsidRPr="002E793D">
              <w:rPr>
                <w:vertAlign w:val="subscript"/>
              </w:rPr>
              <w:t>t</w:t>
            </w:r>
          </w:p>
        </w:tc>
        <w:tc>
          <w:tcPr>
            <w:tcW w:w="3953" w:type="dxa"/>
            <w:vAlign w:val="center"/>
          </w:tcPr>
          <w:p w14:paraId="52E48123" w14:textId="77777777" w:rsidR="006F56F8" w:rsidRPr="002E793D" w:rsidRDefault="006F56F8" w:rsidP="00FA6492">
            <w:pPr>
              <w:pStyle w:val="CommentText"/>
              <w:jc w:val="left"/>
            </w:pPr>
            <w:r w:rsidRPr="006C1B13">
              <w:rPr>
                <w:sz w:val="22"/>
                <w:szCs w:val="22"/>
              </w:rPr>
              <w:t>from Recommendation ITU-R M.2067-0, Table 1, column: “Low data rate system”</w:t>
            </w:r>
          </w:p>
        </w:tc>
      </w:tr>
      <w:tr w:rsidR="006F56F8" w:rsidRPr="002E793D" w14:paraId="1731D84E" w14:textId="77777777" w:rsidTr="00FA6492">
        <w:trPr>
          <w:trHeight w:val="197"/>
          <w:jc w:val="center"/>
        </w:trPr>
        <w:tc>
          <w:tcPr>
            <w:tcW w:w="2459" w:type="dxa"/>
            <w:vAlign w:val="center"/>
          </w:tcPr>
          <w:p w14:paraId="2721E350" w14:textId="77777777" w:rsidR="006F56F8" w:rsidRPr="002E793D" w:rsidRDefault="006F56F8" w:rsidP="00FA6492">
            <w:pPr>
              <w:jc w:val="left"/>
            </w:pPr>
            <w:r w:rsidRPr="002E793D">
              <w:t>Max. transmission power</w:t>
            </w:r>
          </w:p>
        </w:tc>
        <w:tc>
          <w:tcPr>
            <w:tcW w:w="770" w:type="dxa"/>
            <w:vAlign w:val="center"/>
          </w:tcPr>
          <w:p w14:paraId="5A1A3B05" w14:textId="77777777" w:rsidR="006F56F8" w:rsidRPr="002E793D" w:rsidRDefault="006F56F8" w:rsidP="00FA6492">
            <w:pPr>
              <w:jc w:val="center"/>
            </w:pPr>
            <w:r w:rsidRPr="002E793D">
              <w:t>-20</w:t>
            </w:r>
          </w:p>
        </w:tc>
        <w:tc>
          <w:tcPr>
            <w:tcW w:w="1161" w:type="dxa"/>
            <w:vAlign w:val="center"/>
          </w:tcPr>
          <w:p w14:paraId="3B57092E" w14:textId="77777777" w:rsidR="006F56F8" w:rsidRPr="002E793D" w:rsidRDefault="006F56F8" w:rsidP="00FA6492">
            <w:pPr>
              <w:jc w:val="center"/>
            </w:pPr>
            <w:r w:rsidRPr="002E793D">
              <w:t>dBm (e.i.r.p.)</w:t>
            </w:r>
          </w:p>
        </w:tc>
        <w:tc>
          <w:tcPr>
            <w:tcW w:w="992" w:type="dxa"/>
            <w:vAlign w:val="center"/>
          </w:tcPr>
          <w:p w14:paraId="150805CD" w14:textId="77777777" w:rsidR="006F56F8" w:rsidRPr="002E793D" w:rsidRDefault="006F56F8" w:rsidP="00FA6492">
            <w:pPr>
              <w:jc w:val="center"/>
            </w:pPr>
            <w:r w:rsidRPr="002E793D">
              <w:rPr>
                <w:i/>
                <w:iCs/>
              </w:rPr>
              <w:t>P</w:t>
            </w:r>
            <w:r w:rsidRPr="002E793D">
              <w:rPr>
                <w:vertAlign w:val="subscript"/>
              </w:rPr>
              <w:t>t</w:t>
            </w:r>
          </w:p>
        </w:tc>
        <w:tc>
          <w:tcPr>
            <w:tcW w:w="3953" w:type="dxa"/>
            <w:vAlign w:val="center"/>
          </w:tcPr>
          <w:p w14:paraId="6FD34603" w14:textId="77777777" w:rsidR="006F56F8" w:rsidRPr="002E793D" w:rsidRDefault="006F56F8" w:rsidP="00FA6492">
            <w:pPr>
              <w:jc w:val="left"/>
            </w:pPr>
            <w:r w:rsidRPr="005018AD">
              <w:t>This level is the power of the total aggregate emissions of all WAIC transmitters on board an aircraft from Report ITU-R M.2319-0, Table A-1.7</w:t>
            </w:r>
            <w:r>
              <w:t>,</w:t>
            </w:r>
            <w:r w:rsidRPr="005018AD">
              <w:t xml:space="preserve"> value for angle = 0°, assuming an isotopically radiating point source in accordance with ICAO SARPs requirement. It is also assumed to be the maximum power level of an individual transmitter.</w:t>
            </w:r>
          </w:p>
        </w:tc>
      </w:tr>
      <w:tr w:rsidR="006F56F8" w:rsidRPr="002E793D" w14:paraId="63FAC958" w14:textId="77777777" w:rsidTr="00FA6492">
        <w:trPr>
          <w:trHeight w:val="197"/>
          <w:jc w:val="center"/>
        </w:trPr>
        <w:tc>
          <w:tcPr>
            <w:tcW w:w="2459" w:type="dxa"/>
            <w:vAlign w:val="center"/>
          </w:tcPr>
          <w:p w14:paraId="6E43DB82" w14:textId="77777777" w:rsidR="006F56F8" w:rsidRPr="002E793D" w:rsidRDefault="006F56F8" w:rsidP="00FA6492">
            <w:pPr>
              <w:jc w:val="left"/>
              <w:rPr>
                <w:b/>
              </w:rPr>
            </w:pPr>
            <w:r w:rsidRPr="002E793D">
              <w:t>3 dB emission bandwidth</w:t>
            </w:r>
          </w:p>
        </w:tc>
        <w:tc>
          <w:tcPr>
            <w:tcW w:w="770" w:type="dxa"/>
            <w:vAlign w:val="center"/>
          </w:tcPr>
          <w:p w14:paraId="3C490CC1" w14:textId="77777777" w:rsidR="006F56F8" w:rsidRPr="002E793D" w:rsidRDefault="006F56F8" w:rsidP="00FA6492">
            <w:pPr>
              <w:jc w:val="center"/>
            </w:pPr>
            <w:r w:rsidRPr="002E793D">
              <w:t>2.6</w:t>
            </w:r>
          </w:p>
        </w:tc>
        <w:tc>
          <w:tcPr>
            <w:tcW w:w="1161" w:type="dxa"/>
            <w:vAlign w:val="center"/>
          </w:tcPr>
          <w:p w14:paraId="597B0BC6" w14:textId="77777777" w:rsidR="006F56F8" w:rsidRPr="002E793D" w:rsidRDefault="006F56F8" w:rsidP="00FA6492">
            <w:pPr>
              <w:jc w:val="center"/>
            </w:pPr>
            <w:r w:rsidRPr="002E793D">
              <w:t>MHz</w:t>
            </w:r>
          </w:p>
        </w:tc>
        <w:tc>
          <w:tcPr>
            <w:tcW w:w="992" w:type="dxa"/>
            <w:vAlign w:val="center"/>
          </w:tcPr>
          <w:p w14:paraId="607F8597" w14:textId="77777777" w:rsidR="006F56F8" w:rsidRPr="002E793D" w:rsidRDefault="006F56F8" w:rsidP="00FA6492">
            <w:pPr>
              <w:jc w:val="center"/>
            </w:pPr>
            <w:r w:rsidRPr="002E793D">
              <w:rPr>
                <w:i/>
                <w:iCs/>
              </w:rPr>
              <w:t>B</w:t>
            </w:r>
            <w:r w:rsidRPr="002E793D">
              <w:rPr>
                <w:vertAlign w:val="subscript"/>
              </w:rPr>
              <w:t>t</w:t>
            </w:r>
          </w:p>
        </w:tc>
        <w:tc>
          <w:tcPr>
            <w:tcW w:w="3953" w:type="dxa"/>
            <w:vAlign w:val="center"/>
          </w:tcPr>
          <w:p w14:paraId="1734E9D2" w14:textId="77777777" w:rsidR="006F56F8" w:rsidRPr="006C1B13" w:rsidRDefault="006F56F8" w:rsidP="00FA6492">
            <w:pPr>
              <w:pStyle w:val="CommentText"/>
              <w:jc w:val="left"/>
              <w:rPr>
                <w:sz w:val="22"/>
                <w:szCs w:val="22"/>
              </w:rPr>
            </w:pPr>
            <w:r>
              <w:rPr>
                <w:sz w:val="22"/>
                <w:szCs w:val="22"/>
              </w:rPr>
              <w:t xml:space="preserve">from </w:t>
            </w:r>
            <w:r w:rsidRPr="006C1B13">
              <w:rPr>
                <w:sz w:val="22"/>
                <w:szCs w:val="22"/>
              </w:rPr>
              <w:t>Recommendation ITU-R M.2067-0, Table 1, column: “Low data rate system”</w:t>
            </w:r>
          </w:p>
        </w:tc>
      </w:tr>
      <w:tr w:rsidR="006F56F8" w:rsidRPr="002E793D" w14:paraId="3404C5FD" w14:textId="77777777" w:rsidTr="00FA6492">
        <w:trPr>
          <w:trHeight w:val="197"/>
          <w:jc w:val="center"/>
        </w:trPr>
        <w:tc>
          <w:tcPr>
            <w:tcW w:w="2459" w:type="dxa"/>
            <w:vAlign w:val="center"/>
          </w:tcPr>
          <w:p w14:paraId="270B2DAE" w14:textId="77777777" w:rsidR="006F56F8" w:rsidRPr="002E793D" w:rsidRDefault="006F56F8" w:rsidP="00FA6492">
            <w:pPr>
              <w:jc w:val="left"/>
              <w:rPr>
                <w:b/>
              </w:rPr>
            </w:pPr>
            <w:r w:rsidRPr="002E793D">
              <w:rPr>
                <w:b/>
              </w:rPr>
              <w:t>Receiver</w:t>
            </w:r>
          </w:p>
        </w:tc>
        <w:tc>
          <w:tcPr>
            <w:tcW w:w="770" w:type="dxa"/>
            <w:vAlign w:val="center"/>
          </w:tcPr>
          <w:p w14:paraId="72E43796" w14:textId="77777777" w:rsidR="006F56F8" w:rsidRPr="002E793D" w:rsidRDefault="006F56F8" w:rsidP="00FA6492">
            <w:pPr>
              <w:jc w:val="center"/>
            </w:pPr>
          </w:p>
        </w:tc>
        <w:tc>
          <w:tcPr>
            <w:tcW w:w="1161" w:type="dxa"/>
            <w:vAlign w:val="center"/>
          </w:tcPr>
          <w:p w14:paraId="38356B5B" w14:textId="77777777" w:rsidR="006F56F8" w:rsidRPr="002E793D" w:rsidRDefault="006F56F8" w:rsidP="00FA6492">
            <w:pPr>
              <w:jc w:val="center"/>
            </w:pPr>
          </w:p>
        </w:tc>
        <w:tc>
          <w:tcPr>
            <w:tcW w:w="992" w:type="dxa"/>
            <w:vAlign w:val="center"/>
          </w:tcPr>
          <w:p w14:paraId="74645141" w14:textId="77777777" w:rsidR="006F56F8" w:rsidRPr="002E793D" w:rsidRDefault="006F56F8" w:rsidP="00FA6492">
            <w:pPr>
              <w:jc w:val="center"/>
            </w:pPr>
          </w:p>
        </w:tc>
        <w:tc>
          <w:tcPr>
            <w:tcW w:w="3953" w:type="dxa"/>
            <w:vAlign w:val="center"/>
          </w:tcPr>
          <w:p w14:paraId="478E2A97" w14:textId="77777777" w:rsidR="006F56F8" w:rsidRPr="002E793D" w:rsidRDefault="006F56F8" w:rsidP="00FA6492">
            <w:pPr>
              <w:jc w:val="left"/>
            </w:pPr>
          </w:p>
        </w:tc>
      </w:tr>
      <w:tr w:rsidR="006F56F8" w:rsidRPr="002E793D" w14:paraId="182128C9" w14:textId="77777777" w:rsidTr="00FA6492">
        <w:trPr>
          <w:trHeight w:val="197"/>
          <w:jc w:val="center"/>
        </w:trPr>
        <w:tc>
          <w:tcPr>
            <w:tcW w:w="2459" w:type="dxa"/>
            <w:vAlign w:val="center"/>
          </w:tcPr>
          <w:p w14:paraId="362C3A4D" w14:textId="77777777" w:rsidR="006F56F8" w:rsidRPr="002E793D" w:rsidRDefault="006F56F8" w:rsidP="00FA6492">
            <w:pPr>
              <w:jc w:val="left"/>
            </w:pPr>
            <w:r w:rsidRPr="002E793D">
              <w:t>Receiver antenna gain</w:t>
            </w:r>
          </w:p>
        </w:tc>
        <w:tc>
          <w:tcPr>
            <w:tcW w:w="770" w:type="dxa"/>
            <w:vAlign w:val="center"/>
          </w:tcPr>
          <w:p w14:paraId="59C56913" w14:textId="77777777" w:rsidR="006F56F8" w:rsidRPr="002E793D" w:rsidRDefault="006F56F8" w:rsidP="00FA6492">
            <w:pPr>
              <w:jc w:val="center"/>
            </w:pPr>
            <w:r w:rsidRPr="002E793D">
              <w:t>0</w:t>
            </w:r>
          </w:p>
        </w:tc>
        <w:tc>
          <w:tcPr>
            <w:tcW w:w="1161" w:type="dxa"/>
            <w:vAlign w:val="center"/>
          </w:tcPr>
          <w:p w14:paraId="055CD439" w14:textId="77777777" w:rsidR="006F56F8" w:rsidRPr="002E793D" w:rsidRDefault="006F56F8" w:rsidP="00FA6492">
            <w:pPr>
              <w:jc w:val="center"/>
            </w:pPr>
            <w:r w:rsidRPr="002E793D">
              <w:t>dBi</w:t>
            </w:r>
          </w:p>
        </w:tc>
        <w:tc>
          <w:tcPr>
            <w:tcW w:w="992" w:type="dxa"/>
            <w:vAlign w:val="center"/>
          </w:tcPr>
          <w:p w14:paraId="55464BC6" w14:textId="77777777" w:rsidR="006F56F8" w:rsidRPr="002E793D" w:rsidRDefault="006F56F8" w:rsidP="00FA6492">
            <w:pPr>
              <w:jc w:val="center"/>
            </w:pPr>
            <w:r w:rsidRPr="002E793D">
              <w:rPr>
                <w:i/>
                <w:iCs/>
              </w:rPr>
              <w:t>G</w:t>
            </w:r>
            <w:r w:rsidRPr="002E793D">
              <w:rPr>
                <w:vertAlign w:val="subscript"/>
              </w:rPr>
              <w:t>r</w:t>
            </w:r>
          </w:p>
        </w:tc>
        <w:tc>
          <w:tcPr>
            <w:tcW w:w="3953" w:type="dxa"/>
            <w:vAlign w:val="center"/>
          </w:tcPr>
          <w:p w14:paraId="04D5C632" w14:textId="77777777" w:rsidR="006F56F8" w:rsidRPr="002E793D" w:rsidRDefault="006F56F8" w:rsidP="00FA6492">
            <w:pPr>
              <w:pStyle w:val="CommentText"/>
              <w:jc w:val="left"/>
            </w:pPr>
            <w:r>
              <w:rPr>
                <w:sz w:val="22"/>
                <w:szCs w:val="22"/>
              </w:rPr>
              <w:t xml:space="preserve">from </w:t>
            </w:r>
            <w:r w:rsidRPr="006C1B13">
              <w:rPr>
                <w:sz w:val="22"/>
                <w:szCs w:val="22"/>
              </w:rPr>
              <w:t>Recommendation ITU-R M.2067-0, Table 1, column: “Low data rate system”</w:t>
            </w:r>
          </w:p>
        </w:tc>
      </w:tr>
      <w:tr w:rsidR="006F56F8" w:rsidRPr="002E793D" w14:paraId="38DBF21B" w14:textId="77777777" w:rsidTr="00FA6492">
        <w:trPr>
          <w:trHeight w:val="197"/>
          <w:jc w:val="center"/>
        </w:trPr>
        <w:tc>
          <w:tcPr>
            <w:tcW w:w="2459" w:type="dxa"/>
            <w:vAlign w:val="center"/>
          </w:tcPr>
          <w:p w14:paraId="4B265879" w14:textId="77777777" w:rsidR="006F56F8" w:rsidRPr="002E793D" w:rsidRDefault="006F56F8" w:rsidP="00FA6492">
            <w:pPr>
              <w:jc w:val="left"/>
            </w:pPr>
            <w:r w:rsidRPr="002E793D">
              <w:t>Receiver IF-bandwidth</w:t>
            </w:r>
          </w:p>
        </w:tc>
        <w:tc>
          <w:tcPr>
            <w:tcW w:w="770" w:type="dxa"/>
            <w:vAlign w:val="center"/>
          </w:tcPr>
          <w:p w14:paraId="191CEF4E" w14:textId="77777777" w:rsidR="006F56F8" w:rsidRPr="002E793D" w:rsidRDefault="006F56F8" w:rsidP="00FA6492">
            <w:pPr>
              <w:jc w:val="center"/>
            </w:pPr>
            <w:r w:rsidRPr="002E793D">
              <w:t>2.6</w:t>
            </w:r>
          </w:p>
        </w:tc>
        <w:tc>
          <w:tcPr>
            <w:tcW w:w="1161" w:type="dxa"/>
            <w:vAlign w:val="center"/>
          </w:tcPr>
          <w:p w14:paraId="0615328B" w14:textId="77777777" w:rsidR="006F56F8" w:rsidRPr="002E793D" w:rsidRDefault="006F56F8" w:rsidP="00FA6492">
            <w:pPr>
              <w:jc w:val="center"/>
            </w:pPr>
            <w:r w:rsidRPr="002E793D">
              <w:t>MHz</w:t>
            </w:r>
          </w:p>
        </w:tc>
        <w:tc>
          <w:tcPr>
            <w:tcW w:w="992" w:type="dxa"/>
            <w:vAlign w:val="center"/>
          </w:tcPr>
          <w:p w14:paraId="7640C29A" w14:textId="77777777" w:rsidR="006F56F8" w:rsidRPr="002E793D" w:rsidRDefault="006F56F8" w:rsidP="00FA6492">
            <w:pPr>
              <w:jc w:val="center"/>
            </w:pPr>
            <w:r w:rsidRPr="002E793D">
              <w:rPr>
                <w:i/>
                <w:iCs/>
              </w:rPr>
              <w:t>B</w:t>
            </w:r>
            <w:r w:rsidRPr="002E793D">
              <w:rPr>
                <w:vertAlign w:val="subscript"/>
              </w:rPr>
              <w:t>r</w:t>
            </w:r>
          </w:p>
        </w:tc>
        <w:tc>
          <w:tcPr>
            <w:tcW w:w="3953" w:type="dxa"/>
            <w:vAlign w:val="center"/>
          </w:tcPr>
          <w:p w14:paraId="2D76926C" w14:textId="77777777" w:rsidR="006F56F8" w:rsidRPr="002E793D" w:rsidRDefault="006F56F8" w:rsidP="00FA6492">
            <w:pPr>
              <w:jc w:val="left"/>
            </w:pPr>
            <w:r w:rsidRPr="002E793D">
              <w:t xml:space="preserve">from </w:t>
            </w:r>
            <w:r w:rsidRPr="006C1B13">
              <w:t>Recommendation ITU-R M.2067-0, Table 1, column: “Low data rate system”</w:t>
            </w:r>
          </w:p>
        </w:tc>
      </w:tr>
      <w:tr w:rsidR="006F56F8" w:rsidRPr="002E793D" w14:paraId="0A051125" w14:textId="77777777" w:rsidTr="00FA6492">
        <w:trPr>
          <w:trHeight w:val="197"/>
          <w:jc w:val="center"/>
        </w:trPr>
        <w:tc>
          <w:tcPr>
            <w:tcW w:w="2459" w:type="dxa"/>
            <w:vAlign w:val="center"/>
          </w:tcPr>
          <w:p w14:paraId="68E3CA7A" w14:textId="77777777" w:rsidR="006F56F8" w:rsidRPr="002E793D" w:rsidRDefault="006F56F8" w:rsidP="00FA6492">
            <w:pPr>
              <w:jc w:val="left"/>
            </w:pPr>
            <w:r w:rsidRPr="002E793D">
              <w:t>Receiver noise figure</w:t>
            </w:r>
          </w:p>
        </w:tc>
        <w:tc>
          <w:tcPr>
            <w:tcW w:w="770" w:type="dxa"/>
            <w:vAlign w:val="center"/>
          </w:tcPr>
          <w:p w14:paraId="05DB8DE7" w14:textId="77777777" w:rsidR="006F56F8" w:rsidRPr="002E793D" w:rsidRDefault="006F56F8" w:rsidP="00FA6492">
            <w:pPr>
              <w:jc w:val="center"/>
            </w:pPr>
            <w:r w:rsidRPr="002E793D">
              <w:t>8</w:t>
            </w:r>
          </w:p>
        </w:tc>
        <w:tc>
          <w:tcPr>
            <w:tcW w:w="1161" w:type="dxa"/>
            <w:vAlign w:val="center"/>
          </w:tcPr>
          <w:p w14:paraId="52DF99C1" w14:textId="77777777" w:rsidR="006F56F8" w:rsidRPr="002E793D" w:rsidRDefault="006F56F8" w:rsidP="00FA6492">
            <w:pPr>
              <w:jc w:val="center"/>
            </w:pPr>
            <w:r w:rsidRPr="002E793D">
              <w:t>dB</w:t>
            </w:r>
          </w:p>
        </w:tc>
        <w:tc>
          <w:tcPr>
            <w:tcW w:w="992" w:type="dxa"/>
            <w:vAlign w:val="center"/>
          </w:tcPr>
          <w:p w14:paraId="671A5BD9" w14:textId="77777777" w:rsidR="006F56F8" w:rsidRPr="002E793D" w:rsidRDefault="006F56F8" w:rsidP="00FA6492">
            <w:pPr>
              <w:jc w:val="center"/>
              <w:rPr>
                <w:i/>
                <w:iCs/>
              </w:rPr>
            </w:pPr>
            <w:r w:rsidRPr="002E793D">
              <w:rPr>
                <w:i/>
                <w:iCs/>
              </w:rPr>
              <w:t>NF</w:t>
            </w:r>
          </w:p>
        </w:tc>
        <w:tc>
          <w:tcPr>
            <w:tcW w:w="3953" w:type="dxa"/>
            <w:vAlign w:val="center"/>
          </w:tcPr>
          <w:p w14:paraId="794292C2" w14:textId="77777777" w:rsidR="006F56F8" w:rsidRPr="002E793D" w:rsidRDefault="006F56F8" w:rsidP="00FA6492">
            <w:pPr>
              <w:jc w:val="left"/>
            </w:pPr>
            <w:r>
              <w:t xml:space="preserve">2dB </w:t>
            </w:r>
            <w:r w:rsidRPr="002E793D">
              <w:t xml:space="preserve">better than </w:t>
            </w:r>
            <w:r w:rsidRPr="007971C5">
              <w:t>Recommendation ITU-R M.2067-0, Table 1, column: “Low data rate system”</w:t>
            </w:r>
          </w:p>
        </w:tc>
      </w:tr>
      <w:tr w:rsidR="006F56F8" w:rsidRPr="002E793D" w14:paraId="08374A41" w14:textId="77777777" w:rsidTr="00FA6492">
        <w:trPr>
          <w:trHeight w:val="197"/>
          <w:jc w:val="center"/>
        </w:trPr>
        <w:tc>
          <w:tcPr>
            <w:tcW w:w="2459" w:type="dxa"/>
            <w:vAlign w:val="center"/>
          </w:tcPr>
          <w:p w14:paraId="7F6F64DF" w14:textId="77777777" w:rsidR="006F56F8" w:rsidRPr="002E793D" w:rsidRDefault="006F56F8" w:rsidP="00FA6492">
            <w:pPr>
              <w:jc w:val="left"/>
            </w:pPr>
            <w:r w:rsidRPr="002E793D">
              <w:t xml:space="preserve">Thermal noise </w:t>
            </w:r>
            <w:r>
              <w:t>power</w:t>
            </w:r>
            <w:r w:rsidRPr="002E793D">
              <w:t xml:space="preserve"> (kTB)</w:t>
            </w:r>
          </w:p>
        </w:tc>
        <w:tc>
          <w:tcPr>
            <w:tcW w:w="770" w:type="dxa"/>
            <w:vAlign w:val="center"/>
          </w:tcPr>
          <w:p w14:paraId="6F7DB432" w14:textId="77777777" w:rsidR="006F56F8" w:rsidRPr="002E793D" w:rsidRDefault="006F56F8" w:rsidP="00FA6492">
            <w:pPr>
              <w:jc w:val="center"/>
            </w:pPr>
            <w:r w:rsidRPr="002E793D">
              <w:t>-110</w:t>
            </w:r>
          </w:p>
        </w:tc>
        <w:tc>
          <w:tcPr>
            <w:tcW w:w="1161" w:type="dxa"/>
            <w:vAlign w:val="center"/>
          </w:tcPr>
          <w:p w14:paraId="4476E5AA" w14:textId="77777777" w:rsidR="006F56F8" w:rsidRPr="002E793D" w:rsidRDefault="006F56F8" w:rsidP="00FA6492">
            <w:pPr>
              <w:jc w:val="center"/>
            </w:pPr>
            <w:r w:rsidRPr="002E793D">
              <w:t>dBm</w:t>
            </w:r>
          </w:p>
        </w:tc>
        <w:tc>
          <w:tcPr>
            <w:tcW w:w="992" w:type="dxa"/>
            <w:vAlign w:val="center"/>
          </w:tcPr>
          <w:p w14:paraId="20557C35" w14:textId="77777777" w:rsidR="006F56F8" w:rsidRPr="002E793D" w:rsidRDefault="006F56F8" w:rsidP="00FA6492">
            <w:pPr>
              <w:jc w:val="center"/>
              <w:rPr>
                <w:i/>
                <w:iCs/>
              </w:rPr>
            </w:pPr>
            <w:r>
              <w:rPr>
                <w:i/>
                <w:iCs/>
              </w:rPr>
              <w:t>P</w:t>
            </w:r>
            <w:r w:rsidRPr="00F6605D">
              <w:rPr>
                <w:vertAlign w:val="subscript"/>
              </w:rPr>
              <w:t>N</w:t>
            </w:r>
          </w:p>
        </w:tc>
        <w:tc>
          <w:tcPr>
            <w:tcW w:w="3953" w:type="dxa"/>
            <w:vAlign w:val="center"/>
          </w:tcPr>
          <w:p w14:paraId="0A8AC1BE" w14:textId="77777777" w:rsidR="006F56F8" w:rsidRPr="002E793D" w:rsidRDefault="006F56F8" w:rsidP="00FA6492">
            <w:pPr>
              <w:jc w:val="left"/>
            </w:pPr>
            <w:r w:rsidRPr="002E793D">
              <w:t>from Report ITU-R M.2283-0, Table 6</w:t>
            </w:r>
          </w:p>
        </w:tc>
      </w:tr>
      <w:tr w:rsidR="006F56F8" w:rsidRPr="002E793D" w14:paraId="6340B74A" w14:textId="77777777" w:rsidTr="00FA6492">
        <w:trPr>
          <w:trHeight w:val="197"/>
          <w:jc w:val="center"/>
        </w:trPr>
        <w:tc>
          <w:tcPr>
            <w:tcW w:w="2459" w:type="dxa"/>
            <w:vAlign w:val="center"/>
          </w:tcPr>
          <w:p w14:paraId="4C2843E1" w14:textId="77777777" w:rsidR="006F56F8" w:rsidRPr="002E793D" w:rsidRDefault="006F56F8" w:rsidP="00FA6492">
            <w:pPr>
              <w:jc w:val="left"/>
            </w:pPr>
            <w:bookmarkStart w:id="2" w:name="_Hlk189816275"/>
            <w:r w:rsidRPr="002E793D">
              <w:t>Max. interference power spectral density</w:t>
            </w:r>
            <w:bookmarkEnd w:id="2"/>
          </w:p>
        </w:tc>
        <w:tc>
          <w:tcPr>
            <w:tcW w:w="770" w:type="dxa"/>
            <w:vAlign w:val="center"/>
          </w:tcPr>
          <w:p w14:paraId="3FC0E548" w14:textId="77777777" w:rsidR="006F56F8" w:rsidRPr="002E793D" w:rsidRDefault="006F56F8" w:rsidP="00FA6492">
            <w:pPr>
              <w:jc w:val="center"/>
            </w:pPr>
            <w:r w:rsidRPr="002E793D">
              <w:t>-120</w:t>
            </w:r>
          </w:p>
        </w:tc>
        <w:tc>
          <w:tcPr>
            <w:tcW w:w="1161" w:type="dxa"/>
            <w:vAlign w:val="center"/>
          </w:tcPr>
          <w:p w14:paraId="6628CD20" w14:textId="77777777" w:rsidR="006F56F8" w:rsidRPr="002E793D" w:rsidRDefault="006F56F8" w:rsidP="00FA6492">
            <w:pPr>
              <w:jc w:val="center"/>
            </w:pPr>
            <w:r w:rsidRPr="002E793D">
              <w:t>dBm/MHz</w:t>
            </w:r>
          </w:p>
        </w:tc>
        <w:tc>
          <w:tcPr>
            <w:tcW w:w="992" w:type="dxa"/>
            <w:vAlign w:val="center"/>
          </w:tcPr>
          <w:p w14:paraId="465239E3" w14:textId="77777777" w:rsidR="006F56F8" w:rsidRPr="002E793D" w:rsidRDefault="006F56F8" w:rsidP="00FA6492">
            <w:pPr>
              <w:jc w:val="center"/>
            </w:pPr>
            <w:r>
              <w:rPr>
                <w:i/>
                <w:iCs/>
              </w:rPr>
              <w:t>SD</w:t>
            </w:r>
            <w:r w:rsidRPr="005018AD">
              <w:rPr>
                <w:vertAlign w:val="subscript"/>
              </w:rPr>
              <w:t>I</w:t>
            </w:r>
          </w:p>
        </w:tc>
        <w:tc>
          <w:tcPr>
            <w:tcW w:w="3953" w:type="dxa"/>
            <w:vAlign w:val="center"/>
          </w:tcPr>
          <w:p w14:paraId="5B839D91" w14:textId="77777777" w:rsidR="006F56F8" w:rsidRPr="002E793D" w:rsidRDefault="006F56F8" w:rsidP="00FA6492">
            <w:pPr>
              <w:jc w:val="left"/>
            </w:pPr>
            <w:r>
              <w:t>in accordance with ICAO SARPs requirement</w:t>
            </w:r>
          </w:p>
        </w:tc>
      </w:tr>
      <w:tr w:rsidR="006F56F8" w:rsidRPr="002E793D" w14:paraId="4693DF45" w14:textId="77777777" w:rsidTr="00FA6492">
        <w:trPr>
          <w:trHeight w:val="197"/>
          <w:jc w:val="center"/>
        </w:trPr>
        <w:tc>
          <w:tcPr>
            <w:tcW w:w="2459" w:type="dxa"/>
            <w:vAlign w:val="center"/>
          </w:tcPr>
          <w:p w14:paraId="44C47623" w14:textId="77777777" w:rsidR="006F56F8" w:rsidRPr="002E793D" w:rsidRDefault="006F56F8" w:rsidP="00FA6492">
            <w:pPr>
              <w:jc w:val="left"/>
            </w:pPr>
            <w:r w:rsidRPr="002E793D">
              <w:t>Max. interference power</w:t>
            </w:r>
          </w:p>
        </w:tc>
        <w:tc>
          <w:tcPr>
            <w:tcW w:w="770" w:type="dxa"/>
            <w:vAlign w:val="center"/>
          </w:tcPr>
          <w:p w14:paraId="3FF4F7E7" w14:textId="77777777" w:rsidR="006F56F8" w:rsidRPr="002E793D" w:rsidRDefault="006F56F8" w:rsidP="00FA6492">
            <w:pPr>
              <w:jc w:val="center"/>
            </w:pPr>
            <w:r w:rsidRPr="002E793D">
              <w:t>-116</w:t>
            </w:r>
          </w:p>
        </w:tc>
        <w:tc>
          <w:tcPr>
            <w:tcW w:w="1161" w:type="dxa"/>
            <w:vAlign w:val="center"/>
          </w:tcPr>
          <w:p w14:paraId="33D734EE" w14:textId="77777777" w:rsidR="006F56F8" w:rsidRPr="002E793D" w:rsidRDefault="006F56F8" w:rsidP="00FA6492">
            <w:pPr>
              <w:jc w:val="center"/>
            </w:pPr>
            <w:r w:rsidRPr="002E793D">
              <w:t>dBm</w:t>
            </w:r>
          </w:p>
        </w:tc>
        <w:tc>
          <w:tcPr>
            <w:tcW w:w="992" w:type="dxa"/>
            <w:vAlign w:val="center"/>
          </w:tcPr>
          <w:p w14:paraId="62166A65" w14:textId="77777777" w:rsidR="006F56F8" w:rsidRPr="002E793D" w:rsidRDefault="006F56F8" w:rsidP="00FA6492">
            <w:pPr>
              <w:jc w:val="center"/>
              <w:rPr>
                <w:i/>
                <w:iCs/>
              </w:rPr>
            </w:pPr>
            <w:r>
              <w:rPr>
                <w:i/>
                <w:iCs/>
              </w:rPr>
              <w:t>P</w:t>
            </w:r>
            <w:r w:rsidRPr="005018AD">
              <w:rPr>
                <w:vertAlign w:val="subscript"/>
              </w:rPr>
              <w:t>I</w:t>
            </w:r>
          </w:p>
        </w:tc>
        <w:tc>
          <w:tcPr>
            <w:tcW w:w="3953" w:type="dxa"/>
            <w:vAlign w:val="center"/>
          </w:tcPr>
          <w:p w14:paraId="10FCA007" w14:textId="77777777" w:rsidR="006F56F8" w:rsidRPr="002E793D" w:rsidRDefault="006F56F8" w:rsidP="00FA6492">
            <w:pPr>
              <w:jc w:val="left"/>
            </w:pPr>
            <w:r>
              <w:rPr>
                <w:i/>
                <w:iCs/>
              </w:rPr>
              <w:t>P</w:t>
            </w:r>
            <w:r w:rsidRPr="002E486A">
              <w:rPr>
                <w:vertAlign w:val="subscript"/>
              </w:rPr>
              <w:t>I</w:t>
            </w:r>
            <w:r w:rsidRPr="002E793D">
              <w:t xml:space="preserve"> = </w:t>
            </w:r>
            <w:r w:rsidRPr="002E486A">
              <w:rPr>
                <w:i/>
                <w:iCs/>
              </w:rPr>
              <w:t>SD</w:t>
            </w:r>
            <w:r w:rsidRPr="002E486A">
              <w:rPr>
                <w:vertAlign w:val="subscript"/>
              </w:rPr>
              <w:t>I</w:t>
            </w:r>
            <w:r w:rsidRPr="002E793D">
              <w:t>+10log(</w:t>
            </w:r>
            <w:r w:rsidRPr="002E793D">
              <w:rPr>
                <w:i/>
                <w:iCs/>
              </w:rPr>
              <w:t>B</w:t>
            </w:r>
            <w:r w:rsidRPr="002E793D">
              <w:rPr>
                <w:vertAlign w:val="subscript"/>
              </w:rPr>
              <w:t>r</w:t>
            </w:r>
            <w:r w:rsidRPr="002E793D">
              <w:t>)</w:t>
            </w:r>
          </w:p>
        </w:tc>
      </w:tr>
      <w:tr w:rsidR="006F56F8" w:rsidRPr="002E793D" w14:paraId="46145723" w14:textId="77777777" w:rsidTr="00FA6492">
        <w:trPr>
          <w:trHeight w:val="197"/>
          <w:jc w:val="center"/>
        </w:trPr>
        <w:tc>
          <w:tcPr>
            <w:tcW w:w="2459" w:type="dxa"/>
            <w:vAlign w:val="center"/>
          </w:tcPr>
          <w:p w14:paraId="31E932C8" w14:textId="77777777" w:rsidR="006F56F8" w:rsidRPr="002E793D" w:rsidRDefault="006F56F8" w:rsidP="00FA6492">
            <w:pPr>
              <w:jc w:val="left"/>
            </w:pPr>
            <w:r w:rsidRPr="002E793D">
              <w:lastRenderedPageBreak/>
              <w:t>Combined noise and interference power</w:t>
            </w:r>
            <w:r>
              <w:t xml:space="preserve"> at the receiver</w:t>
            </w:r>
          </w:p>
        </w:tc>
        <w:tc>
          <w:tcPr>
            <w:tcW w:w="770" w:type="dxa"/>
            <w:vAlign w:val="center"/>
          </w:tcPr>
          <w:p w14:paraId="5A4DFEE4" w14:textId="77777777" w:rsidR="006F56F8" w:rsidRPr="002E793D" w:rsidRDefault="006F56F8" w:rsidP="00FA6492">
            <w:pPr>
              <w:jc w:val="center"/>
            </w:pPr>
            <w:r w:rsidRPr="002E793D">
              <w:t>-10</w:t>
            </w:r>
            <w:r>
              <w:t>2</w:t>
            </w:r>
          </w:p>
        </w:tc>
        <w:tc>
          <w:tcPr>
            <w:tcW w:w="1161" w:type="dxa"/>
            <w:vAlign w:val="center"/>
          </w:tcPr>
          <w:p w14:paraId="7D3861AB" w14:textId="77777777" w:rsidR="006F56F8" w:rsidRPr="002E793D" w:rsidRDefault="006F56F8" w:rsidP="00FA6492">
            <w:pPr>
              <w:jc w:val="center"/>
            </w:pPr>
            <w:r w:rsidRPr="002E793D">
              <w:t>dBm</w:t>
            </w:r>
          </w:p>
        </w:tc>
        <w:tc>
          <w:tcPr>
            <w:tcW w:w="992" w:type="dxa"/>
            <w:vAlign w:val="center"/>
          </w:tcPr>
          <w:p w14:paraId="7707CC16" w14:textId="77777777" w:rsidR="006F56F8" w:rsidRPr="002E793D" w:rsidRDefault="006F56F8" w:rsidP="00FA6492">
            <w:pPr>
              <w:jc w:val="center"/>
              <w:rPr>
                <w:i/>
                <w:iCs/>
              </w:rPr>
            </w:pPr>
            <w:r>
              <w:rPr>
                <w:i/>
                <w:iCs/>
              </w:rPr>
              <w:t>P</w:t>
            </w:r>
            <w:r w:rsidRPr="003A3AC1">
              <w:rPr>
                <w:vertAlign w:val="subscript"/>
              </w:rPr>
              <w:t>N</w:t>
            </w:r>
            <w:r>
              <w:rPr>
                <w:vertAlign w:val="subscript"/>
              </w:rPr>
              <w:t>+</w:t>
            </w:r>
            <w:r w:rsidRPr="003A3AC1">
              <w:rPr>
                <w:vertAlign w:val="subscript"/>
              </w:rPr>
              <w:t>I</w:t>
            </w:r>
          </w:p>
        </w:tc>
        <w:tc>
          <w:tcPr>
            <w:tcW w:w="3953" w:type="dxa"/>
            <w:vAlign w:val="center"/>
          </w:tcPr>
          <w:p w14:paraId="012D68A6" w14:textId="77777777" w:rsidR="006F56F8" w:rsidRPr="002E486A" w:rsidRDefault="00966CE1" w:rsidP="00FA6492">
            <w:pPr>
              <w:jc w:val="left"/>
            </w:pPr>
            <m:oMathPara>
              <m:oMath>
                <m:sSub>
                  <m:sSubPr>
                    <m:ctrlPr>
                      <w:rPr>
                        <w:rFonts w:ascii="Cambria Math" w:hAnsi="Cambria Math"/>
                        <w:i/>
                      </w:rPr>
                    </m:ctrlPr>
                  </m:sSubPr>
                  <m:e>
                    <m:r>
                      <w:rPr>
                        <w:rFonts w:ascii="Cambria Math" w:hAnsi="Cambria Math"/>
                      </w:rPr>
                      <m:t>P</m:t>
                    </m:r>
                  </m:e>
                  <m:sub>
                    <m:r>
                      <m:rPr>
                        <m:sty m:val="p"/>
                      </m:rPr>
                      <w:rPr>
                        <w:rFonts w:ascii="Cambria Math" w:hAnsi="Cambria Math"/>
                      </w:rPr>
                      <m:t>N+I</m:t>
                    </m:r>
                  </m:sub>
                </m:sSub>
                <m:r>
                  <w:rPr>
                    <w:rFonts w:ascii="Cambria Math" w:hAnsi="Cambria Math"/>
                  </w:rPr>
                  <m:t>=10</m:t>
                </m:r>
                <m:r>
                  <m:rPr>
                    <m:sty m:val="p"/>
                  </m:rPr>
                  <w:rPr>
                    <w:rFonts w:ascii="Cambria Math" w:hAnsi="Cambria Math"/>
                  </w:rPr>
                  <m:t>log</m:t>
                </m:r>
                <m:d>
                  <m:dPr>
                    <m:ctrlPr>
                      <w:rPr>
                        <w:rFonts w:ascii="Cambria Math" w:hAnsi="Cambria Math"/>
                        <w:i/>
                      </w:rPr>
                    </m:ctrlPr>
                  </m:dPr>
                  <m:e>
                    <m:sSup>
                      <m:sSupPr>
                        <m:ctrlPr>
                          <w:rPr>
                            <w:rFonts w:ascii="Cambria Math" w:hAnsi="Cambria Math"/>
                            <w:i/>
                          </w:rPr>
                        </m:ctrlPr>
                      </m:sSupPr>
                      <m:e>
                        <m:r>
                          <w:rPr>
                            <w:rFonts w:ascii="Cambria Math" w:hAnsi="Cambria Math"/>
                          </w:rPr>
                          <m:t>10</m:t>
                        </m:r>
                      </m:e>
                      <m:sup>
                        <m:d>
                          <m:dPr>
                            <m:ctrlPr>
                              <w:rPr>
                                <w:rFonts w:ascii="Cambria Math" w:hAnsi="Cambria Math"/>
                                <w:i/>
                              </w:rPr>
                            </m:ctrlPr>
                          </m:dPr>
                          <m:e>
                            <m:d>
                              <m:dPr>
                                <m:ctrlPr>
                                  <w:rPr>
                                    <w:rFonts w:ascii="Cambria Math" w:hAnsi="Cambria Math"/>
                                    <w:i/>
                                  </w:rPr>
                                </m:ctrlPr>
                              </m:dPr>
                              <m:e>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N</m:t>
                                    </m:r>
                                  </m:sub>
                                </m:sSub>
                                <m:r>
                                  <w:rPr>
                                    <w:rFonts w:ascii="Cambria Math" w:hAnsi="Cambria Math"/>
                                  </w:rPr>
                                  <m:t>+NF</m:t>
                                </m:r>
                              </m:e>
                            </m:d>
                            <m:r>
                              <w:rPr>
                                <w:rFonts w:ascii="Cambria Math" w:hAnsi="Cambria Math"/>
                              </w:rPr>
                              <m:t>/10</m:t>
                            </m:r>
                          </m:e>
                        </m:d>
                      </m:sup>
                    </m:sSup>
                    <m:r>
                      <w:rPr>
                        <w:rFonts w:ascii="Cambria Math" w:hAnsi="Cambria Math"/>
                      </w:rPr>
                      <m:t>+</m:t>
                    </m:r>
                    <m:sSup>
                      <m:sSupPr>
                        <m:ctrlPr>
                          <w:rPr>
                            <w:rFonts w:ascii="Cambria Math" w:hAnsi="Cambria Math"/>
                            <w:i/>
                          </w:rPr>
                        </m:ctrlPr>
                      </m:sSupPr>
                      <m:e>
                        <m:r>
                          <w:rPr>
                            <w:rFonts w:ascii="Cambria Math" w:hAnsi="Cambria Math"/>
                          </w:rPr>
                          <m:t>10</m:t>
                        </m:r>
                      </m:e>
                      <m:sup>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I</m:t>
                            </m:r>
                          </m:sub>
                        </m:sSub>
                        <m:r>
                          <w:rPr>
                            <w:rFonts w:ascii="Cambria Math" w:hAnsi="Cambria Math"/>
                          </w:rPr>
                          <m:t>/10</m:t>
                        </m:r>
                      </m:sup>
                    </m:sSup>
                  </m:e>
                </m:d>
              </m:oMath>
            </m:oMathPara>
          </w:p>
        </w:tc>
      </w:tr>
      <w:tr w:rsidR="006F56F8" w:rsidRPr="002E793D" w14:paraId="4464ACBB" w14:textId="77777777" w:rsidTr="00FA6492">
        <w:trPr>
          <w:trHeight w:val="197"/>
          <w:jc w:val="center"/>
        </w:trPr>
        <w:tc>
          <w:tcPr>
            <w:tcW w:w="2459" w:type="dxa"/>
            <w:vAlign w:val="center"/>
          </w:tcPr>
          <w:p w14:paraId="155FA15A" w14:textId="77777777" w:rsidR="006F56F8" w:rsidRPr="002E793D" w:rsidRDefault="006F56F8" w:rsidP="00FA6492">
            <w:pPr>
              <w:jc w:val="left"/>
            </w:pPr>
            <w:r w:rsidRPr="002E793D">
              <w:t>Required signal-to-noise ratio</w:t>
            </w:r>
          </w:p>
        </w:tc>
        <w:tc>
          <w:tcPr>
            <w:tcW w:w="770" w:type="dxa"/>
            <w:vAlign w:val="center"/>
          </w:tcPr>
          <w:p w14:paraId="10BDAB27" w14:textId="77777777" w:rsidR="006F56F8" w:rsidRPr="002E793D" w:rsidRDefault="006F56F8" w:rsidP="00FA6492">
            <w:pPr>
              <w:jc w:val="center"/>
            </w:pPr>
            <w:r w:rsidRPr="002E793D">
              <w:t>9</w:t>
            </w:r>
          </w:p>
        </w:tc>
        <w:tc>
          <w:tcPr>
            <w:tcW w:w="1161" w:type="dxa"/>
            <w:vAlign w:val="center"/>
          </w:tcPr>
          <w:p w14:paraId="575BA626" w14:textId="77777777" w:rsidR="006F56F8" w:rsidRPr="002E793D" w:rsidRDefault="006F56F8" w:rsidP="00FA6492">
            <w:pPr>
              <w:jc w:val="center"/>
            </w:pPr>
            <w:r w:rsidRPr="002E793D">
              <w:t>dB</w:t>
            </w:r>
          </w:p>
        </w:tc>
        <w:tc>
          <w:tcPr>
            <w:tcW w:w="992" w:type="dxa"/>
            <w:vAlign w:val="center"/>
          </w:tcPr>
          <w:p w14:paraId="7201D55F" w14:textId="77777777" w:rsidR="006F56F8" w:rsidRPr="002E793D" w:rsidRDefault="006F56F8" w:rsidP="00FA6492">
            <w:pPr>
              <w:jc w:val="center"/>
              <w:rPr>
                <w:i/>
                <w:iCs/>
              </w:rPr>
            </w:pPr>
            <w:r w:rsidRPr="002E793D">
              <w:rPr>
                <w:i/>
                <w:iCs/>
              </w:rPr>
              <w:t>SNR</w:t>
            </w:r>
          </w:p>
        </w:tc>
        <w:tc>
          <w:tcPr>
            <w:tcW w:w="3953" w:type="dxa"/>
            <w:vAlign w:val="center"/>
          </w:tcPr>
          <w:p w14:paraId="4B6387FC" w14:textId="77777777" w:rsidR="006F56F8" w:rsidRPr="002E793D" w:rsidRDefault="006F56F8" w:rsidP="00FA6492">
            <w:pPr>
              <w:jc w:val="left"/>
            </w:pPr>
            <w:r w:rsidRPr="002E793D">
              <w:t xml:space="preserve">from </w:t>
            </w:r>
            <w:r w:rsidRPr="00276936">
              <w:t>Recommendation ITU-R M.2067-0, Table 1, column: “Low data rate system”</w:t>
            </w:r>
          </w:p>
        </w:tc>
      </w:tr>
      <w:tr w:rsidR="006F56F8" w:rsidRPr="002E793D" w14:paraId="649D52D1" w14:textId="77777777" w:rsidTr="00FA6492">
        <w:trPr>
          <w:trHeight w:val="197"/>
          <w:jc w:val="center"/>
        </w:trPr>
        <w:tc>
          <w:tcPr>
            <w:tcW w:w="2459" w:type="dxa"/>
            <w:vAlign w:val="center"/>
          </w:tcPr>
          <w:p w14:paraId="65436822" w14:textId="77777777" w:rsidR="006F56F8" w:rsidRPr="002E793D" w:rsidRDefault="006F56F8" w:rsidP="00FA6492">
            <w:pPr>
              <w:jc w:val="left"/>
            </w:pPr>
            <w:r w:rsidRPr="002E793D">
              <w:t>Receiver sensitivity</w:t>
            </w:r>
          </w:p>
        </w:tc>
        <w:tc>
          <w:tcPr>
            <w:tcW w:w="770" w:type="dxa"/>
            <w:vAlign w:val="center"/>
          </w:tcPr>
          <w:p w14:paraId="65FED743" w14:textId="77777777" w:rsidR="006F56F8" w:rsidRPr="002E793D" w:rsidRDefault="006F56F8" w:rsidP="00FA6492">
            <w:pPr>
              <w:jc w:val="center"/>
            </w:pPr>
            <w:r w:rsidRPr="002E793D">
              <w:t>-</w:t>
            </w:r>
            <w:r>
              <w:t>93</w:t>
            </w:r>
          </w:p>
        </w:tc>
        <w:tc>
          <w:tcPr>
            <w:tcW w:w="1161" w:type="dxa"/>
            <w:vAlign w:val="center"/>
          </w:tcPr>
          <w:p w14:paraId="7C95094A" w14:textId="77777777" w:rsidR="006F56F8" w:rsidRPr="002E793D" w:rsidRDefault="006F56F8" w:rsidP="00FA6492">
            <w:pPr>
              <w:jc w:val="center"/>
            </w:pPr>
            <w:r w:rsidRPr="002E793D">
              <w:t>dBm</w:t>
            </w:r>
          </w:p>
        </w:tc>
        <w:tc>
          <w:tcPr>
            <w:tcW w:w="992" w:type="dxa"/>
            <w:vAlign w:val="center"/>
          </w:tcPr>
          <w:p w14:paraId="7C9267EC" w14:textId="77777777" w:rsidR="006F56F8" w:rsidRPr="002E793D" w:rsidRDefault="006F56F8" w:rsidP="00FA6492">
            <w:pPr>
              <w:jc w:val="center"/>
            </w:pPr>
            <w:r w:rsidRPr="002E793D">
              <w:rPr>
                <w:i/>
                <w:iCs/>
              </w:rPr>
              <w:t>S</w:t>
            </w:r>
            <w:r w:rsidRPr="002E793D">
              <w:rPr>
                <w:vertAlign w:val="subscript"/>
              </w:rPr>
              <w:t>r</w:t>
            </w:r>
          </w:p>
        </w:tc>
        <w:tc>
          <w:tcPr>
            <w:tcW w:w="3953" w:type="dxa"/>
            <w:vAlign w:val="center"/>
          </w:tcPr>
          <w:p w14:paraId="17A9B54F" w14:textId="77777777" w:rsidR="006F56F8" w:rsidRPr="002E793D" w:rsidRDefault="006F56F8" w:rsidP="00FA6492">
            <w:pPr>
              <w:jc w:val="left"/>
            </w:pPr>
            <w:r w:rsidRPr="002E793D">
              <w:rPr>
                <w:i/>
                <w:iCs/>
              </w:rPr>
              <w:t>S</w:t>
            </w:r>
            <w:r w:rsidRPr="002E793D">
              <w:rPr>
                <w:vertAlign w:val="subscript"/>
              </w:rPr>
              <w:t>r</w:t>
            </w:r>
            <w:r w:rsidRPr="002E793D">
              <w:t xml:space="preserve"> = </w:t>
            </w:r>
            <w:r w:rsidRPr="003A3AC1">
              <w:rPr>
                <w:i/>
                <w:iCs/>
              </w:rPr>
              <w:t>P</w:t>
            </w:r>
            <w:r w:rsidRPr="003A3AC1">
              <w:rPr>
                <w:vertAlign w:val="subscript"/>
              </w:rPr>
              <w:t>NI</w:t>
            </w:r>
            <w:r w:rsidRPr="002E793D">
              <w:t>+</w:t>
            </w:r>
            <w:r w:rsidRPr="002E793D">
              <w:rPr>
                <w:i/>
                <w:iCs/>
              </w:rPr>
              <w:t>SNR</w:t>
            </w:r>
            <w:r>
              <w:br/>
            </w:r>
            <w:r w:rsidRPr="002E793D">
              <w:t>(minimum required signal power)</w:t>
            </w:r>
          </w:p>
        </w:tc>
      </w:tr>
      <w:tr w:rsidR="006F56F8" w:rsidRPr="00877305" w14:paraId="7F5A7BD3" w14:textId="77777777" w:rsidTr="00FA6492">
        <w:trPr>
          <w:trHeight w:val="197"/>
          <w:jc w:val="center"/>
        </w:trPr>
        <w:tc>
          <w:tcPr>
            <w:tcW w:w="2459" w:type="dxa"/>
            <w:vAlign w:val="center"/>
          </w:tcPr>
          <w:p w14:paraId="027F01D5" w14:textId="77777777" w:rsidR="006F56F8" w:rsidRPr="00877305" w:rsidRDefault="006F56F8" w:rsidP="00FA6492">
            <w:pPr>
              <w:jc w:val="left"/>
            </w:pPr>
            <w:r w:rsidRPr="00877305">
              <w:t>Front end overload protection level</w:t>
            </w:r>
            <w:r>
              <w:t xml:space="preserve"> </w:t>
            </w:r>
            <w:r w:rsidRPr="008A1D51">
              <w:rPr>
                <w:vertAlign w:val="superscript"/>
              </w:rPr>
              <w:t>1</w:t>
            </w:r>
          </w:p>
        </w:tc>
        <w:tc>
          <w:tcPr>
            <w:tcW w:w="770" w:type="dxa"/>
            <w:vAlign w:val="center"/>
          </w:tcPr>
          <w:p w14:paraId="5D75FD0D" w14:textId="77777777" w:rsidR="006F56F8" w:rsidRPr="00877305" w:rsidRDefault="006F56F8" w:rsidP="00FA6492">
            <w:pPr>
              <w:jc w:val="center"/>
            </w:pPr>
            <w:r w:rsidRPr="00877305">
              <w:t>-20</w:t>
            </w:r>
          </w:p>
        </w:tc>
        <w:tc>
          <w:tcPr>
            <w:tcW w:w="1161" w:type="dxa"/>
            <w:vAlign w:val="center"/>
          </w:tcPr>
          <w:p w14:paraId="1279D02B" w14:textId="77777777" w:rsidR="006F56F8" w:rsidRPr="00877305" w:rsidRDefault="006F56F8" w:rsidP="00FA6492">
            <w:pPr>
              <w:jc w:val="center"/>
            </w:pPr>
            <w:r w:rsidRPr="00877305">
              <w:t>dBm</w:t>
            </w:r>
          </w:p>
        </w:tc>
        <w:tc>
          <w:tcPr>
            <w:tcW w:w="992" w:type="dxa"/>
            <w:vAlign w:val="center"/>
          </w:tcPr>
          <w:p w14:paraId="6633B013" w14:textId="77777777" w:rsidR="006F56F8" w:rsidRPr="00877305" w:rsidRDefault="006F56F8" w:rsidP="00FA6492">
            <w:pPr>
              <w:jc w:val="center"/>
            </w:pPr>
          </w:p>
        </w:tc>
        <w:tc>
          <w:tcPr>
            <w:tcW w:w="3953" w:type="dxa"/>
            <w:vAlign w:val="center"/>
          </w:tcPr>
          <w:p w14:paraId="67F6BA6B" w14:textId="77777777" w:rsidR="006F56F8" w:rsidRPr="00877305" w:rsidRDefault="006F56F8" w:rsidP="00FA6492">
            <w:pPr>
              <w:jc w:val="left"/>
            </w:pPr>
            <w:r w:rsidRPr="00877305">
              <w:t>10 dB better than Recommendation ITU-R M.2067-0 Table 1, column: “Low data rate system”</w:t>
            </w:r>
          </w:p>
        </w:tc>
      </w:tr>
    </w:tbl>
    <w:p w14:paraId="4D4D4F81" w14:textId="77777777" w:rsidR="006F56F8" w:rsidRDefault="006F56F8" w:rsidP="006F56F8"/>
    <w:p w14:paraId="29EFD976" w14:textId="77777777" w:rsidR="006F56F8" w:rsidRDefault="006F56F8" w:rsidP="006F56F8">
      <w:pPr>
        <w:ind w:left="142" w:hanging="142"/>
      </w:pPr>
      <w:r w:rsidRPr="008A1D51">
        <w:rPr>
          <w:vertAlign w:val="superscript"/>
        </w:rPr>
        <w:t>1</w:t>
      </w:r>
      <w:r>
        <w:t xml:space="preserve"> </w:t>
      </w:r>
      <w:r w:rsidRPr="008A1D51">
        <w:t>Incident interference power must be below –</w:t>
      </w:r>
      <w:r>
        <w:t>2</w:t>
      </w:r>
      <w:r w:rsidRPr="008A1D51">
        <w:t>0 dBm across the entire</w:t>
      </w:r>
      <w:r>
        <w:t xml:space="preserve"> AM(R)S allocated frequency band (4 200 – 4 400 MHz) </w:t>
      </w:r>
      <w:r w:rsidRPr="008A1D51">
        <w:t>to maintain sufficient linearity of operation</w:t>
      </w:r>
      <w:r>
        <w:t xml:space="preserve"> based on the note 3 of Table 1 in Recommendation ITU-R M.2067-0.</w:t>
      </w:r>
    </w:p>
    <w:p w14:paraId="71765649" w14:textId="77777777" w:rsidR="006F56F8" w:rsidRDefault="006F56F8" w:rsidP="006F56F8">
      <w:pPr>
        <w:ind w:left="142" w:hanging="142"/>
      </w:pPr>
    </w:p>
    <w:p w14:paraId="63D9273A" w14:textId="77777777" w:rsidR="006F56F8" w:rsidRPr="006F56F8" w:rsidRDefault="006F56F8" w:rsidP="006F56F8">
      <w:r w:rsidRPr="006F56F8">
        <w:rPr>
          <w:rFonts w:eastAsiaTheme="minorHAnsi"/>
          <w:highlight w:val="cyan"/>
        </w:rPr>
        <w:t xml:space="preserve">[A WAIC radio’s receiver shall tolerate interference from sources operating outside of the frequency band 4 200 – 4 400 MHz whose total combined power as measured at the receiver input port does not exceed </w:t>
      </w:r>
      <w:r w:rsidRPr="006F56F8">
        <w:rPr>
          <w:rFonts w:eastAsiaTheme="minorHAnsi"/>
          <w:highlight w:val="cyan"/>
        </w:rPr>
        <w:noBreakHyphen/>
        <w:t>20 dBm. The WAIC Receiver front-end filter shall have a linear roll-off of at least 30 dB within a frequency interval of 150 MHz starting at 4 200 MHz towards lower frequencies and at 4 400 MHz towards higher frequencies.]</w:t>
      </w:r>
    </w:p>
    <w:p w14:paraId="3C228A35" w14:textId="77777777" w:rsidR="004F736B" w:rsidRPr="004F736B" w:rsidRDefault="004F736B" w:rsidP="004F736B"/>
    <w:p w14:paraId="0383C445" w14:textId="77777777" w:rsidR="00770160" w:rsidRDefault="00770160">
      <w:pPr>
        <w:pStyle w:val="1Heading"/>
      </w:pPr>
      <w:r>
        <w:t>ACTION BY THE MEETING</w:t>
      </w:r>
    </w:p>
    <w:p w14:paraId="710D5013" w14:textId="77777777" w:rsidR="00770160" w:rsidRDefault="00770160">
      <w:pPr>
        <w:pStyle w:val="2para"/>
      </w:pPr>
      <w:r>
        <w:t>The meeting is invited to:</w:t>
      </w:r>
    </w:p>
    <w:p w14:paraId="26C5CDE8" w14:textId="79946BDB" w:rsidR="00770160" w:rsidRDefault="00770160">
      <w:pPr>
        <w:pStyle w:val="Listabc"/>
      </w:pPr>
      <w:r>
        <w:rPr>
          <w:lang w:val="en-GB"/>
        </w:rPr>
        <w:t>n</w:t>
      </w:r>
      <w:r>
        <w:t>ote and review the contents of this working paper;</w:t>
      </w:r>
      <w:r w:rsidR="00FA7A7B">
        <w:t xml:space="preserve"> and</w:t>
      </w:r>
    </w:p>
    <w:p w14:paraId="789E5BC2" w14:textId="3A67069D" w:rsidR="00423C6F" w:rsidRDefault="00FA7A7B" w:rsidP="000E2D08">
      <w:pPr>
        <w:pStyle w:val="Listabc"/>
      </w:pPr>
      <w:r>
        <w:t>condider the use of this text in a LS to the ITU-R on WRC-27 Agenda Item 1.7</w:t>
      </w:r>
      <w:r w:rsidR="00770160">
        <w:t>.</w:t>
      </w:r>
    </w:p>
    <w:p w14:paraId="6E332785" w14:textId="77777777" w:rsidR="00E5621A" w:rsidRDefault="00E5621A" w:rsidP="00423C6F">
      <w:pPr>
        <w:pStyle w:val="Listabc"/>
        <w:numPr>
          <w:ilvl w:val="0"/>
          <w:numId w:val="0"/>
        </w:numPr>
      </w:pPr>
    </w:p>
    <w:p w14:paraId="3B8017DF" w14:textId="77777777" w:rsidR="00A12CBA" w:rsidRDefault="00770160" w:rsidP="00E91DF2">
      <w:pPr>
        <w:spacing w:before="600"/>
        <w:jc w:val="center"/>
      </w:pPr>
      <w:r>
        <w:t>— END —</w:t>
      </w:r>
    </w:p>
    <w:sectPr w:rsidR="00A12CBA">
      <w:headerReference w:type="even" r:id="rId10"/>
      <w:headerReference w:type="default" r:id="rId11"/>
      <w:footerReference w:type="even" r:id="rId12"/>
      <w:foot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0979" w14:textId="77777777" w:rsidR="00F1080F" w:rsidRDefault="00F1080F">
      <w:r>
        <w:separator/>
      </w:r>
    </w:p>
  </w:endnote>
  <w:endnote w:type="continuationSeparator" w:id="0">
    <w:p w14:paraId="3DE7F075" w14:textId="77777777" w:rsidR="00F1080F" w:rsidRDefault="00F1080F">
      <w:r>
        <w:continuationSeparator/>
      </w:r>
    </w:p>
  </w:endnote>
  <w:endnote w:type="continuationNotice" w:id="1">
    <w:p w14:paraId="5C32372D" w14:textId="77777777" w:rsidR="00F1080F" w:rsidRDefault="00F10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CBC8" w14:textId="77777777" w:rsidR="00966CE1" w:rsidRDefault="00966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7828" w14:textId="77777777" w:rsidR="00966CE1" w:rsidRDefault="00966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BB3"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67C56">
      <w:rPr>
        <w:noProof/>
        <w:sz w:val="18"/>
        <w:lang w:val="fr-FR"/>
      </w:rPr>
      <w:t>2</w:t>
    </w:r>
    <w:r>
      <w:rPr>
        <w:sz w:val="18"/>
        <w:lang w:val="en-US"/>
      </w:rPr>
      <w:fldChar w:fldCharType="end"/>
    </w:r>
    <w:r>
      <w:rPr>
        <w:sz w:val="18"/>
        <w:lang w:val="fr-FR"/>
      </w:rPr>
      <w:t xml:space="preserve"> pages)</w:t>
    </w:r>
  </w:p>
  <w:p w14:paraId="12B63ABF" w14:textId="4BC02D49" w:rsidR="00770160" w:rsidRPr="00966CE1" w:rsidRDefault="00770160">
    <w:pPr>
      <w:pStyle w:val="Footer"/>
      <w:rPr>
        <w:lang w:val="en-CA"/>
      </w:rPr>
    </w:pPr>
    <w:r>
      <w:rPr>
        <w:sz w:val="18"/>
        <w:lang w:val="en-US"/>
      </w:rPr>
      <w:fldChar w:fldCharType="begin"/>
    </w:r>
    <w:r w:rsidRPr="00966CE1">
      <w:rPr>
        <w:sz w:val="18"/>
        <w:lang w:val="en-CA"/>
      </w:rPr>
      <w:instrText xml:space="preserve"> FILENAME  \* MERGEFORMAT </w:instrText>
    </w:r>
    <w:r>
      <w:rPr>
        <w:sz w:val="18"/>
        <w:lang w:val="en-US"/>
      </w:rPr>
      <w:fldChar w:fldCharType="separate"/>
    </w:r>
    <w:r w:rsidR="00966CE1" w:rsidRPr="00966CE1">
      <w:rPr>
        <w:noProof/>
        <w:sz w:val="18"/>
        <w:lang w:val="en-CA"/>
      </w:rPr>
      <w:t>FSMP-WG20-WP15_Output from 1.7 Offline Group.docx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7318" w14:textId="77777777" w:rsidR="00F1080F" w:rsidRDefault="00F1080F">
      <w:r>
        <w:separator/>
      </w:r>
    </w:p>
  </w:footnote>
  <w:footnote w:type="continuationSeparator" w:id="0">
    <w:p w14:paraId="4D3FC2F6" w14:textId="77777777" w:rsidR="00F1080F" w:rsidRDefault="00F1080F">
      <w:r>
        <w:continuationSeparator/>
      </w:r>
    </w:p>
  </w:footnote>
  <w:footnote w:type="continuationNotice" w:id="1">
    <w:p w14:paraId="53166FA4" w14:textId="77777777" w:rsidR="00F1080F" w:rsidRDefault="00F108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C63D" w14:textId="726796E2" w:rsidR="00770160" w:rsidRDefault="000D26D5" w:rsidP="00F56F90">
    <w:pPr>
      <w:tabs>
        <w:tab w:val="center" w:pos="4876"/>
      </w:tabs>
      <w:spacing w:after="600"/>
    </w:pPr>
    <w:r>
      <w:t>FS</w:t>
    </w:r>
    <w:r w:rsidR="00725205">
      <w:t>MP</w:t>
    </w:r>
    <w:r w:rsidR="007E6A06">
      <w:t>-WG</w:t>
    </w:r>
    <w:r w:rsidR="00770160">
      <w:t>/</w:t>
    </w:r>
    <w:r w:rsidR="008D4C23">
      <w:t>20</w:t>
    </w:r>
    <w:r w:rsidR="00FC389A">
      <w:t>-</w:t>
    </w:r>
    <w:r w:rsidR="00770160">
      <w:t>WP/</w:t>
    </w:r>
    <w:r w:rsidR="00966CE1">
      <w:t>15</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67C56">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5E49" w14:textId="1BF73721"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E5621A">
      <w:rPr>
        <w:rStyle w:val="PageNumber"/>
        <w:noProof/>
      </w:rPr>
      <w:t>3</w:t>
    </w:r>
    <w:r>
      <w:rPr>
        <w:rStyle w:val="PageNumber"/>
      </w:rPr>
      <w:fldChar w:fldCharType="end"/>
    </w:r>
    <w:r>
      <w:rPr>
        <w:rStyle w:val="PageNumber"/>
      </w:rPr>
      <w:t xml:space="preserve"> -</w:t>
    </w:r>
    <w:r>
      <w:rPr>
        <w:rStyle w:val="PageNumber"/>
      </w:rPr>
      <w:tab/>
    </w:r>
    <w:r w:rsidR="00966CE1">
      <w:t>FSMP-WG/20-WP/15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340B16F5" w14:textId="77777777" w:rsidTr="00664C07">
      <w:trPr>
        <w:trHeight w:val="1790"/>
      </w:trPr>
      <w:tc>
        <w:tcPr>
          <w:tcW w:w="1915" w:type="dxa"/>
          <w:shd w:val="clear" w:color="auto" w:fill="FFFFFF"/>
        </w:tcPr>
        <w:p w14:paraId="36605815" w14:textId="5C2B1F83" w:rsidR="00920C27" w:rsidRDefault="00E010A1" w:rsidP="00664C07">
          <w:bookmarkStart w:id="3" w:name="logo"/>
          <w:r w:rsidRPr="00484298">
            <w:rPr>
              <w:noProof/>
              <w:lang w:eastAsia="zh-CN"/>
            </w:rPr>
            <w:drawing>
              <wp:inline distT="0" distB="0" distL="0" distR="0" wp14:anchorId="300EC5E8" wp14:editId="3FDB53D0">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3"/>
        </w:p>
      </w:tc>
      <w:tc>
        <w:tcPr>
          <w:tcW w:w="3895" w:type="dxa"/>
          <w:shd w:val="clear" w:color="auto" w:fill="FFFFFF"/>
          <w:tcMar>
            <w:right w:w="0" w:type="dxa"/>
          </w:tcMar>
        </w:tcPr>
        <w:p w14:paraId="291FFF0A" w14:textId="04832A59" w:rsidR="00920C27" w:rsidRPr="00066AB7" w:rsidRDefault="00E010A1"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8240" behindDoc="0" locked="0" layoutInCell="1" allowOverlap="1" wp14:anchorId="2103240C" wp14:editId="32C32C31">
                    <wp:simplePos x="0" y="0"/>
                    <wp:positionH relativeFrom="column">
                      <wp:posOffset>12700</wp:posOffset>
                    </wp:positionH>
                    <wp:positionV relativeFrom="paragraph">
                      <wp:posOffset>342900</wp:posOffset>
                    </wp:positionV>
                    <wp:extent cx="2400300" cy="0"/>
                    <wp:effectExtent l="0" t="0" r="0" b="0"/>
                    <wp:wrapNone/>
                    <wp:docPr id="155271896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73A2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4B87DB34"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35F1390D" w14:textId="77777777" w:rsidR="00920C27" w:rsidRPr="00066AB7" w:rsidRDefault="00920C27" w:rsidP="00664C07">
          <w:pPr>
            <w:rPr>
              <w:rFonts w:ascii="Arial" w:hAnsi="Arial" w:cs="Arial"/>
              <w:szCs w:val="22"/>
            </w:rPr>
          </w:pPr>
        </w:p>
        <w:p w14:paraId="0226756D"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698B9991" w14:textId="77777777" w:rsidTr="00664C07">
            <w:trPr>
              <w:jc w:val="right"/>
            </w:trPr>
            <w:tc>
              <w:tcPr>
                <w:tcW w:w="0" w:type="auto"/>
              </w:tcPr>
              <w:p w14:paraId="187397F0" w14:textId="24D65310" w:rsidR="00920C27" w:rsidRPr="00066AB7" w:rsidRDefault="000D26D5" w:rsidP="00966CE1">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8D4C23">
                  <w:rPr>
                    <w:szCs w:val="22"/>
                  </w:rPr>
                  <w:t>20</w:t>
                </w:r>
                <w:r w:rsidR="00FC389A">
                  <w:rPr>
                    <w:szCs w:val="22"/>
                  </w:rPr>
                  <w:t>-</w:t>
                </w:r>
                <w:r w:rsidR="00920C27" w:rsidRPr="00066AB7">
                  <w:rPr>
                    <w:szCs w:val="22"/>
                  </w:rPr>
                  <w:t>WP/</w:t>
                </w:r>
                <w:r w:rsidR="00966CE1">
                  <w:rPr>
                    <w:szCs w:val="22"/>
                  </w:rPr>
                  <w:t>15</w:t>
                </w:r>
                <w:bookmarkEnd w:id="4"/>
              </w:p>
              <w:p w14:paraId="259894A7" w14:textId="77777777" w:rsidR="00920C27" w:rsidRPr="00066AB7" w:rsidRDefault="00885035" w:rsidP="00966CE1">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202</w:t>
                </w:r>
                <w:r w:rsidR="008D4C23">
                  <w:rPr>
                    <w:sz w:val="18"/>
                    <w:szCs w:val="18"/>
                  </w:rPr>
                  <w:t>5</w:t>
                </w:r>
                <w:r>
                  <w:rPr>
                    <w:sz w:val="18"/>
                    <w:szCs w:val="18"/>
                  </w:rPr>
                  <w:t>-0</w:t>
                </w:r>
                <w:r w:rsidR="0009326E">
                  <w:rPr>
                    <w:sz w:val="18"/>
                    <w:szCs w:val="18"/>
                  </w:rPr>
                  <w:t>2</w:t>
                </w:r>
                <w:r>
                  <w:rPr>
                    <w:sz w:val="18"/>
                    <w:szCs w:val="18"/>
                  </w:rPr>
                  <w:t>-</w:t>
                </w:r>
                <w:r w:rsidR="008D4C23">
                  <w:rPr>
                    <w:sz w:val="18"/>
                    <w:szCs w:val="18"/>
                  </w:rPr>
                  <w:t>2</w:t>
                </w:r>
                <w:r w:rsidR="0009326E">
                  <w:rPr>
                    <w:sz w:val="18"/>
                    <w:szCs w:val="18"/>
                  </w:rPr>
                  <w:t>6</w:t>
                </w:r>
                <w:r w:rsidR="00920C27" w:rsidRPr="00066AB7">
                  <w:rPr>
                    <w:b/>
                    <w:sz w:val="18"/>
                    <w:szCs w:val="18"/>
                  </w:rPr>
                  <w:t xml:space="preserve"> </w:t>
                </w:r>
                <w:bookmarkStart w:id="10" w:name="info_paper"/>
                <w:bookmarkEnd w:id="10"/>
              </w:p>
            </w:tc>
          </w:tr>
          <w:tr w:rsidR="00920C27" w14:paraId="2FC24CE9" w14:textId="77777777" w:rsidTr="00664C07">
            <w:trPr>
              <w:jc w:val="right"/>
            </w:trPr>
            <w:tc>
              <w:tcPr>
                <w:tcW w:w="0" w:type="auto"/>
              </w:tcPr>
              <w:p w14:paraId="2B8F33C8" w14:textId="77777777" w:rsidR="00920C27" w:rsidRPr="00066AB7" w:rsidRDefault="00920C27" w:rsidP="00966CE1">
                <w:pPr>
                  <w:framePr w:hSpace="180" w:wrap="around" w:vAnchor="text" w:hAnchor="text" w:y="1"/>
                  <w:suppressOverlap/>
                  <w:jc w:val="left"/>
                  <w:rPr>
                    <w:szCs w:val="22"/>
                  </w:rPr>
                </w:pPr>
              </w:p>
            </w:tc>
          </w:tr>
        </w:tbl>
        <w:p w14:paraId="4C0D4489"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287C9105" w14:textId="27E19923" w:rsidR="00966CE1" w:rsidRDefault="00A12CBA" w:rsidP="00966CE1">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98F"/>
    <w:multiLevelType w:val="multilevel"/>
    <w:tmpl w:val="D8720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4C28ED"/>
    <w:multiLevelType w:val="hybridMultilevel"/>
    <w:tmpl w:val="068A45D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7" w15:restartNumberingAfterBreak="0">
    <w:nsid w:val="7F967A1C"/>
    <w:multiLevelType w:val="multilevel"/>
    <w:tmpl w:val="AFDC3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39617063">
    <w:abstractNumId w:val="5"/>
  </w:num>
  <w:num w:numId="2" w16cid:durableId="1639070378">
    <w:abstractNumId w:val="6"/>
  </w:num>
  <w:num w:numId="3" w16cid:durableId="1158420063">
    <w:abstractNumId w:val="2"/>
  </w:num>
  <w:num w:numId="4" w16cid:durableId="1570724105">
    <w:abstractNumId w:val="1"/>
  </w:num>
  <w:num w:numId="5" w16cid:durableId="1883126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692522">
    <w:abstractNumId w:val="3"/>
  </w:num>
  <w:num w:numId="7" w16cid:durableId="734401955">
    <w:abstractNumId w:val="4"/>
  </w:num>
  <w:num w:numId="8" w16cid:durableId="263728315">
    <w:abstractNumId w:val="0"/>
  </w:num>
  <w:num w:numId="9" w16cid:durableId="838538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144BC"/>
    <w:rsid w:val="000222A3"/>
    <w:rsid w:val="0002582F"/>
    <w:rsid w:val="000273D2"/>
    <w:rsid w:val="00067C56"/>
    <w:rsid w:val="00074D07"/>
    <w:rsid w:val="0008039B"/>
    <w:rsid w:val="0009326E"/>
    <w:rsid w:val="000C3FCD"/>
    <w:rsid w:val="000D26D5"/>
    <w:rsid w:val="000E218A"/>
    <w:rsid w:val="00132277"/>
    <w:rsid w:val="001566B0"/>
    <w:rsid w:val="00193C65"/>
    <w:rsid w:val="001C3591"/>
    <w:rsid w:val="00244CA1"/>
    <w:rsid w:val="00296C3E"/>
    <w:rsid w:val="002C2D0B"/>
    <w:rsid w:val="002D7511"/>
    <w:rsid w:val="002F53C3"/>
    <w:rsid w:val="0035089C"/>
    <w:rsid w:val="003715A0"/>
    <w:rsid w:val="003D7FD8"/>
    <w:rsid w:val="003E497D"/>
    <w:rsid w:val="00423C6F"/>
    <w:rsid w:val="00461121"/>
    <w:rsid w:val="0046580D"/>
    <w:rsid w:val="004735BC"/>
    <w:rsid w:val="0049280E"/>
    <w:rsid w:val="00492CD2"/>
    <w:rsid w:val="004944BA"/>
    <w:rsid w:val="004C6949"/>
    <w:rsid w:val="004E6F80"/>
    <w:rsid w:val="004F736B"/>
    <w:rsid w:val="00505F6E"/>
    <w:rsid w:val="0051574F"/>
    <w:rsid w:val="00552B85"/>
    <w:rsid w:val="005636CE"/>
    <w:rsid w:val="005C74F7"/>
    <w:rsid w:val="005F535B"/>
    <w:rsid w:val="006010EF"/>
    <w:rsid w:val="00620235"/>
    <w:rsid w:val="00625E2A"/>
    <w:rsid w:val="00664C07"/>
    <w:rsid w:val="00697A4A"/>
    <w:rsid w:val="006F56F8"/>
    <w:rsid w:val="00725205"/>
    <w:rsid w:val="00760654"/>
    <w:rsid w:val="00770160"/>
    <w:rsid w:val="00796019"/>
    <w:rsid w:val="007E6A06"/>
    <w:rsid w:val="0083339E"/>
    <w:rsid w:val="0085182E"/>
    <w:rsid w:val="00860FB4"/>
    <w:rsid w:val="00885035"/>
    <w:rsid w:val="00896451"/>
    <w:rsid w:val="008A5DEC"/>
    <w:rsid w:val="008B54C4"/>
    <w:rsid w:val="008D4C23"/>
    <w:rsid w:val="008D6653"/>
    <w:rsid w:val="0090204A"/>
    <w:rsid w:val="00920B80"/>
    <w:rsid w:val="00920C27"/>
    <w:rsid w:val="009602EE"/>
    <w:rsid w:val="00960A7B"/>
    <w:rsid w:val="009621B1"/>
    <w:rsid w:val="00966CE1"/>
    <w:rsid w:val="009A3BB6"/>
    <w:rsid w:val="009D61A2"/>
    <w:rsid w:val="00A03CFF"/>
    <w:rsid w:val="00A12CBA"/>
    <w:rsid w:val="00A232A8"/>
    <w:rsid w:val="00A437E4"/>
    <w:rsid w:val="00A6571A"/>
    <w:rsid w:val="00A97E48"/>
    <w:rsid w:val="00AA7B30"/>
    <w:rsid w:val="00AB1994"/>
    <w:rsid w:val="00B1631A"/>
    <w:rsid w:val="00B179F4"/>
    <w:rsid w:val="00B46B16"/>
    <w:rsid w:val="00B95AA6"/>
    <w:rsid w:val="00BB447F"/>
    <w:rsid w:val="00BC5391"/>
    <w:rsid w:val="00C2608A"/>
    <w:rsid w:val="00C32F4A"/>
    <w:rsid w:val="00CB2E7A"/>
    <w:rsid w:val="00CF72A2"/>
    <w:rsid w:val="00D22255"/>
    <w:rsid w:val="00D73FEC"/>
    <w:rsid w:val="00D8375B"/>
    <w:rsid w:val="00D94FD3"/>
    <w:rsid w:val="00DA654F"/>
    <w:rsid w:val="00DF6B64"/>
    <w:rsid w:val="00DF76D3"/>
    <w:rsid w:val="00E010A1"/>
    <w:rsid w:val="00E5621A"/>
    <w:rsid w:val="00E7263C"/>
    <w:rsid w:val="00E77340"/>
    <w:rsid w:val="00E8329E"/>
    <w:rsid w:val="00E87F9D"/>
    <w:rsid w:val="00E91DF2"/>
    <w:rsid w:val="00EB1EAC"/>
    <w:rsid w:val="00EC2967"/>
    <w:rsid w:val="00ED5504"/>
    <w:rsid w:val="00EF53E4"/>
    <w:rsid w:val="00F1080F"/>
    <w:rsid w:val="00F36032"/>
    <w:rsid w:val="00F56F90"/>
    <w:rsid w:val="00F84DC1"/>
    <w:rsid w:val="00F975FD"/>
    <w:rsid w:val="00FA30A9"/>
    <w:rsid w:val="00FA7A7B"/>
    <w:rsid w:val="00FC389A"/>
    <w:rsid w:val="00FF12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B51B7"/>
  <w15:chartTrackingRefBased/>
  <w15:docId w15:val="{92A5BF5F-8180-4691-90E0-8CAEDDEB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paragraph" w:styleId="ListParagraph">
    <w:name w:val="List Paragraph"/>
    <w:basedOn w:val="Normal"/>
    <w:uiPriority w:val="34"/>
    <w:qFormat/>
    <w:rsid w:val="004F736B"/>
    <w:pPr>
      <w:ind w:left="720"/>
      <w:contextualSpacing/>
    </w:pPr>
    <w:rPr>
      <w:lang w:val="en-US"/>
    </w:rPr>
  </w:style>
  <w:style w:type="paragraph" w:styleId="CommentText">
    <w:name w:val="annotation text"/>
    <w:basedOn w:val="Normal"/>
    <w:link w:val="CommentTextChar"/>
    <w:unhideWhenUsed/>
    <w:rsid w:val="004F736B"/>
    <w:rPr>
      <w:sz w:val="20"/>
      <w:lang w:val="en-US"/>
    </w:rPr>
  </w:style>
  <w:style w:type="character" w:customStyle="1" w:styleId="CommentTextChar">
    <w:name w:val="Comment Text Char"/>
    <w:basedOn w:val="DefaultParagraphFont"/>
    <w:link w:val="CommentText"/>
    <w:rsid w:val="004F736B"/>
  </w:style>
  <w:style w:type="paragraph" w:customStyle="1" w:styleId="RTCAParagraph">
    <w:name w:val="RTCA Paragraph"/>
    <w:basedOn w:val="Normal"/>
    <w:link w:val="RTCAParagraphChar"/>
    <w:qFormat/>
    <w:rsid w:val="006F56F8"/>
    <w:pPr>
      <w:spacing w:before="120" w:after="120"/>
      <w:ind w:left="1440"/>
    </w:pPr>
    <w:rPr>
      <w:noProof/>
      <w:szCs w:val="22"/>
      <w:lang w:val="en-US"/>
    </w:rPr>
  </w:style>
  <w:style w:type="character" w:customStyle="1" w:styleId="RTCAParagraphChar">
    <w:name w:val="RTCA Paragraph Char"/>
    <w:link w:val="RTCAParagraph"/>
    <w:rsid w:val="006F56F8"/>
    <w:rPr>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2694">
      <w:bodyDiv w:val="1"/>
      <w:marLeft w:val="0"/>
      <w:marRight w:val="0"/>
      <w:marTop w:val="0"/>
      <w:marBottom w:val="0"/>
      <w:divBdr>
        <w:top w:val="none" w:sz="0" w:space="0" w:color="auto"/>
        <w:left w:val="none" w:sz="0" w:space="0" w:color="auto"/>
        <w:bottom w:val="none" w:sz="0" w:space="0" w:color="auto"/>
        <w:right w:val="none" w:sz="0" w:space="0" w:color="auto"/>
      </w:divBdr>
    </w:div>
    <w:div w:id="1268928850">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2.xml><?xml version="1.0" encoding="utf-8"?>
<ds:datastoreItem xmlns:ds="http://schemas.openxmlformats.org/officeDocument/2006/customXml" ds:itemID="{EDF9D18D-DBC7-42F7-9C2E-23E9831CF847}"/>
</file>

<file path=customXml/itemProps3.xml><?xml version="1.0" encoding="utf-8"?>
<ds:datastoreItem xmlns:ds="http://schemas.openxmlformats.org/officeDocument/2006/customXml" ds:itemID="{0648EC02-D43C-4BFC-8670-E3FD0B24B7EF}">
  <ds:schemaRefs>
    <ds:schemaRef ds:uri="http://schemas.microsoft.com/office/2006/metadata/properties"/>
    <ds:schemaRef ds:uri="http://schemas.microsoft.com/office/infopath/2007/PartnerControls"/>
    <ds:schemaRef ds:uri="713d6f2d-8a98-4dfb-98ca-54a7c3d9951e"/>
    <ds:schemaRef ds:uri="3a32ac1f-2b4c-47fa-adda-3523a18d37ad"/>
  </ds:schemaRefs>
</ds:datastoreItem>
</file>

<file path=docProps/app.xml><?xml version="1.0" encoding="utf-8"?>
<Properties xmlns="http://schemas.openxmlformats.org/officeDocument/2006/extended-properties" xmlns:vt="http://schemas.openxmlformats.org/officeDocument/2006/docPropsVTypes">
  <Template>ATMRPP_WG_WHL_1.dot</Template>
  <TotalTime>48</TotalTime>
  <Pages>4</Pages>
  <Words>1356</Words>
  <Characters>7178</Characters>
  <Application>Microsoft Office Word</Application>
  <DocSecurity>0</DocSecurity>
  <Lines>59</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1</vt:lpstr>
      <vt:lpstr>    Just a few lines with a brief background to introduce your paper.</vt:lpstr>
      <vt:lpstr>    This MS Word template is arranged with the following margins: top 2.87 cm, botto</vt:lpstr>
      <vt:lpstr>    The meeting is invited to:</vt:lpstr>
    </vt:vector>
  </TitlesOfParts>
  <Company>ICAO</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44</cp:revision>
  <cp:lastPrinted>2005-03-16T18:26:00Z</cp:lastPrinted>
  <dcterms:created xsi:type="dcterms:W3CDTF">2025-02-19T18:02:00Z</dcterms:created>
  <dcterms:modified xsi:type="dcterms:W3CDTF">2025-02-20T14:44:00Z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ies>
</file>