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05E6" w14:textId="77777777" w:rsidR="00C32F4A" w:rsidRPr="00032308" w:rsidRDefault="00C32F4A" w:rsidP="00C32F4A">
      <w:pPr>
        <w:jc w:val="center"/>
        <w:rPr>
          <w:b/>
          <w:lang w:val="en-US"/>
        </w:rPr>
      </w:pPr>
      <w:r w:rsidRPr="00032308">
        <w:rPr>
          <w:b/>
          <w:lang w:val="en-US"/>
        </w:rPr>
        <w:t>FREQUENCY SPECTRUM MANAGEMENT PANEL (FSMP)</w:t>
      </w:r>
    </w:p>
    <w:p w14:paraId="30532431" w14:textId="77777777" w:rsidR="00C32F4A" w:rsidRPr="00032308" w:rsidRDefault="00C32F4A" w:rsidP="00C32F4A">
      <w:pPr>
        <w:tabs>
          <w:tab w:val="left" w:pos="6972"/>
        </w:tabs>
        <w:jc w:val="center"/>
        <w:rPr>
          <w:b/>
          <w:lang w:val="en-US"/>
        </w:rPr>
      </w:pPr>
    </w:p>
    <w:p w14:paraId="00A04B43" w14:textId="3EC0E544" w:rsidR="00FC389A" w:rsidRPr="00032308" w:rsidRDefault="009F3664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US"/>
        </w:rPr>
      </w:pPr>
      <w:r>
        <w:rPr>
          <w:rFonts w:eastAsia="Yu Mincho" w:hint="eastAsia"/>
          <w:b/>
          <w:szCs w:val="24"/>
          <w:lang w:val="en-US" w:eastAsia="ja-JP"/>
        </w:rPr>
        <w:t>Twe</w:t>
      </w:r>
      <w:r w:rsidR="00021604">
        <w:rPr>
          <w:rFonts w:eastAsia="Yu Mincho" w:hint="eastAsia"/>
          <w:b/>
          <w:szCs w:val="24"/>
          <w:lang w:val="en-US" w:eastAsia="ja-JP"/>
        </w:rPr>
        <w:t>ntieth</w:t>
      </w:r>
      <w:r w:rsidR="00FC389A" w:rsidRPr="00032308">
        <w:rPr>
          <w:rFonts w:eastAsia="SimSun"/>
          <w:b/>
          <w:szCs w:val="24"/>
          <w:lang w:val="en-US"/>
        </w:rPr>
        <w:t xml:space="preserve"> Working Group Meeting </w:t>
      </w:r>
    </w:p>
    <w:p w14:paraId="20740C8E" w14:textId="77777777" w:rsidR="0009326E" w:rsidRPr="00032308" w:rsidRDefault="0009326E" w:rsidP="0009326E">
      <w:pPr>
        <w:pStyle w:val="Maintitle"/>
        <w:rPr>
          <w:lang w:val="en-US"/>
        </w:rPr>
      </w:pPr>
    </w:p>
    <w:p w14:paraId="1F125471" w14:textId="3391B962" w:rsidR="0009326E" w:rsidRPr="00032308" w:rsidRDefault="009F3664" w:rsidP="0009326E">
      <w:pPr>
        <w:pStyle w:val="Maintitle"/>
        <w:rPr>
          <w:lang w:val="en-US" w:eastAsia="ja-JP"/>
        </w:rPr>
      </w:pPr>
      <w:r>
        <w:rPr>
          <w:rFonts w:hint="eastAsia"/>
          <w:lang w:val="en-US" w:eastAsia="ja-JP"/>
        </w:rPr>
        <w:t>Bangkok</w:t>
      </w:r>
      <w:r w:rsidR="0020272F" w:rsidRPr="00032308">
        <w:rPr>
          <w:lang w:val="en-US"/>
        </w:rPr>
        <w:t xml:space="preserve">, </w:t>
      </w:r>
      <w:proofErr w:type="spellStart"/>
      <w:r>
        <w:rPr>
          <w:rFonts w:hint="eastAsia"/>
          <w:lang w:val="en-US" w:eastAsia="ja-JP"/>
        </w:rPr>
        <w:t>Tailand</w:t>
      </w:r>
      <w:proofErr w:type="spellEnd"/>
      <w:r w:rsidR="0020272F" w:rsidRPr="00032308">
        <w:rPr>
          <w:lang w:val="en-US"/>
        </w:rPr>
        <w:t xml:space="preserve">, </w:t>
      </w:r>
      <w:r>
        <w:rPr>
          <w:rFonts w:hint="eastAsia"/>
          <w:lang w:val="en-US" w:eastAsia="ja-JP"/>
        </w:rPr>
        <w:t>2</w:t>
      </w:r>
      <w:r w:rsidR="006549DA">
        <w:rPr>
          <w:lang w:val="en-US" w:eastAsia="ja-JP"/>
        </w:rPr>
        <w:t>6</w:t>
      </w:r>
      <w:r>
        <w:rPr>
          <w:rFonts w:hint="eastAsia"/>
          <w:lang w:val="en-US" w:eastAsia="ja-JP"/>
        </w:rPr>
        <w:t xml:space="preserve"> </w:t>
      </w:r>
      <w:proofErr w:type="spellStart"/>
      <w:r>
        <w:rPr>
          <w:rFonts w:hint="eastAsia"/>
          <w:lang w:val="en-US" w:eastAsia="ja-JP"/>
        </w:rPr>
        <w:t>Feburary</w:t>
      </w:r>
      <w:proofErr w:type="spellEnd"/>
      <w:r w:rsidR="0009326E" w:rsidRPr="00032308">
        <w:rPr>
          <w:lang w:val="en-US"/>
        </w:rPr>
        <w:t xml:space="preserve"> to </w:t>
      </w:r>
      <w:r>
        <w:rPr>
          <w:rFonts w:hint="eastAsia"/>
          <w:lang w:val="en-US" w:eastAsia="ja-JP"/>
        </w:rPr>
        <w:t>7</w:t>
      </w:r>
      <w:r w:rsidR="0009326E" w:rsidRPr="00032308">
        <w:rPr>
          <w:lang w:val="en-US"/>
        </w:rPr>
        <w:t xml:space="preserve"> </w:t>
      </w:r>
      <w:r>
        <w:rPr>
          <w:rFonts w:hint="eastAsia"/>
          <w:lang w:val="en-US" w:eastAsia="ja-JP"/>
        </w:rPr>
        <w:t>March</w:t>
      </w:r>
      <w:r w:rsidR="0020272F" w:rsidRPr="00032308">
        <w:rPr>
          <w:lang w:val="en-US"/>
        </w:rPr>
        <w:t xml:space="preserve"> </w:t>
      </w:r>
      <w:r w:rsidR="0009326E" w:rsidRPr="00032308">
        <w:rPr>
          <w:lang w:val="en-US"/>
        </w:rPr>
        <w:t>202</w:t>
      </w:r>
      <w:r>
        <w:rPr>
          <w:rFonts w:hint="eastAsia"/>
          <w:lang w:val="en-US" w:eastAsia="ja-JP"/>
        </w:rPr>
        <w:t>5</w:t>
      </w:r>
    </w:p>
    <w:p w14:paraId="1D3E4284" w14:textId="77777777" w:rsidR="00770160" w:rsidRPr="00032308" w:rsidRDefault="00770160">
      <w:pPr>
        <w:tabs>
          <w:tab w:val="left" w:pos="0"/>
          <w:tab w:val="left" w:pos="1570"/>
          <w:tab w:val="left" w:pos="1857"/>
        </w:tabs>
        <w:rPr>
          <w:lang w:val="en-US"/>
        </w:rPr>
      </w:pPr>
    </w:p>
    <w:p w14:paraId="788A7A69" w14:textId="77777777" w:rsidR="0020272F" w:rsidRPr="00032308" w:rsidRDefault="0020272F">
      <w:pPr>
        <w:tabs>
          <w:tab w:val="left" w:pos="0"/>
          <w:tab w:val="left" w:pos="1570"/>
          <w:tab w:val="left" w:pos="1857"/>
        </w:tabs>
        <w:rPr>
          <w:lang w:val="en-US"/>
        </w:rPr>
      </w:pPr>
    </w:p>
    <w:p w14:paraId="7386F608" w14:textId="5F8EF3E3" w:rsidR="00770160" w:rsidRPr="00D22842" w:rsidRDefault="00D22842">
      <w:pPr>
        <w:pStyle w:val="Agendaitemtitle"/>
        <w:rPr>
          <w:lang w:val="en-US"/>
        </w:rPr>
      </w:pPr>
      <w:r>
        <w:rPr>
          <w:lang w:val="sv-SE"/>
        </w:rPr>
        <w:t>Agenda Item 5:</w:t>
      </w:r>
      <w:r>
        <w:rPr>
          <w:lang w:val="sv-SE"/>
        </w:rPr>
        <w:tab/>
      </w:r>
      <w:r w:rsidRPr="00FB2E00">
        <w:rPr>
          <w:lang w:val="sv-SE"/>
        </w:rPr>
        <w:t>Aeronautical Band Planning (108 – 137 MHz)</w:t>
      </w:r>
    </w:p>
    <w:p w14:paraId="1B997816" w14:textId="77777777" w:rsidR="00770160" w:rsidRPr="00032308" w:rsidRDefault="00770160">
      <w:pPr>
        <w:pStyle w:val="Agendaitemtitle"/>
        <w:rPr>
          <w:b w:val="0"/>
          <w:lang w:val="en-US"/>
        </w:rPr>
      </w:pPr>
    </w:p>
    <w:p w14:paraId="69A09C1C" w14:textId="77777777" w:rsidR="00770160" w:rsidRPr="00032308" w:rsidRDefault="00770160">
      <w:pPr>
        <w:tabs>
          <w:tab w:val="left" w:pos="6972"/>
        </w:tabs>
        <w:rPr>
          <w:b/>
          <w:lang w:val="en-US"/>
        </w:rPr>
      </w:pPr>
    </w:p>
    <w:p w14:paraId="5191E03F" w14:textId="312EE91B" w:rsidR="00770160" w:rsidRPr="00032308" w:rsidRDefault="00C41AB9">
      <w:pPr>
        <w:pStyle w:val="Maintitle"/>
        <w:rPr>
          <w:lang w:val="en-US" w:eastAsia="ja-JP"/>
        </w:rPr>
      </w:pPr>
      <w:r>
        <w:rPr>
          <w:lang w:val="en-US" w:eastAsia="ja-JP"/>
        </w:rPr>
        <w:t xml:space="preserve">Additional </w:t>
      </w:r>
      <w:r w:rsidR="00C208F9">
        <w:rPr>
          <w:rFonts w:hint="eastAsia"/>
          <w:lang w:val="en-US" w:eastAsia="ja-JP"/>
        </w:rPr>
        <w:t>Contents</w:t>
      </w:r>
      <w:r w:rsidR="00D55323" w:rsidRPr="00D55323">
        <w:rPr>
          <w:lang w:val="en-US" w:eastAsia="ja-JP"/>
        </w:rPr>
        <w:t xml:space="preserve"> </w:t>
      </w:r>
      <w:r w:rsidR="00C208F9">
        <w:rPr>
          <w:rFonts w:hint="eastAsia"/>
          <w:lang w:val="en-US" w:eastAsia="ja-JP"/>
        </w:rPr>
        <w:t>of</w:t>
      </w:r>
      <w:r w:rsidR="00D55323">
        <w:rPr>
          <w:rFonts w:hint="eastAsia"/>
          <w:lang w:val="en-US" w:eastAsia="ja-JP"/>
        </w:rPr>
        <w:t xml:space="preserve"> </w:t>
      </w:r>
      <w:r w:rsidR="00D55323" w:rsidRPr="004B00DD">
        <w:rPr>
          <w:lang w:val="en-US" w:eastAsia="ja-JP"/>
        </w:rPr>
        <w:t>frequency planning criteria and procedures</w:t>
      </w:r>
      <w:r w:rsidR="00D55323">
        <w:rPr>
          <w:rFonts w:hint="eastAsia"/>
          <w:lang w:val="en-US" w:eastAsia="ja-JP"/>
        </w:rPr>
        <w:t xml:space="preserve"> </w:t>
      </w:r>
      <w:r w:rsidR="00C208F9">
        <w:rPr>
          <w:rFonts w:hint="eastAsia"/>
          <w:lang w:val="en-US" w:eastAsia="ja-JP"/>
        </w:rPr>
        <w:t>for</w:t>
      </w:r>
      <w:r w:rsidR="00D55323">
        <w:rPr>
          <w:rFonts w:hint="eastAsia"/>
          <w:lang w:val="en-US" w:eastAsia="ja-JP"/>
        </w:rPr>
        <w:t xml:space="preserve"> </w:t>
      </w:r>
      <w:r w:rsidR="004272BA">
        <w:rPr>
          <w:rFonts w:hint="eastAsia"/>
          <w:lang w:val="en-US" w:eastAsia="ja-JP"/>
        </w:rPr>
        <w:t>Space-Based VHF</w:t>
      </w:r>
    </w:p>
    <w:p w14:paraId="6454B750" w14:textId="5E3839ED" w:rsidR="00770160" w:rsidRPr="00032308" w:rsidRDefault="00770160">
      <w:pPr>
        <w:tabs>
          <w:tab w:val="left" w:pos="6972"/>
        </w:tabs>
        <w:rPr>
          <w:lang w:val="en-US" w:eastAsia="ja-JP"/>
        </w:rPr>
      </w:pPr>
    </w:p>
    <w:p w14:paraId="21095D85" w14:textId="77777777" w:rsidR="00770160" w:rsidRPr="00032308" w:rsidRDefault="00770160">
      <w:pPr>
        <w:tabs>
          <w:tab w:val="left" w:pos="6972"/>
        </w:tabs>
        <w:rPr>
          <w:lang w:val="en-US"/>
        </w:rPr>
      </w:pPr>
    </w:p>
    <w:p w14:paraId="7F55688A" w14:textId="03BC7A3E" w:rsidR="00770160" w:rsidRPr="00032308" w:rsidRDefault="00770160">
      <w:pPr>
        <w:jc w:val="center"/>
        <w:rPr>
          <w:lang w:val="en-US"/>
        </w:rPr>
      </w:pPr>
      <w:r w:rsidRPr="00032308">
        <w:rPr>
          <w:lang w:val="en-US"/>
        </w:rPr>
        <w:t>(Presented by</w:t>
      </w:r>
      <w:bookmarkStart w:id="0" w:name="presented_by"/>
      <w:bookmarkEnd w:id="0"/>
      <w:r w:rsidRPr="00032308">
        <w:rPr>
          <w:lang w:val="en-US"/>
        </w:rPr>
        <w:t xml:space="preserve"> </w:t>
      </w:r>
      <w:r w:rsidR="009F3664">
        <w:rPr>
          <w:rFonts w:hint="eastAsia"/>
          <w:lang w:val="en-US" w:eastAsia="ja-JP"/>
        </w:rPr>
        <w:t>Katsuyuki Arakawa</w:t>
      </w:r>
      <w:r w:rsidR="00AA6C93" w:rsidRPr="00032308">
        <w:rPr>
          <w:lang w:val="en-US"/>
        </w:rPr>
        <w:t>)</w:t>
      </w:r>
    </w:p>
    <w:p w14:paraId="0A98834D" w14:textId="77777777" w:rsidR="00770160" w:rsidRPr="00032308" w:rsidRDefault="00770160">
      <w:pPr>
        <w:rPr>
          <w:lang w:val="en-US"/>
        </w:rPr>
      </w:pPr>
    </w:p>
    <w:p w14:paraId="17F1DC8B" w14:textId="77777777" w:rsidR="00770160" w:rsidRPr="00032308" w:rsidRDefault="00770160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032308" w14:paraId="730EEE5B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4A6837C" w14:textId="77777777" w:rsidR="00770160" w:rsidRPr="00032308" w:rsidRDefault="00770160">
            <w:pPr>
              <w:jc w:val="center"/>
              <w:rPr>
                <w:sz w:val="24"/>
                <w:lang w:val="en-US"/>
              </w:rPr>
            </w:pPr>
            <w:r w:rsidRPr="00032308">
              <w:rPr>
                <w:b/>
                <w:lang w:val="en-US"/>
              </w:rPr>
              <w:t>SUMMARY</w:t>
            </w:r>
          </w:p>
        </w:tc>
      </w:tr>
      <w:tr w:rsidR="00770160" w:rsidRPr="00032308" w14:paraId="54F7E16F" w14:textId="77777777">
        <w:trPr>
          <w:cantSplit/>
          <w:jc w:val="center"/>
        </w:trPr>
        <w:tc>
          <w:tcPr>
            <w:tcW w:w="7200" w:type="dxa"/>
          </w:tcPr>
          <w:p w14:paraId="1EDB0FBF" w14:textId="75001A79" w:rsidR="00770160" w:rsidRPr="00032308" w:rsidRDefault="00D55323">
            <w:pPr>
              <w:rPr>
                <w:lang w:val="en-US"/>
              </w:rPr>
            </w:pPr>
            <w:r w:rsidRPr="00D55323">
              <w:rPr>
                <w:lang w:val="en-US"/>
              </w:rPr>
              <w:t xml:space="preserve">This WP proposes </w:t>
            </w:r>
            <w:r w:rsidR="00C41AB9">
              <w:rPr>
                <w:lang w:val="en-US" w:eastAsia="ja-JP"/>
              </w:rPr>
              <w:t xml:space="preserve">additional </w:t>
            </w:r>
            <w:r w:rsidR="003A3518">
              <w:rPr>
                <w:rFonts w:hint="eastAsia"/>
                <w:lang w:val="en-US" w:eastAsia="ja-JP"/>
              </w:rPr>
              <w:t>conten</w:t>
            </w:r>
            <w:r w:rsidR="00C41AB9">
              <w:rPr>
                <w:lang w:val="en-US" w:eastAsia="ja-JP"/>
              </w:rPr>
              <w:t>t</w:t>
            </w:r>
            <w:r w:rsidR="003A3518">
              <w:rPr>
                <w:rFonts w:hint="eastAsia"/>
                <w:lang w:val="en-US" w:eastAsia="ja-JP"/>
              </w:rPr>
              <w:t>s of</w:t>
            </w:r>
            <w:r w:rsidRPr="00D55323">
              <w:rPr>
                <w:lang w:val="en-US"/>
              </w:rPr>
              <w:t xml:space="preserve"> frequency planning criteria and procedures </w:t>
            </w:r>
            <w:r w:rsidR="003A3518">
              <w:rPr>
                <w:rFonts w:hint="eastAsia"/>
                <w:lang w:val="en-US" w:eastAsia="ja-JP"/>
              </w:rPr>
              <w:t xml:space="preserve">for </w:t>
            </w:r>
            <w:r w:rsidR="004272BA">
              <w:rPr>
                <w:rFonts w:hint="eastAsia"/>
                <w:lang w:val="en-US" w:eastAsia="ja-JP"/>
              </w:rPr>
              <w:t>Space-Based VHF</w:t>
            </w:r>
            <w:r w:rsidR="003A3518">
              <w:rPr>
                <w:rFonts w:hint="eastAsia"/>
                <w:lang w:val="en-US" w:eastAsia="ja-JP"/>
              </w:rPr>
              <w:t xml:space="preserve"> </w:t>
            </w:r>
            <w:r w:rsidR="003E2387">
              <w:rPr>
                <w:lang w:val="en-US"/>
              </w:rPr>
              <w:t xml:space="preserve">to </w:t>
            </w:r>
            <w:r w:rsidRPr="00D55323">
              <w:rPr>
                <w:lang w:val="en-US"/>
              </w:rPr>
              <w:t xml:space="preserve">be considered </w:t>
            </w:r>
            <w:r w:rsidR="003E2387">
              <w:rPr>
                <w:lang w:val="en-US"/>
              </w:rPr>
              <w:t xml:space="preserve">by </w:t>
            </w:r>
            <w:r w:rsidRPr="00D55323">
              <w:rPr>
                <w:lang w:val="en-US"/>
              </w:rPr>
              <w:t>the Space-Based VHF Correspondence Group.</w:t>
            </w:r>
            <w:r w:rsidR="009F3664">
              <w:rPr>
                <w:rFonts w:hint="eastAsia"/>
                <w:lang w:val="en-US" w:eastAsia="ja-JP"/>
              </w:rPr>
              <w:t xml:space="preserve"> </w:t>
            </w:r>
          </w:p>
        </w:tc>
      </w:tr>
    </w:tbl>
    <w:p w14:paraId="4490515D" w14:textId="77777777" w:rsidR="00770160" w:rsidRPr="00395263" w:rsidRDefault="00770160"/>
    <w:p w14:paraId="6F8E4828" w14:textId="77777777" w:rsidR="00770160" w:rsidRPr="00032308" w:rsidRDefault="00770160">
      <w:pPr>
        <w:rPr>
          <w:lang w:val="en-US"/>
        </w:rPr>
      </w:pPr>
    </w:p>
    <w:p w14:paraId="40730B89" w14:textId="77777777" w:rsidR="00770160" w:rsidRPr="00032308" w:rsidRDefault="00770160">
      <w:pPr>
        <w:pStyle w:val="1Heading"/>
        <w:rPr>
          <w:lang w:val="en-US"/>
        </w:rPr>
      </w:pPr>
      <w:r w:rsidRPr="00032308">
        <w:rPr>
          <w:lang w:val="en-US"/>
        </w:rPr>
        <w:t>INTRODUCTION</w:t>
      </w:r>
    </w:p>
    <w:p w14:paraId="4BB4A7E0" w14:textId="3381A28B" w:rsidR="00222D23" w:rsidRPr="004B00DD" w:rsidRDefault="003E2387" w:rsidP="004B00DD">
      <w:pPr>
        <w:pStyle w:val="2para"/>
        <w:rPr>
          <w:lang w:val="en-US" w:eastAsia="ja-JP"/>
        </w:rPr>
      </w:pPr>
      <w:r>
        <w:rPr>
          <w:lang w:val="en-US" w:eastAsia="ja-JP"/>
        </w:rPr>
        <w:t xml:space="preserve">The </w:t>
      </w:r>
      <w:r w:rsidR="004B00DD" w:rsidRPr="004B00DD">
        <w:rPr>
          <w:lang w:val="en-US" w:eastAsia="ja-JP"/>
        </w:rPr>
        <w:t>Space-Based VHF Correspondence Group (CG) has been</w:t>
      </w:r>
      <w:r w:rsidR="004B00DD">
        <w:rPr>
          <w:rFonts w:hint="eastAsia"/>
          <w:lang w:val="en-US" w:eastAsia="ja-JP"/>
        </w:rPr>
        <w:t xml:space="preserve"> developing </w:t>
      </w:r>
      <w:r w:rsidR="004B00DD" w:rsidRPr="004B00DD">
        <w:rPr>
          <w:lang w:val="en-US" w:eastAsia="ja-JP"/>
        </w:rPr>
        <w:t xml:space="preserve">frequency planning criteria and procedures for </w:t>
      </w:r>
      <w:r>
        <w:rPr>
          <w:rFonts w:hint="eastAsia"/>
          <w:lang w:val="en-US" w:eastAsia="ja-JP"/>
        </w:rPr>
        <w:t>Space-Based VHF</w:t>
      </w:r>
      <w:r w:rsidRPr="004B00DD">
        <w:rPr>
          <w:lang w:val="en-US" w:eastAsia="ja-JP"/>
        </w:rPr>
        <w:t xml:space="preserve"> </w:t>
      </w:r>
      <w:r>
        <w:rPr>
          <w:lang w:val="en-US" w:eastAsia="ja-JP"/>
        </w:rPr>
        <w:t xml:space="preserve">as a </w:t>
      </w:r>
      <w:r w:rsidR="004B00DD" w:rsidRPr="004B00DD">
        <w:rPr>
          <w:lang w:val="en-US" w:eastAsia="ja-JP"/>
        </w:rPr>
        <w:t>new VHF AMS(R)S system</w:t>
      </w:r>
      <w:r w:rsidR="0092053D" w:rsidRPr="0092053D">
        <w:rPr>
          <w:lang w:val="en-US" w:eastAsia="ja-JP"/>
        </w:rPr>
        <w:t>.</w:t>
      </w:r>
      <w:r w:rsidR="004B00DD">
        <w:rPr>
          <w:rFonts w:hint="eastAsia"/>
          <w:lang w:val="en-US" w:eastAsia="ja-JP"/>
        </w:rPr>
        <w:t xml:space="preserve"> </w:t>
      </w:r>
      <w:r>
        <w:rPr>
          <w:lang w:val="en-US" w:eastAsia="ja-JP"/>
        </w:rPr>
        <w:t xml:space="preserve">After the </w:t>
      </w:r>
      <w:proofErr w:type="spellStart"/>
      <w:r>
        <w:rPr>
          <w:lang w:val="en-US" w:eastAsia="ja-JP"/>
        </w:rPr>
        <w:t>compeletion</w:t>
      </w:r>
      <w:proofErr w:type="spellEnd"/>
      <w:r>
        <w:rPr>
          <w:lang w:val="en-US" w:eastAsia="ja-JP"/>
        </w:rPr>
        <w:t>, t</w:t>
      </w:r>
      <w:r w:rsidR="004B00DD">
        <w:rPr>
          <w:rFonts w:hint="eastAsia"/>
          <w:lang w:val="en-US" w:eastAsia="ja-JP"/>
        </w:rPr>
        <w:t xml:space="preserve">he </w:t>
      </w:r>
      <w:r w:rsidR="004B00DD" w:rsidRPr="006472AC">
        <w:rPr>
          <w:rFonts w:eastAsiaTheme="minorEastAsia"/>
          <w:kern w:val="2"/>
          <w:szCs w:val="22"/>
          <w:lang w:val="en-AU" w:eastAsia="zh-CN" w:bidi="th-TH"/>
        </w:rPr>
        <w:t xml:space="preserve">planning criteria </w:t>
      </w:r>
      <w:r>
        <w:rPr>
          <w:rFonts w:eastAsiaTheme="minorEastAsia"/>
          <w:kern w:val="2"/>
          <w:szCs w:val="22"/>
          <w:lang w:val="en-AU" w:eastAsia="zh-CN" w:bidi="th-TH"/>
        </w:rPr>
        <w:t xml:space="preserve">and procedures </w:t>
      </w:r>
      <w:r w:rsidR="004B00DD">
        <w:rPr>
          <w:rFonts w:eastAsia="Yu Mincho" w:hint="eastAsia"/>
          <w:kern w:val="2"/>
          <w:szCs w:val="22"/>
          <w:lang w:val="en-AU" w:eastAsia="ja-JP" w:bidi="th-TH"/>
        </w:rPr>
        <w:t>will</w:t>
      </w:r>
      <w:r w:rsidR="004B00DD" w:rsidRPr="006472AC">
        <w:rPr>
          <w:rFonts w:eastAsiaTheme="minorEastAsia"/>
          <w:kern w:val="2"/>
          <w:szCs w:val="22"/>
          <w:lang w:val="en-AU" w:eastAsia="zh-CN" w:bidi="th-TH"/>
        </w:rPr>
        <w:t xml:space="preserve"> be included in Doc 9718 (</w:t>
      </w:r>
      <w:r>
        <w:rPr>
          <w:rFonts w:eastAsiaTheme="minorEastAsia"/>
          <w:kern w:val="2"/>
          <w:szCs w:val="22"/>
          <w:lang w:val="en-AU" w:eastAsia="zh-CN" w:bidi="th-TH"/>
        </w:rPr>
        <w:t xml:space="preserve">The </w:t>
      </w:r>
      <w:r w:rsidR="004B00DD" w:rsidRPr="006472AC">
        <w:rPr>
          <w:rFonts w:eastAsiaTheme="minorEastAsia"/>
          <w:kern w:val="2"/>
          <w:szCs w:val="22"/>
          <w:lang w:val="en-AU" w:eastAsia="zh-CN" w:bidi="th-TH"/>
        </w:rPr>
        <w:t xml:space="preserve">Handbook on Radio Frequency Spectrum Requirements for Civil Aviation) </w:t>
      </w:r>
      <w:r>
        <w:rPr>
          <w:rFonts w:eastAsiaTheme="minorEastAsia"/>
          <w:kern w:val="2"/>
          <w:szCs w:val="22"/>
          <w:lang w:val="en-AU" w:eastAsia="zh-CN" w:bidi="th-TH"/>
        </w:rPr>
        <w:t>to assist</w:t>
      </w:r>
      <w:r w:rsidR="004B00DD" w:rsidRPr="006472AC">
        <w:rPr>
          <w:rFonts w:eastAsiaTheme="minorEastAsia"/>
          <w:kern w:val="2"/>
          <w:szCs w:val="22"/>
          <w:lang w:val="en-AU" w:eastAsia="zh-CN" w:bidi="th-TH"/>
        </w:rPr>
        <w:t xml:space="preserve"> the implementation of </w:t>
      </w:r>
      <w:r w:rsidR="004272BA">
        <w:rPr>
          <w:rFonts w:eastAsiaTheme="minorEastAsia"/>
          <w:kern w:val="2"/>
          <w:szCs w:val="22"/>
          <w:lang w:val="en-AU" w:eastAsia="zh-CN" w:bidi="th-TH"/>
        </w:rPr>
        <w:t>Space-Based VHF</w:t>
      </w:r>
      <w:r w:rsidR="004B00DD">
        <w:rPr>
          <w:rFonts w:eastAsia="Yu Mincho" w:hint="eastAsia"/>
          <w:kern w:val="2"/>
          <w:szCs w:val="22"/>
          <w:lang w:val="en-AU" w:eastAsia="ja-JP" w:bidi="th-TH"/>
        </w:rPr>
        <w:t>.</w:t>
      </w:r>
    </w:p>
    <w:p w14:paraId="12F6E833" w14:textId="0BFAB1FA" w:rsidR="004B00DD" w:rsidRDefault="004B00DD" w:rsidP="004B00DD">
      <w:pPr>
        <w:pStyle w:val="2para"/>
        <w:rPr>
          <w:lang w:val="en-US" w:eastAsia="ja-JP"/>
        </w:rPr>
      </w:pPr>
      <w:r w:rsidRPr="004B00DD">
        <w:rPr>
          <w:lang w:val="en-US" w:eastAsia="ja-JP"/>
        </w:rPr>
        <w:t xml:space="preserve">The </w:t>
      </w:r>
      <w:r w:rsidR="004272BA">
        <w:rPr>
          <w:lang w:val="en-US" w:eastAsia="ja-JP"/>
        </w:rPr>
        <w:t>Space-Based VHF</w:t>
      </w:r>
      <w:r w:rsidRPr="004B00DD">
        <w:rPr>
          <w:lang w:val="en-US" w:eastAsia="ja-JP"/>
        </w:rPr>
        <w:t xml:space="preserve"> CG </w:t>
      </w:r>
      <w:r w:rsidR="003E2387">
        <w:rPr>
          <w:lang w:val="en-US" w:eastAsia="ja-JP"/>
        </w:rPr>
        <w:t>has been coordinating</w:t>
      </w:r>
      <w:r w:rsidRPr="004B00DD">
        <w:rPr>
          <w:lang w:val="en-US" w:eastAsia="ja-JP"/>
        </w:rPr>
        <w:t xml:space="preserve"> with the Project Team - </w:t>
      </w:r>
      <w:r w:rsidR="004272BA">
        <w:rPr>
          <w:lang w:val="en-US" w:eastAsia="ja-JP"/>
        </w:rPr>
        <w:t>Space-Based VHF</w:t>
      </w:r>
      <w:r w:rsidRPr="004B00DD">
        <w:rPr>
          <w:lang w:val="en-US" w:eastAsia="ja-JP"/>
        </w:rPr>
        <w:t xml:space="preserve"> (PT-SBV), </w:t>
      </w:r>
      <w:r w:rsidR="003E2387">
        <w:rPr>
          <w:lang w:val="en-US" w:eastAsia="ja-JP"/>
        </w:rPr>
        <w:t xml:space="preserve">so that </w:t>
      </w:r>
      <w:r w:rsidRPr="004B00DD">
        <w:rPr>
          <w:lang w:val="en-US" w:eastAsia="ja-JP"/>
        </w:rPr>
        <w:t>ensur</w:t>
      </w:r>
      <w:r w:rsidR="003E2387">
        <w:rPr>
          <w:lang w:val="en-US" w:eastAsia="ja-JP"/>
        </w:rPr>
        <w:t>e</w:t>
      </w:r>
      <w:r w:rsidRPr="004B00DD">
        <w:rPr>
          <w:lang w:val="en-US" w:eastAsia="ja-JP"/>
        </w:rPr>
        <w:t xml:space="preserve"> there is no duplication of effort</w:t>
      </w:r>
      <w:r w:rsidR="003E2387">
        <w:rPr>
          <w:lang w:val="en-US" w:eastAsia="ja-JP"/>
        </w:rPr>
        <w:t>s</w:t>
      </w:r>
      <w:r w:rsidRPr="004B00DD">
        <w:rPr>
          <w:lang w:val="en-US" w:eastAsia="ja-JP"/>
        </w:rPr>
        <w:t xml:space="preserve"> and </w:t>
      </w:r>
      <w:r w:rsidR="003E2387">
        <w:rPr>
          <w:lang w:val="en-US" w:eastAsia="ja-JP"/>
        </w:rPr>
        <w:t>each</w:t>
      </w:r>
      <w:r w:rsidRPr="004B00DD">
        <w:rPr>
          <w:lang w:val="en-US" w:eastAsia="ja-JP"/>
        </w:rPr>
        <w:t xml:space="preserve"> </w:t>
      </w:r>
      <w:proofErr w:type="gramStart"/>
      <w:r w:rsidRPr="004B00DD">
        <w:rPr>
          <w:lang w:val="en-US" w:eastAsia="ja-JP"/>
        </w:rPr>
        <w:t>groups</w:t>
      </w:r>
      <w:proofErr w:type="gramEnd"/>
      <w:r w:rsidRPr="004B00DD">
        <w:rPr>
          <w:lang w:val="en-US" w:eastAsia="ja-JP"/>
        </w:rPr>
        <w:t xml:space="preserve"> </w:t>
      </w:r>
      <w:r w:rsidR="003E2387">
        <w:rPr>
          <w:lang w:val="en-US" w:eastAsia="ja-JP"/>
        </w:rPr>
        <w:t>is</w:t>
      </w:r>
      <w:r w:rsidRPr="004B00DD">
        <w:rPr>
          <w:lang w:val="en-US" w:eastAsia="ja-JP"/>
        </w:rPr>
        <w:t xml:space="preserve"> aware of the </w:t>
      </w:r>
      <w:r w:rsidR="003E2387">
        <w:rPr>
          <w:lang w:val="en-US" w:eastAsia="ja-JP"/>
        </w:rPr>
        <w:t xml:space="preserve">other’s </w:t>
      </w:r>
      <w:r w:rsidRPr="004B00DD">
        <w:rPr>
          <w:lang w:val="en-US" w:eastAsia="ja-JP"/>
        </w:rPr>
        <w:t>work</w:t>
      </w:r>
      <w:r w:rsidR="003E2387">
        <w:rPr>
          <w:lang w:val="en-US" w:eastAsia="ja-JP"/>
        </w:rPr>
        <w:t>s</w:t>
      </w:r>
      <w:r w:rsidRPr="004B00DD">
        <w:rPr>
          <w:lang w:val="en-US" w:eastAsia="ja-JP"/>
        </w:rPr>
        <w:t>.</w:t>
      </w:r>
    </w:p>
    <w:p w14:paraId="26BC0923" w14:textId="69D3D08A" w:rsidR="00F06A36" w:rsidRPr="00F06A36" w:rsidRDefault="004B00DD" w:rsidP="00F06A36">
      <w:pPr>
        <w:pStyle w:val="2para"/>
        <w:rPr>
          <w:lang w:val="en-US" w:eastAsia="ja-JP"/>
        </w:rPr>
      </w:pPr>
      <w:r>
        <w:rPr>
          <w:lang w:val="en-US" w:eastAsia="ja-JP"/>
        </w:rPr>
        <w:t>T</w:t>
      </w:r>
      <w:r>
        <w:rPr>
          <w:rFonts w:hint="eastAsia"/>
          <w:lang w:val="en-US" w:eastAsia="ja-JP"/>
        </w:rPr>
        <w:t xml:space="preserve">he </w:t>
      </w:r>
      <w:r w:rsidR="003E2387">
        <w:rPr>
          <w:lang w:val="en-US" w:eastAsia="ja-JP"/>
        </w:rPr>
        <w:t xml:space="preserve">current </w:t>
      </w:r>
      <w:r>
        <w:rPr>
          <w:rFonts w:hint="eastAsia"/>
          <w:lang w:val="en-US" w:eastAsia="ja-JP"/>
        </w:rPr>
        <w:t xml:space="preserve">work plan </w:t>
      </w:r>
      <w:r w:rsidR="00F06A36">
        <w:rPr>
          <w:rFonts w:hint="eastAsia"/>
          <w:lang w:val="en-US" w:eastAsia="ja-JP"/>
        </w:rPr>
        <w:t xml:space="preserve">to deliver </w:t>
      </w:r>
      <w:r w:rsidR="003A3518">
        <w:rPr>
          <w:rFonts w:hint="eastAsia"/>
          <w:lang w:val="en-US" w:eastAsia="ja-JP"/>
        </w:rPr>
        <w:t xml:space="preserve">several documents and deliverables </w:t>
      </w:r>
      <w:r w:rsidR="007F6AF6">
        <w:rPr>
          <w:rFonts w:hint="eastAsia"/>
          <w:lang w:val="en-US" w:eastAsia="ja-JP"/>
        </w:rPr>
        <w:t xml:space="preserve">by the </w:t>
      </w:r>
      <w:r w:rsidR="007F6AF6" w:rsidRPr="004B00DD">
        <w:rPr>
          <w:lang w:val="en-US" w:eastAsia="ja-JP"/>
        </w:rPr>
        <w:t>Space-Based VHF CG</w:t>
      </w:r>
      <w:r w:rsidR="007F6AF6">
        <w:rPr>
          <w:rFonts w:hint="eastAsia"/>
          <w:lang w:val="en-US" w:eastAsia="ja-JP"/>
        </w:rPr>
        <w:t xml:space="preserve"> </w:t>
      </w:r>
      <w:r w:rsidR="003A3518">
        <w:rPr>
          <w:rFonts w:hint="eastAsia"/>
          <w:lang w:val="en-US" w:eastAsia="ja-JP"/>
        </w:rPr>
        <w:t>are as follows</w:t>
      </w:r>
      <w:r w:rsidR="003E2387">
        <w:rPr>
          <w:lang w:val="en-US" w:eastAsia="ja-JP"/>
        </w:rPr>
        <w:t>:</w:t>
      </w:r>
    </w:p>
    <w:p w14:paraId="0CA60B5E" w14:textId="77777777" w:rsidR="00121F82" w:rsidRPr="00C873BC" w:rsidRDefault="00121F82" w:rsidP="00121F82">
      <w:pPr>
        <w:spacing w:after="120"/>
        <w:contextualSpacing/>
        <w:jc w:val="left"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 WG/20</w:t>
      </w:r>
      <w:r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(Feb 2025)</w:t>
      </w:r>
    </w:p>
    <w:p w14:paraId="590EC241" w14:textId="330A1FF1" w:rsidR="00121F82" w:rsidRDefault="003E2387" w:rsidP="00121F82">
      <w:pPr>
        <w:pStyle w:val="ListParagraph"/>
        <w:numPr>
          <w:ilvl w:val="0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Update of the w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 xml:space="preserve">ork </w:t>
      </w:r>
      <w:r>
        <w:rPr>
          <w:rFonts w:eastAsiaTheme="minorEastAsia"/>
          <w:kern w:val="2"/>
          <w:szCs w:val="22"/>
          <w:lang w:val="en-AU" w:eastAsia="zh-CN" w:bidi="th-TH"/>
        </w:rPr>
        <w:t>p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lan</w:t>
      </w:r>
    </w:p>
    <w:p w14:paraId="7C528DD9" w14:textId="7425C261" w:rsidR="00EC0A44" w:rsidRDefault="00121F82" w:rsidP="00121F82">
      <w:pPr>
        <w:pStyle w:val="ListParagraph"/>
        <w:numPr>
          <w:ilvl w:val="0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Final </w:t>
      </w:r>
      <w:r w:rsidR="00EC0A44">
        <w:rPr>
          <w:rFonts w:eastAsiaTheme="minorEastAsia"/>
          <w:kern w:val="2"/>
          <w:szCs w:val="22"/>
          <w:lang w:val="en-AU" w:eastAsia="zh-CN" w:bidi="th-TH"/>
        </w:rPr>
        <w:t>D</w:t>
      </w:r>
      <w:r w:rsidR="003E2387">
        <w:rPr>
          <w:rFonts w:eastAsiaTheme="minorEastAsia"/>
          <w:kern w:val="2"/>
          <w:szCs w:val="22"/>
          <w:lang w:val="en-AU" w:eastAsia="zh-CN" w:bidi="th-TH"/>
        </w:rPr>
        <w:t>raft</w:t>
      </w:r>
    </w:p>
    <w:p w14:paraId="5E8D09CA" w14:textId="0010CA2D" w:rsidR="00121F82" w:rsidRPr="008F4101" w:rsidRDefault="003E2387" w:rsidP="00121F82">
      <w:pPr>
        <w:pStyle w:val="ListParagraph"/>
        <w:numPr>
          <w:ilvl w:val="1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Update of 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Doc.9718 Vol</w:t>
      </w:r>
      <w:r w:rsidR="00C41AB9">
        <w:rPr>
          <w:rFonts w:eastAsiaTheme="minorEastAsia"/>
          <w:kern w:val="2"/>
          <w:szCs w:val="22"/>
          <w:lang w:val="en-AU" w:eastAsia="zh-CN" w:bidi="th-TH"/>
        </w:rPr>
        <w:t>.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1</w:t>
      </w:r>
    </w:p>
    <w:p w14:paraId="63BD857D" w14:textId="77777777" w:rsidR="00121F82" w:rsidRPr="008F4101" w:rsidRDefault="00121F82" w:rsidP="00121F82">
      <w:pPr>
        <w:pStyle w:val="ListParagraph"/>
        <w:numPr>
          <w:ilvl w:val="0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lastRenderedPageBreak/>
        <w:t>2nd Draft:</w:t>
      </w:r>
    </w:p>
    <w:p w14:paraId="78B6F6F4" w14:textId="77777777" w:rsidR="00121F82" w:rsidRPr="008F4101" w:rsidRDefault="00121F82" w:rsidP="00121F82">
      <w:pPr>
        <w:pStyle w:val="ListParagraph"/>
        <w:numPr>
          <w:ilvl w:val="1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 xml:space="preserve">Vol.5 </w:t>
      </w:r>
      <w:proofErr w:type="spellStart"/>
      <w:r w:rsidRPr="008F4101">
        <w:rPr>
          <w:rFonts w:eastAsiaTheme="minorEastAsia"/>
          <w:kern w:val="2"/>
          <w:szCs w:val="22"/>
          <w:lang w:val="en-AU" w:eastAsia="zh-CN" w:bidi="th-TH"/>
        </w:rPr>
        <w:t>PfA</w:t>
      </w:r>
      <w:proofErr w:type="spellEnd"/>
    </w:p>
    <w:p w14:paraId="1E2CFA16" w14:textId="77777777" w:rsidR="00121F82" w:rsidRDefault="00121F82" w:rsidP="00121F82">
      <w:pPr>
        <w:pStyle w:val="ListParagraph"/>
        <w:numPr>
          <w:ilvl w:val="1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Validation Report</w:t>
      </w:r>
    </w:p>
    <w:p w14:paraId="3E82D2D1" w14:textId="77777777" w:rsidR="00121F82" w:rsidRDefault="00121F82" w:rsidP="00121F82">
      <w:pPr>
        <w:pStyle w:val="ListParagraph"/>
        <w:numPr>
          <w:ilvl w:val="1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Impact Assessment and Implementation Plan</w:t>
      </w:r>
    </w:p>
    <w:p w14:paraId="3BDE77F0" w14:textId="52D331F7" w:rsidR="00121F82" w:rsidRDefault="00121F82" w:rsidP="00121F82">
      <w:pPr>
        <w:pStyle w:val="ListParagraph"/>
        <w:numPr>
          <w:ilvl w:val="0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Initial Draft</w:t>
      </w:r>
    </w:p>
    <w:p w14:paraId="60AC0E1F" w14:textId="19ACF372" w:rsidR="00121F82" w:rsidRDefault="00EC0A44" w:rsidP="00121F82">
      <w:pPr>
        <w:pStyle w:val="ListParagraph"/>
        <w:numPr>
          <w:ilvl w:val="1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Update of 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 xml:space="preserve">Doc.9718 </w:t>
      </w:r>
      <w:r w:rsidR="00121F82">
        <w:rPr>
          <w:rFonts w:eastAsiaTheme="minorEastAsia"/>
          <w:kern w:val="2"/>
          <w:szCs w:val="22"/>
          <w:lang w:val="en-AU" w:eastAsia="zh-CN" w:bidi="th-TH"/>
        </w:rPr>
        <w:t>Vol</w:t>
      </w:r>
      <w:r w:rsidR="00C41AB9">
        <w:rPr>
          <w:rFonts w:eastAsiaTheme="minorEastAsia"/>
          <w:kern w:val="2"/>
          <w:szCs w:val="22"/>
          <w:lang w:val="en-AU" w:eastAsia="zh-CN" w:bidi="th-TH"/>
        </w:rPr>
        <w:t>.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2</w:t>
      </w:r>
    </w:p>
    <w:p w14:paraId="44403548" w14:textId="77777777" w:rsidR="00121F82" w:rsidRDefault="00121F82" w:rsidP="00121F82">
      <w:pPr>
        <w:spacing w:after="120"/>
        <w:contextualSpacing/>
        <w:rPr>
          <w:rFonts w:eastAsia="Yu Mincho"/>
          <w:b/>
          <w:bCs/>
          <w:kern w:val="2"/>
          <w:szCs w:val="22"/>
          <w:lang w:val="en-AU" w:eastAsia="ja-JP" w:bidi="th-TH"/>
        </w:rPr>
      </w:pPr>
    </w:p>
    <w:p w14:paraId="6DB7BE4E" w14:textId="371F3BA7" w:rsidR="00121F82" w:rsidRPr="00C873BC" w:rsidRDefault="00121F82" w:rsidP="00121F82">
      <w:pPr>
        <w:spacing w:after="120"/>
        <w:contextualSpacing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 WG/21</w:t>
      </w:r>
      <w:r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(Sept 2025)</w:t>
      </w:r>
    </w:p>
    <w:p w14:paraId="3D0CB56A" w14:textId="62970840" w:rsidR="00121F82" w:rsidRPr="008F4101" w:rsidRDefault="00EC0A44" w:rsidP="00121F82">
      <w:pPr>
        <w:pStyle w:val="ListParagraph"/>
        <w:numPr>
          <w:ilvl w:val="0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Update of the w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 xml:space="preserve">ork </w:t>
      </w:r>
      <w:r>
        <w:rPr>
          <w:rFonts w:eastAsiaTheme="minorEastAsia"/>
          <w:kern w:val="2"/>
          <w:szCs w:val="22"/>
          <w:lang w:val="en-AU" w:eastAsia="zh-CN" w:bidi="th-TH"/>
        </w:rPr>
        <w:t>p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lan</w:t>
      </w:r>
    </w:p>
    <w:p w14:paraId="2B987FBF" w14:textId="4BEC2D63" w:rsidR="00121F82" w:rsidRPr="008F4101" w:rsidRDefault="00121F82" w:rsidP="00121F82">
      <w:pPr>
        <w:pStyle w:val="ListParagraph"/>
        <w:numPr>
          <w:ilvl w:val="0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 xml:space="preserve">Final </w:t>
      </w:r>
      <w:r w:rsidR="00EC0A44">
        <w:rPr>
          <w:rFonts w:eastAsiaTheme="minorEastAsia"/>
          <w:kern w:val="2"/>
          <w:szCs w:val="22"/>
          <w:lang w:val="en-AU" w:eastAsia="zh-CN" w:bidi="th-TH"/>
        </w:rPr>
        <w:t>Draft</w:t>
      </w:r>
    </w:p>
    <w:p w14:paraId="14698CDE" w14:textId="77777777" w:rsidR="00121F82" w:rsidRPr="008F4101" w:rsidRDefault="00121F82" w:rsidP="00121F82">
      <w:pPr>
        <w:pStyle w:val="ListParagraph"/>
        <w:numPr>
          <w:ilvl w:val="1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 xml:space="preserve">Vol.5 </w:t>
      </w:r>
      <w:proofErr w:type="spellStart"/>
      <w:r w:rsidRPr="008F4101">
        <w:rPr>
          <w:rFonts w:eastAsiaTheme="minorEastAsia"/>
          <w:kern w:val="2"/>
          <w:szCs w:val="22"/>
          <w:lang w:val="en-AU" w:eastAsia="zh-CN" w:bidi="th-TH"/>
        </w:rPr>
        <w:t>PfA</w:t>
      </w:r>
      <w:proofErr w:type="spellEnd"/>
    </w:p>
    <w:p w14:paraId="304DE941" w14:textId="77777777" w:rsidR="00121F82" w:rsidRDefault="00121F82" w:rsidP="00121F82">
      <w:pPr>
        <w:pStyle w:val="ListParagraph"/>
        <w:numPr>
          <w:ilvl w:val="1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Validation Report</w:t>
      </w:r>
    </w:p>
    <w:p w14:paraId="37FA3CD4" w14:textId="77777777" w:rsidR="00121F82" w:rsidRDefault="00121F82" w:rsidP="00121F82">
      <w:pPr>
        <w:pStyle w:val="ListParagraph"/>
        <w:numPr>
          <w:ilvl w:val="1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>Impact Assessment and Implementation Plan</w:t>
      </w:r>
    </w:p>
    <w:p w14:paraId="15FC5F2B" w14:textId="77777777" w:rsidR="00121F82" w:rsidRDefault="00121F82" w:rsidP="00121F82">
      <w:pPr>
        <w:pStyle w:val="ListParagraph"/>
        <w:numPr>
          <w:ilvl w:val="0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2nd Draft</w:t>
      </w:r>
    </w:p>
    <w:p w14:paraId="0DDBB969" w14:textId="08FD21B8" w:rsidR="00121F82" w:rsidRDefault="00EC0A44" w:rsidP="00121F82">
      <w:pPr>
        <w:pStyle w:val="ListParagraph"/>
        <w:numPr>
          <w:ilvl w:val="1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Update of 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 xml:space="preserve">Doc.9718 </w:t>
      </w:r>
      <w:r w:rsidR="00121F82">
        <w:rPr>
          <w:rFonts w:eastAsiaTheme="minorEastAsia"/>
          <w:kern w:val="2"/>
          <w:szCs w:val="22"/>
          <w:lang w:val="en-AU" w:eastAsia="zh-CN" w:bidi="th-TH"/>
        </w:rPr>
        <w:t>Vol</w:t>
      </w:r>
      <w:r w:rsidR="00C41AB9">
        <w:rPr>
          <w:rFonts w:eastAsiaTheme="minorEastAsia"/>
          <w:kern w:val="2"/>
          <w:szCs w:val="22"/>
          <w:lang w:val="en-AU" w:eastAsia="zh-CN" w:bidi="th-TH"/>
        </w:rPr>
        <w:t>.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2</w:t>
      </w:r>
    </w:p>
    <w:p w14:paraId="41649AE1" w14:textId="77777777" w:rsidR="00121F82" w:rsidRDefault="00121F82" w:rsidP="00121F82">
      <w:pPr>
        <w:pStyle w:val="ListParagraph"/>
        <w:numPr>
          <w:ilvl w:val="0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 xml:space="preserve">Vol.3 </w:t>
      </w:r>
      <w:proofErr w:type="spellStart"/>
      <w:r w:rsidRPr="008F4101">
        <w:rPr>
          <w:rFonts w:eastAsiaTheme="minorEastAsia"/>
          <w:kern w:val="2"/>
          <w:szCs w:val="22"/>
          <w:lang w:val="en-AU" w:eastAsia="zh-CN" w:bidi="th-TH"/>
        </w:rPr>
        <w:t>PfA</w:t>
      </w:r>
      <w:proofErr w:type="spellEnd"/>
      <w:r>
        <w:rPr>
          <w:rFonts w:eastAsiaTheme="minorEastAsia"/>
          <w:kern w:val="2"/>
          <w:szCs w:val="22"/>
          <w:lang w:val="en-AU" w:eastAsia="zh-CN" w:bidi="th-TH"/>
        </w:rPr>
        <w:t xml:space="preserve"> (Recommended by DCIWG)</w:t>
      </w:r>
    </w:p>
    <w:p w14:paraId="4B968A3F" w14:textId="77777777" w:rsidR="00121F82" w:rsidRPr="00DC62B6" w:rsidRDefault="00121F82" w:rsidP="00121F82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p w14:paraId="69426AED" w14:textId="77777777" w:rsidR="00121F82" w:rsidRPr="00C873BC" w:rsidRDefault="00121F82" w:rsidP="00121F82">
      <w:pPr>
        <w:spacing w:after="120"/>
        <w:contextualSpacing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FSMP/4</w:t>
      </w:r>
      <w:r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(Sept 2025)</w:t>
      </w:r>
    </w:p>
    <w:p w14:paraId="340CF059" w14:textId="72033408" w:rsidR="00121F82" w:rsidRPr="008F4101" w:rsidRDefault="00121F82" w:rsidP="00121F82">
      <w:pPr>
        <w:pStyle w:val="ListParagraph"/>
        <w:numPr>
          <w:ilvl w:val="0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FSMP</w:t>
      </w:r>
      <w:r w:rsidR="00CA11F9">
        <w:rPr>
          <w:rFonts w:eastAsia="Yu Mincho" w:hint="eastAsia"/>
          <w:kern w:val="2"/>
          <w:szCs w:val="22"/>
          <w:lang w:val="en-AU" w:eastAsia="ja-JP" w:bidi="th-TH"/>
        </w:rPr>
        <w:t xml:space="preserve"> </w:t>
      </w:r>
      <w:r w:rsidRPr="008F4101">
        <w:rPr>
          <w:rFonts w:eastAsiaTheme="minorEastAsia"/>
          <w:kern w:val="2"/>
          <w:szCs w:val="22"/>
          <w:lang w:val="en-AU" w:eastAsia="zh-CN" w:bidi="th-TH"/>
        </w:rPr>
        <w:t>Endorse</w:t>
      </w:r>
      <w:r w:rsidR="00EC0A44">
        <w:rPr>
          <w:rFonts w:eastAsiaTheme="minorEastAsia"/>
          <w:kern w:val="2"/>
          <w:szCs w:val="22"/>
          <w:lang w:val="en-AU" w:eastAsia="zh-CN" w:bidi="th-TH"/>
        </w:rPr>
        <w:t>ment</w:t>
      </w:r>
      <w:r w:rsidRPr="008F4101">
        <w:rPr>
          <w:rFonts w:eastAsiaTheme="minorEastAsia"/>
          <w:kern w:val="2"/>
          <w:szCs w:val="22"/>
          <w:lang w:val="en-AU" w:eastAsia="zh-CN" w:bidi="th-TH"/>
        </w:rPr>
        <w:t>:</w:t>
      </w:r>
    </w:p>
    <w:p w14:paraId="6F6D4F89" w14:textId="77777777" w:rsidR="00121F82" w:rsidRPr="008F4101" w:rsidRDefault="00121F82" w:rsidP="00121F82">
      <w:pPr>
        <w:pStyle w:val="ListParagraph"/>
        <w:numPr>
          <w:ilvl w:val="1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 xml:space="preserve">Vol.5 </w:t>
      </w:r>
      <w:proofErr w:type="spellStart"/>
      <w:r w:rsidRPr="008F4101">
        <w:rPr>
          <w:rFonts w:eastAsiaTheme="minorEastAsia"/>
          <w:kern w:val="2"/>
          <w:szCs w:val="22"/>
          <w:lang w:val="en-AU" w:eastAsia="zh-CN" w:bidi="th-TH"/>
        </w:rPr>
        <w:t>PfA</w:t>
      </w:r>
      <w:proofErr w:type="spellEnd"/>
    </w:p>
    <w:p w14:paraId="4F91265E" w14:textId="77777777" w:rsidR="00121F82" w:rsidRDefault="00121F82" w:rsidP="00121F82">
      <w:pPr>
        <w:pStyle w:val="ListParagraph"/>
        <w:numPr>
          <w:ilvl w:val="1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Validation Report</w:t>
      </w:r>
    </w:p>
    <w:p w14:paraId="0E79B7B2" w14:textId="77777777" w:rsidR="00121F82" w:rsidRPr="00EB1CB3" w:rsidRDefault="00121F82" w:rsidP="00121F82">
      <w:pPr>
        <w:pStyle w:val="ListParagraph"/>
        <w:numPr>
          <w:ilvl w:val="1"/>
          <w:numId w:val="9"/>
        </w:numPr>
        <w:spacing w:after="120"/>
        <w:jc w:val="left"/>
        <w:rPr>
          <w:rFonts w:eastAsiaTheme="minorEastAsia"/>
          <w:kern w:val="2"/>
          <w:szCs w:val="22"/>
          <w:lang w:val="en-AU" w:eastAsia="zh-CN" w:bidi="th-TH"/>
        </w:rPr>
      </w:pPr>
      <w:r w:rsidRPr="00EB1CB3">
        <w:rPr>
          <w:rFonts w:eastAsiaTheme="minorEastAsia"/>
          <w:kern w:val="2"/>
          <w:szCs w:val="22"/>
          <w:lang w:val="en-AU" w:eastAsia="zh-CN" w:bidi="th-TH"/>
        </w:rPr>
        <w:t>Impact Assessment and Implementation Plan</w:t>
      </w:r>
    </w:p>
    <w:p w14:paraId="6E88EF71" w14:textId="77777777" w:rsidR="00121F82" w:rsidRPr="00DC62B6" w:rsidRDefault="00121F82" w:rsidP="00121F82">
      <w:pPr>
        <w:spacing w:after="120"/>
        <w:rPr>
          <w:rFonts w:eastAsiaTheme="minorEastAsia"/>
          <w:kern w:val="2"/>
          <w:szCs w:val="22"/>
          <w:lang w:val="en-AU" w:eastAsia="zh-CN" w:bidi="th-TH"/>
        </w:rPr>
      </w:pPr>
    </w:p>
    <w:p w14:paraId="1656C2B5" w14:textId="77777777" w:rsidR="00121F82" w:rsidRPr="00C873BC" w:rsidRDefault="00121F82" w:rsidP="00121F82">
      <w:pPr>
        <w:spacing w:after="120"/>
        <w:contextualSpacing/>
        <w:rPr>
          <w:rFonts w:eastAsiaTheme="minorEastAsia"/>
          <w:b/>
          <w:bCs/>
          <w:kern w:val="2"/>
          <w:szCs w:val="22"/>
          <w:lang w:val="en-AU" w:eastAsia="zh-CN" w:bidi="th-TH"/>
        </w:rPr>
      </w:pPr>
      <w:r w:rsidRPr="00C873BC">
        <w:rPr>
          <w:rFonts w:eastAsiaTheme="minorEastAsia"/>
          <w:b/>
          <w:bCs/>
          <w:kern w:val="2"/>
          <w:szCs w:val="22"/>
          <w:lang w:val="en-AU" w:eastAsia="zh-CN" w:bidi="th-TH"/>
        </w:rPr>
        <w:t>FSMP WG/22</w:t>
      </w:r>
      <w:r>
        <w:rPr>
          <w:rFonts w:eastAsiaTheme="minorEastAsia"/>
          <w:b/>
          <w:bCs/>
          <w:kern w:val="2"/>
          <w:szCs w:val="22"/>
          <w:lang w:val="en-AU" w:eastAsia="zh-CN" w:bidi="th-TH"/>
        </w:rPr>
        <w:t xml:space="preserve"> (Feb 2026)</w:t>
      </w:r>
    </w:p>
    <w:p w14:paraId="19784896" w14:textId="77777777" w:rsidR="00121F82" w:rsidRDefault="00121F82" w:rsidP="00121F82">
      <w:pPr>
        <w:pStyle w:val="ListParagraph"/>
        <w:numPr>
          <w:ilvl w:val="0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 w:rsidRPr="008F4101">
        <w:rPr>
          <w:rFonts w:eastAsiaTheme="minorEastAsia"/>
          <w:kern w:val="2"/>
          <w:szCs w:val="22"/>
          <w:lang w:val="en-AU" w:eastAsia="zh-CN" w:bidi="th-TH"/>
        </w:rPr>
        <w:t>Final Draft</w:t>
      </w:r>
      <w:r>
        <w:rPr>
          <w:rFonts w:eastAsiaTheme="minorEastAsia"/>
          <w:kern w:val="2"/>
          <w:szCs w:val="22"/>
          <w:lang w:val="en-AU" w:eastAsia="zh-CN" w:bidi="th-TH"/>
        </w:rPr>
        <w:t>:</w:t>
      </w:r>
    </w:p>
    <w:p w14:paraId="36856A20" w14:textId="7FF00CD7" w:rsidR="00121F82" w:rsidRDefault="00EC0A44" w:rsidP="00121F82">
      <w:pPr>
        <w:pStyle w:val="ListParagraph"/>
        <w:numPr>
          <w:ilvl w:val="1"/>
          <w:numId w:val="9"/>
        </w:numPr>
        <w:spacing w:after="120"/>
        <w:rPr>
          <w:rFonts w:eastAsiaTheme="minorEastAsia"/>
          <w:kern w:val="2"/>
          <w:szCs w:val="22"/>
          <w:lang w:val="en-AU" w:eastAsia="zh-CN" w:bidi="th-TH"/>
        </w:rPr>
      </w:pPr>
      <w:r>
        <w:rPr>
          <w:rFonts w:eastAsiaTheme="minorEastAsia"/>
          <w:kern w:val="2"/>
          <w:szCs w:val="22"/>
          <w:lang w:val="en-AU" w:eastAsia="zh-CN" w:bidi="th-TH"/>
        </w:rPr>
        <w:t xml:space="preserve">Update of 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Doc.9718 (</w:t>
      </w:r>
      <w:r w:rsidR="00121F82">
        <w:rPr>
          <w:rFonts w:eastAsiaTheme="minorEastAsia"/>
          <w:kern w:val="2"/>
          <w:szCs w:val="22"/>
          <w:lang w:val="en-AU" w:eastAsia="zh-CN" w:bidi="th-TH"/>
        </w:rPr>
        <w:t xml:space="preserve">Vol </w:t>
      </w:r>
      <w:r w:rsidR="00121F82" w:rsidRPr="008F4101">
        <w:rPr>
          <w:rFonts w:eastAsiaTheme="minorEastAsia"/>
          <w:kern w:val="2"/>
          <w:szCs w:val="22"/>
          <w:lang w:val="en-AU" w:eastAsia="zh-CN" w:bidi="th-TH"/>
        </w:rPr>
        <w:t>2)</w:t>
      </w:r>
    </w:p>
    <w:p w14:paraId="28429C2D" w14:textId="7041EBCA" w:rsidR="00770160" w:rsidRPr="00032308" w:rsidRDefault="00770160">
      <w:pPr>
        <w:pStyle w:val="1Heading"/>
        <w:rPr>
          <w:lang w:val="en-US"/>
        </w:rPr>
      </w:pPr>
      <w:r w:rsidRPr="00032308">
        <w:rPr>
          <w:lang w:val="en-US"/>
        </w:rPr>
        <w:t>DISCUSSION</w:t>
      </w:r>
    </w:p>
    <w:p w14:paraId="1DB99D2C" w14:textId="2EFDC82F" w:rsidR="00D91EAD" w:rsidRDefault="007F6AF6" w:rsidP="00830391">
      <w:pPr>
        <w:pStyle w:val="2para"/>
        <w:rPr>
          <w:lang w:val="en-US" w:eastAsia="ja-JP"/>
        </w:rPr>
      </w:pPr>
      <w:r>
        <w:rPr>
          <w:rFonts w:hint="eastAsia"/>
          <w:lang w:val="en-US" w:eastAsia="ja-JP"/>
        </w:rPr>
        <w:t>Doc</w:t>
      </w:r>
      <w:r w:rsidR="00EC0A44">
        <w:rPr>
          <w:lang w:val="en-US" w:eastAsia="ja-JP"/>
        </w:rPr>
        <w:t>.</w:t>
      </w:r>
      <w:r>
        <w:rPr>
          <w:rFonts w:hint="eastAsia"/>
          <w:lang w:val="en-US" w:eastAsia="ja-JP"/>
        </w:rPr>
        <w:t xml:space="preserve">9718 </w:t>
      </w:r>
      <w:r w:rsidR="005C3A65">
        <w:rPr>
          <w:lang w:val="en-US" w:eastAsia="ja-JP"/>
        </w:rPr>
        <w:t xml:space="preserve">Vol.2 </w:t>
      </w:r>
      <w:r>
        <w:rPr>
          <w:rFonts w:hint="eastAsia"/>
          <w:lang w:val="en-US" w:eastAsia="ja-JP"/>
        </w:rPr>
        <w:t>Chapter 2 (</w:t>
      </w:r>
      <w:r w:rsidR="002060FE" w:rsidRPr="002060FE">
        <w:rPr>
          <w:lang w:val="en-US" w:eastAsia="ja-JP"/>
        </w:rPr>
        <w:t>AERONAUTICAL VHF AIR-GROUND RADIO COMMUNICATION</w:t>
      </w:r>
      <w:r w:rsidR="002060FE">
        <w:rPr>
          <w:rFonts w:hint="eastAsia"/>
          <w:lang w:val="en-US" w:eastAsia="ja-JP"/>
        </w:rPr>
        <w:t xml:space="preserve"> </w:t>
      </w:r>
      <w:r w:rsidR="002060FE" w:rsidRPr="002060FE">
        <w:rPr>
          <w:lang w:val="en-US" w:eastAsia="ja-JP"/>
        </w:rPr>
        <w:t>SYSTEMS OPERATING IN THE BAND 117.975‒137 MHz</w:t>
      </w:r>
      <w:r>
        <w:rPr>
          <w:rFonts w:hint="eastAsia"/>
          <w:lang w:val="en-US" w:eastAsia="ja-JP"/>
        </w:rPr>
        <w:t xml:space="preserve">) </w:t>
      </w:r>
      <w:r w:rsidR="00EC0A44">
        <w:rPr>
          <w:lang w:val="en-US" w:eastAsia="ja-JP"/>
        </w:rPr>
        <w:t>includes</w:t>
      </w:r>
      <w:r w:rsidR="00EC0A44">
        <w:rPr>
          <w:rFonts w:hint="eastAsia"/>
          <w:lang w:val="en-US" w:eastAsia="ja-JP"/>
        </w:rPr>
        <w:t xml:space="preserve"> </w:t>
      </w:r>
      <w:r>
        <w:rPr>
          <w:rFonts w:hint="eastAsia"/>
          <w:lang w:val="en-US" w:eastAsia="ja-JP"/>
        </w:rPr>
        <w:t xml:space="preserve">the </w:t>
      </w:r>
      <w:r>
        <w:rPr>
          <w:lang w:val="en-US" w:eastAsia="ja-JP"/>
        </w:rPr>
        <w:t>following</w:t>
      </w:r>
      <w:r>
        <w:rPr>
          <w:rFonts w:hint="eastAsia"/>
          <w:lang w:val="en-US" w:eastAsia="ja-JP"/>
        </w:rPr>
        <w:t xml:space="preserve"> contents</w:t>
      </w:r>
      <w:r w:rsidR="00295E50" w:rsidRPr="002060FE">
        <w:rPr>
          <w:lang w:val="en-US" w:eastAsia="ja-JP"/>
        </w:rPr>
        <w:t>.</w:t>
      </w:r>
    </w:p>
    <w:p w14:paraId="4B56F296" w14:textId="5B1B2D7F" w:rsidR="00830391" w:rsidRPr="00830391" w:rsidRDefault="00830391" w:rsidP="00830391">
      <w:pPr>
        <w:pStyle w:val="2para"/>
        <w:numPr>
          <w:ilvl w:val="0"/>
          <w:numId w:val="0"/>
        </w:numPr>
        <w:jc w:val="center"/>
        <w:rPr>
          <w:lang w:val="en-US" w:eastAsia="ja-JP"/>
        </w:rPr>
      </w:pPr>
      <w:r>
        <w:rPr>
          <w:lang w:val="en-US" w:eastAsia="ja-JP"/>
        </w:rPr>
        <w:t>T</w:t>
      </w:r>
      <w:r>
        <w:rPr>
          <w:rFonts w:hint="eastAsia"/>
          <w:lang w:val="en-US" w:eastAsia="ja-JP"/>
        </w:rPr>
        <w:t xml:space="preserve">able </w:t>
      </w:r>
      <w:proofErr w:type="gramStart"/>
      <w:r>
        <w:rPr>
          <w:rFonts w:hint="eastAsia"/>
          <w:lang w:val="en-US" w:eastAsia="ja-JP"/>
        </w:rPr>
        <w:t xml:space="preserve">1  </w:t>
      </w:r>
      <w:r w:rsidR="00EC0A44">
        <w:rPr>
          <w:lang w:val="en-US" w:eastAsia="ja-JP"/>
        </w:rPr>
        <w:t>Current</w:t>
      </w:r>
      <w:proofErr w:type="gramEnd"/>
      <w:r>
        <w:rPr>
          <w:rFonts w:hint="eastAsia"/>
          <w:lang w:val="en-US" w:eastAsia="ja-JP"/>
        </w:rPr>
        <w:t xml:space="preserve"> conte</w:t>
      </w:r>
      <w:r w:rsidR="00EC0A44">
        <w:rPr>
          <w:lang w:val="en-US" w:eastAsia="ja-JP"/>
        </w:rPr>
        <w:t>n</w:t>
      </w:r>
      <w:r>
        <w:rPr>
          <w:rFonts w:hint="eastAsia"/>
          <w:lang w:val="en-US" w:eastAsia="ja-JP"/>
        </w:rPr>
        <w:t xml:space="preserve">ts </w:t>
      </w:r>
      <w:r w:rsidR="00EC0A44">
        <w:rPr>
          <w:lang w:val="en-US" w:eastAsia="ja-JP"/>
        </w:rPr>
        <w:t>in</w:t>
      </w:r>
      <w:r>
        <w:rPr>
          <w:rFonts w:hint="eastAsia"/>
          <w:lang w:val="en-US" w:eastAsia="ja-JP"/>
        </w:rPr>
        <w:t xml:space="preserve"> Doc</w:t>
      </w:r>
      <w:r w:rsidR="00EC0A44">
        <w:rPr>
          <w:lang w:val="en-US" w:eastAsia="ja-JP"/>
        </w:rPr>
        <w:t>.</w:t>
      </w:r>
      <w:r>
        <w:rPr>
          <w:rFonts w:hint="eastAsia"/>
          <w:lang w:val="en-US" w:eastAsia="ja-JP"/>
        </w:rPr>
        <w:t>9718 Chapter 2</w:t>
      </w:r>
    </w:p>
    <w:tbl>
      <w:tblPr>
        <w:tblStyle w:val="TableGrid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DD2171" w14:paraId="1147F1BA" w14:textId="77777777" w:rsidTr="00830391">
        <w:tc>
          <w:tcPr>
            <w:tcW w:w="6095" w:type="dxa"/>
          </w:tcPr>
          <w:p w14:paraId="0FB608CB" w14:textId="5119325C" w:rsidR="00DD2171" w:rsidRPr="001A433D" w:rsidRDefault="00DD2171" w:rsidP="00D91EAD">
            <w:pPr>
              <w:pStyle w:val="2para"/>
              <w:numPr>
                <w:ilvl w:val="0"/>
                <w:numId w:val="0"/>
              </w:num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C</w:t>
            </w:r>
            <w:r>
              <w:rPr>
                <w:rFonts w:hint="eastAsia"/>
                <w:lang w:val="en-US" w:eastAsia="ja-JP"/>
              </w:rPr>
              <w:t>ontents</w:t>
            </w:r>
          </w:p>
        </w:tc>
      </w:tr>
      <w:tr w:rsidR="00DD2171" w14:paraId="55012AEB" w14:textId="77777777" w:rsidTr="00830391">
        <w:tc>
          <w:tcPr>
            <w:tcW w:w="6095" w:type="dxa"/>
          </w:tcPr>
          <w:p w14:paraId="2A49378F" w14:textId="0141D906" w:rsidR="00DD2171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2.1 </w:t>
            </w:r>
            <w:r w:rsidR="00DD2171" w:rsidRPr="001A433D">
              <w:rPr>
                <w:lang w:val="en-US" w:eastAsia="ja-JP"/>
              </w:rPr>
              <w:t>Introduction</w:t>
            </w:r>
          </w:p>
        </w:tc>
      </w:tr>
      <w:tr w:rsidR="00DD2171" w14:paraId="7EF6D9CF" w14:textId="77777777" w:rsidTr="00830391">
        <w:tc>
          <w:tcPr>
            <w:tcW w:w="6095" w:type="dxa"/>
          </w:tcPr>
          <w:p w14:paraId="28D86558" w14:textId="41544C02" w:rsidR="00DD2171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2.2 </w:t>
            </w:r>
            <w:r w:rsidR="00DD2171" w:rsidRPr="001A433D">
              <w:rPr>
                <w:lang w:val="en-US" w:eastAsia="ja-JP"/>
              </w:rPr>
              <w:t>Interference model</w:t>
            </w:r>
          </w:p>
        </w:tc>
      </w:tr>
      <w:tr w:rsidR="00DD2171" w14:paraId="4021A519" w14:textId="77777777" w:rsidTr="00830391">
        <w:tc>
          <w:tcPr>
            <w:tcW w:w="6095" w:type="dxa"/>
          </w:tcPr>
          <w:p w14:paraId="5F0EDCB9" w14:textId="01C0C6BD" w:rsidR="00DD2171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2.3 </w:t>
            </w:r>
            <w:r w:rsidR="00DD2171" w:rsidRPr="001A433D">
              <w:rPr>
                <w:lang w:val="en-US" w:eastAsia="ja-JP"/>
              </w:rPr>
              <w:t>Frequency assignment planning criteria</w:t>
            </w:r>
          </w:p>
        </w:tc>
      </w:tr>
      <w:tr w:rsidR="00DD2171" w14:paraId="4A486CFF" w14:textId="77777777" w:rsidTr="00830391">
        <w:tc>
          <w:tcPr>
            <w:tcW w:w="6095" w:type="dxa"/>
          </w:tcPr>
          <w:p w14:paraId="715DBAC6" w14:textId="439CBC9D" w:rsidR="00DD2171" w:rsidRPr="001A433D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2.4 </w:t>
            </w:r>
            <w:r w:rsidR="00DD2171" w:rsidRPr="001A433D">
              <w:rPr>
                <w:lang w:val="en-US" w:eastAsia="ja-JP"/>
              </w:rPr>
              <w:t>Allotment of the frequency band 117.975–137 MHz</w:t>
            </w:r>
          </w:p>
        </w:tc>
      </w:tr>
      <w:tr w:rsidR="00DD2171" w14:paraId="02E2243F" w14:textId="77777777" w:rsidTr="00830391">
        <w:tc>
          <w:tcPr>
            <w:tcW w:w="6095" w:type="dxa"/>
          </w:tcPr>
          <w:p w14:paraId="20D83215" w14:textId="292AC01F" w:rsidR="00DD2171" w:rsidRPr="001A433D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2.5 </w:t>
            </w:r>
            <w:r w:rsidR="00DD2171" w:rsidRPr="001A433D">
              <w:rPr>
                <w:lang w:val="en-US" w:eastAsia="ja-JP"/>
              </w:rPr>
              <w:t xml:space="preserve">Frequency separation and </w:t>
            </w:r>
            <w:proofErr w:type="spellStart"/>
            <w:r w:rsidR="00DD2171" w:rsidRPr="001A433D">
              <w:rPr>
                <w:lang w:val="en-US" w:eastAsia="ja-JP"/>
              </w:rPr>
              <w:t>channelling</w:t>
            </w:r>
            <w:proofErr w:type="spellEnd"/>
          </w:p>
        </w:tc>
      </w:tr>
      <w:tr w:rsidR="00DD2171" w14:paraId="50EF44B4" w14:textId="77777777" w:rsidTr="00830391">
        <w:tc>
          <w:tcPr>
            <w:tcW w:w="6095" w:type="dxa"/>
          </w:tcPr>
          <w:p w14:paraId="6811BD8C" w14:textId="713CA52D" w:rsidR="00DD2171" w:rsidRPr="001A433D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2.6 </w:t>
            </w:r>
            <w:r w:rsidR="00DD2171" w:rsidRPr="001A433D">
              <w:rPr>
                <w:lang w:val="en-US" w:eastAsia="ja-JP"/>
              </w:rPr>
              <w:t>Services and designated operational coverage (DOC)</w:t>
            </w:r>
          </w:p>
        </w:tc>
      </w:tr>
      <w:tr w:rsidR="00DD2171" w14:paraId="20552DC5" w14:textId="77777777" w:rsidTr="00830391">
        <w:tc>
          <w:tcPr>
            <w:tcW w:w="6095" w:type="dxa"/>
          </w:tcPr>
          <w:p w14:paraId="59E20A10" w14:textId="2497BF59" w:rsidR="00DD2171" w:rsidRPr="001A433D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2.7 </w:t>
            </w:r>
            <w:r w:rsidR="00DD2171" w:rsidRPr="001A433D">
              <w:rPr>
                <w:lang w:val="en-US" w:eastAsia="ja-JP"/>
              </w:rPr>
              <w:t>Calculation of separation distances (methodology)</w:t>
            </w:r>
          </w:p>
        </w:tc>
      </w:tr>
      <w:tr w:rsidR="00DD2171" w14:paraId="574A5223" w14:textId="77777777" w:rsidTr="00830391">
        <w:tc>
          <w:tcPr>
            <w:tcW w:w="6095" w:type="dxa"/>
          </w:tcPr>
          <w:p w14:paraId="0EB42A48" w14:textId="1ABB2C2D" w:rsidR="00DD2171" w:rsidRPr="001A433D" w:rsidRDefault="005C3A65" w:rsidP="00CA11F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2.8 </w:t>
            </w:r>
            <w:r w:rsidR="00DD2171" w:rsidRPr="001A433D">
              <w:rPr>
                <w:lang w:val="en-US" w:eastAsia="ja-JP"/>
              </w:rPr>
              <w:t>Separation distances</w:t>
            </w:r>
          </w:p>
        </w:tc>
      </w:tr>
    </w:tbl>
    <w:p w14:paraId="0D8BCEC5" w14:textId="77777777" w:rsidR="001A433D" w:rsidRDefault="001A433D" w:rsidP="001A433D">
      <w:pPr>
        <w:pStyle w:val="2para"/>
        <w:numPr>
          <w:ilvl w:val="0"/>
          <w:numId w:val="0"/>
        </w:numPr>
        <w:rPr>
          <w:lang w:val="en-US" w:eastAsia="ja-JP"/>
        </w:rPr>
      </w:pPr>
    </w:p>
    <w:p w14:paraId="6FD6DD6C" w14:textId="1A6561E4" w:rsidR="002A2712" w:rsidRPr="002A2712" w:rsidRDefault="00820D79" w:rsidP="00820D79">
      <w:pPr>
        <w:pStyle w:val="2para"/>
        <w:rPr>
          <w:lang w:val="en-US" w:eastAsia="ja-JP"/>
        </w:rPr>
      </w:pPr>
      <w:r w:rsidRPr="00820D79">
        <w:rPr>
          <w:lang w:val="en-US" w:eastAsia="ja-JP"/>
        </w:rPr>
        <w:t>The above content</w:t>
      </w:r>
      <w:r w:rsidR="005C3A65">
        <w:rPr>
          <w:lang w:val="en-US" w:eastAsia="ja-JP"/>
        </w:rPr>
        <w:t>s</w:t>
      </w:r>
      <w:r w:rsidRPr="00820D79">
        <w:rPr>
          <w:lang w:val="en-US" w:eastAsia="ja-JP"/>
        </w:rPr>
        <w:t xml:space="preserve"> </w:t>
      </w:r>
      <w:r w:rsidR="005C3A65">
        <w:rPr>
          <w:lang w:val="en-US" w:eastAsia="ja-JP"/>
        </w:rPr>
        <w:t>in the chapter are</w:t>
      </w:r>
      <w:r w:rsidRPr="00820D79">
        <w:rPr>
          <w:lang w:val="en-US" w:eastAsia="ja-JP"/>
        </w:rPr>
        <w:t xml:space="preserve"> </w:t>
      </w:r>
      <w:r w:rsidR="005C3A65">
        <w:rPr>
          <w:lang w:val="en-US" w:eastAsia="ja-JP"/>
        </w:rPr>
        <w:t>described on the assumption that VHF radio communication uses</w:t>
      </w:r>
      <w:r w:rsidRPr="00820D79">
        <w:rPr>
          <w:lang w:val="en-US" w:eastAsia="ja-JP"/>
        </w:rPr>
        <w:t xml:space="preserve"> fixed ground VHF stations and required separation distances are calculated according to coverage area</w:t>
      </w:r>
      <w:r w:rsidR="005C3A65">
        <w:rPr>
          <w:lang w:val="en-US" w:eastAsia="ja-JP"/>
        </w:rPr>
        <w:t>s</w:t>
      </w:r>
      <w:r w:rsidRPr="00820D79">
        <w:rPr>
          <w:lang w:val="en-US" w:eastAsia="ja-JP"/>
        </w:rPr>
        <w:t xml:space="preserve"> of fixed ground VHF stations. Based on these criteria, appropriate frequency coordination is </w:t>
      </w:r>
      <w:r w:rsidR="005C3A65">
        <w:rPr>
          <w:lang w:val="en-US" w:eastAsia="ja-JP"/>
        </w:rPr>
        <w:t>made under</w:t>
      </w:r>
      <w:r w:rsidRPr="00820D79">
        <w:rPr>
          <w:lang w:val="en-US" w:eastAsia="ja-JP"/>
        </w:rPr>
        <w:t xml:space="preserve"> the ICAO framework.</w:t>
      </w:r>
      <w:r w:rsidRPr="002A2712">
        <w:rPr>
          <w:lang w:val="en-US" w:eastAsia="ja-JP"/>
        </w:rPr>
        <w:t xml:space="preserve"> </w:t>
      </w:r>
    </w:p>
    <w:p w14:paraId="0B8D459A" w14:textId="59BD355A" w:rsidR="00D91EAD" w:rsidRPr="00D91EAD" w:rsidRDefault="005C3A65" w:rsidP="00D91EAD">
      <w:pPr>
        <w:pStyle w:val="2para"/>
        <w:rPr>
          <w:lang w:val="en-US" w:eastAsia="ja-JP"/>
        </w:rPr>
      </w:pPr>
      <w:r>
        <w:rPr>
          <w:lang w:val="en-US" w:eastAsia="ja-JP"/>
        </w:rPr>
        <w:t xml:space="preserve">On the other hand, </w:t>
      </w:r>
      <w:r w:rsidR="004272BA">
        <w:rPr>
          <w:lang w:val="en-US" w:eastAsia="ja-JP"/>
        </w:rPr>
        <w:t>Space-Based VHF</w:t>
      </w:r>
      <w:r w:rsidR="00820D79" w:rsidRPr="00820D79">
        <w:rPr>
          <w:lang w:val="en-US" w:eastAsia="ja-JP"/>
        </w:rPr>
        <w:t xml:space="preserve"> uses </w:t>
      </w:r>
      <w:r w:rsidR="00D373E4" w:rsidRPr="00D373E4">
        <w:rPr>
          <w:lang w:val="en-US" w:eastAsia="ja-JP"/>
        </w:rPr>
        <w:t>Low Earth Orbit (LEO)</w:t>
      </w:r>
      <w:r w:rsidR="00820D79" w:rsidRPr="00820D79">
        <w:rPr>
          <w:lang w:val="en-US" w:eastAsia="ja-JP"/>
        </w:rPr>
        <w:t xml:space="preserve"> satellites as VHF base stations and is expected to provide VHF communications services globally. </w:t>
      </w:r>
      <w:r>
        <w:rPr>
          <w:lang w:val="en-US" w:eastAsia="ja-JP"/>
        </w:rPr>
        <w:t>It can</w:t>
      </w:r>
      <w:r w:rsidR="00E26FC5" w:rsidRPr="00E26FC5">
        <w:rPr>
          <w:lang w:val="en-US" w:eastAsia="ja-JP"/>
        </w:rPr>
        <w:t xml:space="preserve"> cover the whole sector </w:t>
      </w:r>
      <w:r>
        <w:rPr>
          <w:lang w:val="en-US" w:eastAsia="ja-JP"/>
        </w:rPr>
        <w:t>with</w:t>
      </w:r>
      <w:r w:rsidR="00E26FC5" w:rsidRPr="00E26FC5">
        <w:rPr>
          <w:lang w:val="en-US" w:eastAsia="ja-JP"/>
        </w:rPr>
        <w:t>in FIR.</w:t>
      </w:r>
      <w:r w:rsidR="00820D79" w:rsidRPr="00820D79">
        <w:rPr>
          <w:lang w:val="en-US" w:eastAsia="ja-JP"/>
        </w:rPr>
        <w:t xml:space="preserve"> The difference </w:t>
      </w:r>
      <w:r>
        <w:rPr>
          <w:lang w:val="en-US" w:eastAsia="ja-JP"/>
        </w:rPr>
        <w:t>from</w:t>
      </w:r>
      <w:r w:rsidR="00820D79" w:rsidRPr="00820D79">
        <w:rPr>
          <w:lang w:val="en-US" w:eastAsia="ja-JP"/>
        </w:rPr>
        <w:t xml:space="preserve"> fixed ground stations is that the </w:t>
      </w:r>
      <w:r>
        <w:rPr>
          <w:lang w:val="en-US" w:eastAsia="ja-JP"/>
        </w:rPr>
        <w:t>LEO</w:t>
      </w:r>
      <w:r w:rsidR="00820D79" w:rsidRPr="00820D79">
        <w:rPr>
          <w:lang w:val="en-US" w:eastAsia="ja-JP"/>
        </w:rPr>
        <w:t xml:space="preserve"> moves. Therefore, </w:t>
      </w:r>
      <w:proofErr w:type="gramStart"/>
      <w:r w:rsidR="00820D79" w:rsidRPr="00820D79">
        <w:rPr>
          <w:lang w:val="en-US" w:eastAsia="ja-JP"/>
        </w:rPr>
        <w:t>in order to</w:t>
      </w:r>
      <w:proofErr w:type="gramEnd"/>
      <w:r w:rsidR="00820D79" w:rsidRPr="00820D79">
        <w:rPr>
          <w:lang w:val="en-US" w:eastAsia="ja-JP"/>
        </w:rPr>
        <w:t xml:space="preserve"> determine coverage area</w:t>
      </w:r>
      <w:r>
        <w:rPr>
          <w:lang w:val="en-US" w:eastAsia="ja-JP"/>
        </w:rPr>
        <w:t>s</w:t>
      </w:r>
      <w:r w:rsidR="00820D79" w:rsidRPr="00820D79">
        <w:rPr>
          <w:lang w:val="en-US" w:eastAsia="ja-JP"/>
        </w:rPr>
        <w:t xml:space="preserve"> of </w:t>
      </w:r>
      <w:r w:rsidR="004272BA">
        <w:rPr>
          <w:lang w:val="en-US" w:eastAsia="ja-JP"/>
        </w:rPr>
        <w:t>Space-Based VHF</w:t>
      </w:r>
      <w:r w:rsidR="00820D79" w:rsidRPr="00820D79">
        <w:rPr>
          <w:lang w:val="en-US" w:eastAsia="ja-JP"/>
        </w:rPr>
        <w:t xml:space="preserve">, it is necessary to understand </w:t>
      </w:r>
      <w:r>
        <w:rPr>
          <w:lang w:val="en-US" w:eastAsia="ja-JP"/>
        </w:rPr>
        <w:t>its</w:t>
      </w:r>
      <w:r w:rsidR="00820D79" w:rsidRPr="00820D79">
        <w:rPr>
          <w:lang w:val="en-US" w:eastAsia="ja-JP"/>
        </w:rPr>
        <w:t xml:space="preserve"> orbit</w:t>
      </w:r>
      <w:r>
        <w:rPr>
          <w:lang w:val="en-US" w:eastAsia="ja-JP"/>
        </w:rPr>
        <w:t>s</w:t>
      </w:r>
      <w:r w:rsidR="00820D79" w:rsidRPr="00820D79">
        <w:rPr>
          <w:lang w:val="en-US" w:eastAsia="ja-JP"/>
        </w:rPr>
        <w:t xml:space="preserve"> of the satellite</w:t>
      </w:r>
      <w:r>
        <w:rPr>
          <w:lang w:val="en-US" w:eastAsia="ja-JP"/>
        </w:rPr>
        <w:t>s</w:t>
      </w:r>
      <w:r w:rsidR="00820D79" w:rsidRPr="00820D79">
        <w:rPr>
          <w:lang w:val="en-US" w:eastAsia="ja-JP"/>
        </w:rPr>
        <w:t xml:space="preserve"> and </w:t>
      </w:r>
      <w:r>
        <w:rPr>
          <w:lang w:val="en-US" w:eastAsia="ja-JP"/>
        </w:rPr>
        <w:t>its</w:t>
      </w:r>
      <w:r w:rsidR="00820D79" w:rsidRPr="00820D79">
        <w:rPr>
          <w:lang w:val="en-US" w:eastAsia="ja-JP"/>
        </w:rPr>
        <w:t xml:space="preserve"> operational scenario.</w:t>
      </w:r>
      <w:r w:rsidR="00820D79">
        <w:rPr>
          <w:lang w:val="en-US" w:eastAsia="ja-JP"/>
        </w:rPr>
        <w:t xml:space="preserve"> </w:t>
      </w:r>
    </w:p>
    <w:p w14:paraId="4594BFE2" w14:textId="18C90B3E" w:rsidR="00DD2171" w:rsidRPr="002A2712" w:rsidRDefault="002A2712" w:rsidP="00F60AA2">
      <w:pPr>
        <w:pStyle w:val="2para"/>
        <w:rPr>
          <w:lang w:val="en-US" w:eastAsia="ja-JP"/>
        </w:rPr>
      </w:pPr>
      <w:r w:rsidRPr="002A2712">
        <w:rPr>
          <w:lang w:val="en-US" w:eastAsia="ja-JP"/>
        </w:rPr>
        <w:t>A</w:t>
      </w:r>
      <w:r w:rsidRPr="002A2712">
        <w:rPr>
          <w:rFonts w:hint="eastAsia"/>
          <w:lang w:val="en-US" w:eastAsia="ja-JP"/>
        </w:rPr>
        <w:t>ccor</w:t>
      </w:r>
      <w:r>
        <w:rPr>
          <w:rFonts w:hint="eastAsia"/>
          <w:lang w:val="en-US" w:eastAsia="ja-JP"/>
        </w:rPr>
        <w:t>d</w:t>
      </w:r>
      <w:r w:rsidRPr="002A2712">
        <w:rPr>
          <w:rFonts w:hint="eastAsia"/>
          <w:lang w:val="en-US" w:eastAsia="ja-JP"/>
        </w:rPr>
        <w:t xml:space="preserve">ing to the </w:t>
      </w:r>
      <w:r>
        <w:rPr>
          <w:rFonts w:hint="eastAsia"/>
          <w:lang w:val="en-US" w:eastAsia="ja-JP"/>
        </w:rPr>
        <w:t>D</w:t>
      </w:r>
      <w:r w:rsidR="00906622" w:rsidRPr="002A2712">
        <w:rPr>
          <w:rFonts w:hint="eastAsia"/>
          <w:lang w:val="en-US" w:eastAsia="ja-JP"/>
        </w:rPr>
        <w:t>oc 9718</w:t>
      </w:r>
      <w:r w:rsidR="00E26FC5">
        <w:rPr>
          <w:rFonts w:hint="eastAsia"/>
          <w:lang w:val="en-US" w:eastAsia="ja-JP"/>
        </w:rPr>
        <w:t xml:space="preserve"> </w:t>
      </w:r>
      <w:r w:rsidR="00C41AB9">
        <w:rPr>
          <w:lang w:val="en-US" w:eastAsia="ja-JP"/>
        </w:rPr>
        <w:t xml:space="preserve">Vol.1 </w:t>
      </w:r>
      <w:r w:rsidR="00AD35D4" w:rsidRPr="002A2712">
        <w:rPr>
          <w:lang w:val="en-US" w:eastAsia="ja-JP"/>
        </w:rPr>
        <w:t>Chapter 5</w:t>
      </w:r>
      <w:r w:rsidR="00AD35D4" w:rsidRPr="002A2712">
        <w:rPr>
          <w:rFonts w:hint="eastAsia"/>
          <w:lang w:val="en-US" w:eastAsia="ja-JP"/>
        </w:rPr>
        <w:t xml:space="preserve"> </w:t>
      </w:r>
      <w:r w:rsidR="00E26FC5">
        <w:rPr>
          <w:rFonts w:hint="eastAsia"/>
          <w:lang w:val="en-US" w:eastAsia="ja-JP"/>
        </w:rPr>
        <w:t>(</w:t>
      </w:r>
      <w:r w:rsidR="00AD35D4" w:rsidRPr="002A2712">
        <w:rPr>
          <w:lang w:val="en-US" w:eastAsia="ja-JP"/>
        </w:rPr>
        <w:t>ICAO INVOLVEMENT IN FREQUENCY</w:t>
      </w:r>
      <w:r w:rsidR="00AD35D4" w:rsidRPr="002A2712">
        <w:rPr>
          <w:rFonts w:hint="eastAsia"/>
          <w:lang w:val="en-US" w:eastAsia="ja-JP"/>
        </w:rPr>
        <w:t xml:space="preserve"> </w:t>
      </w:r>
      <w:r w:rsidR="00AD35D4" w:rsidRPr="002A2712">
        <w:rPr>
          <w:lang w:val="en-US" w:eastAsia="ja-JP"/>
        </w:rPr>
        <w:t>AND SPECTRUM PLANNING</w:t>
      </w:r>
      <w:r w:rsidR="00E26FC5">
        <w:rPr>
          <w:rFonts w:hint="eastAsia"/>
          <w:lang w:val="en-US" w:eastAsia="ja-JP"/>
        </w:rPr>
        <w:t>)</w:t>
      </w:r>
      <w:r w:rsidR="00AD35D4" w:rsidRPr="002A2712">
        <w:rPr>
          <w:rFonts w:hint="eastAsia"/>
          <w:lang w:val="en-US" w:eastAsia="ja-JP"/>
        </w:rPr>
        <w:t xml:space="preserve"> 5.3 b)</w:t>
      </w:r>
      <w:r w:rsidR="00C41AB9">
        <w:rPr>
          <w:rFonts w:hint="eastAsia"/>
          <w:lang w:val="en-US" w:eastAsia="ja-JP"/>
        </w:rPr>
        <w:t>,</w:t>
      </w:r>
      <w:r w:rsidR="00C41AB9">
        <w:rPr>
          <w:lang w:val="en-US" w:eastAsia="ja-JP"/>
        </w:rPr>
        <w:t xml:space="preserve"> </w:t>
      </w:r>
      <w:r w:rsidRPr="002A2712">
        <w:rPr>
          <w:lang w:val="en-US" w:eastAsia="ja-JP"/>
        </w:rPr>
        <w:t xml:space="preserve">at the regional level coordination of frequency assignment plans </w:t>
      </w:r>
      <w:r w:rsidR="00C41AB9">
        <w:rPr>
          <w:lang w:val="en-US" w:eastAsia="ja-JP"/>
        </w:rPr>
        <w:t>should be done among</w:t>
      </w:r>
      <w:r w:rsidRPr="002A2712">
        <w:rPr>
          <w:lang w:val="en-US" w:eastAsia="ja-JP"/>
        </w:rPr>
        <w:t xml:space="preserve"> </w:t>
      </w:r>
      <w:r w:rsidR="00C41AB9">
        <w:rPr>
          <w:lang w:val="en-US" w:eastAsia="ja-JP"/>
        </w:rPr>
        <w:t xml:space="preserve">relevant </w:t>
      </w:r>
      <w:r w:rsidRPr="002A2712">
        <w:rPr>
          <w:lang w:val="en-US" w:eastAsia="ja-JP"/>
        </w:rPr>
        <w:t xml:space="preserve">States, using </w:t>
      </w:r>
      <w:r w:rsidR="00C41AB9">
        <w:rPr>
          <w:lang w:val="en-US" w:eastAsia="ja-JP"/>
        </w:rPr>
        <w:t xml:space="preserve">the </w:t>
      </w:r>
      <w:r w:rsidRPr="002A2712">
        <w:rPr>
          <w:lang w:val="en-US" w:eastAsia="ja-JP"/>
        </w:rPr>
        <w:t>agreed</w:t>
      </w:r>
      <w:r w:rsidRPr="002A2712">
        <w:rPr>
          <w:rFonts w:hint="eastAsia"/>
          <w:lang w:val="en-US" w:eastAsia="ja-JP"/>
        </w:rPr>
        <w:t xml:space="preserve"> </w:t>
      </w:r>
      <w:r w:rsidRPr="002A2712">
        <w:rPr>
          <w:lang w:val="en-US" w:eastAsia="ja-JP"/>
        </w:rPr>
        <w:t>ICAO planning criteria. This activity is supported by the Regional</w:t>
      </w:r>
      <w:r w:rsidRPr="002A2712">
        <w:rPr>
          <w:rFonts w:hint="eastAsia"/>
          <w:lang w:val="en-US" w:eastAsia="ja-JP"/>
        </w:rPr>
        <w:t xml:space="preserve"> </w:t>
      </w:r>
      <w:r w:rsidRPr="002A2712">
        <w:rPr>
          <w:lang w:val="en-US" w:eastAsia="ja-JP"/>
        </w:rPr>
        <w:t xml:space="preserve">Planning and Implementation Groups (PIRGs). </w:t>
      </w:r>
    </w:p>
    <w:p w14:paraId="29F85716" w14:textId="3F238B59" w:rsidR="002A2712" w:rsidRDefault="00D373E4" w:rsidP="00D373E4">
      <w:pPr>
        <w:pStyle w:val="2para"/>
        <w:rPr>
          <w:lang w:val="en-US" w:eastAsia="ja-JP"/>
        </w:rPr>
      </w:pPr>
      <w:r w:rsidRPr="00D373E4">
        <w:rPr>
          <w:lang w:val="en-US" w:eastAsia="ja-JP"/>
        </w:rPr>
        <w:t>ICAO Regional Office secretariats provide appropriate frequency coordination</w:t>
      </w:r>
      <w:r>
        <w:rPr>
          <w:rFonts w:hint="eastAsia"/>
          <w:lang w:val="en-US" w:eastAsia="ja-JP"/>
        </w:rPr>
        <w:t xml:space="preserve"> with the</w:t>
      </w:r>
      <w:r w:rsidRPr="00D373E4">
        <w:rPr>
          <w:lang w:val="en-US" w:eastAsia="ja-JP"/>
        </w:rPr>
        <w:t xml:space="preserve"> States using the Frequency Finder tool</w:t>
      </w:r>
      <w:r w:rsidR="004272BA">
        <w:rPr>
          <w:rFonts w:hint="eastAsia"/>
          <w:lang w:val="en-US" w:eastAsia="ja-JP"/>
        </w:rPr>
        <w:t xml:space="preserve"> (FF tool)</w:t>
      </w:r>
      <w:r w:rsidRPr="00D373E4">
        <w:rPr>
          <w:lang w:val="en-US" w:eastAsia="ja-JP"/>
        </w:rPr>
        <w:t>.</w:t>
      </w:r>
    </w:p>
    <w:p w14:paraId="420EF286" w14:textId="0F6DBDBF" w:rsidR="002A2712" w:rsidRDefault="00D373E4" w:rsidP="00D373E4">
      <w:pPr>
        <w:pStyle w:val="2para"/>
        <w:rPr>
          <w:lang w:val="en-US" w:eastAsia="ja-JP"/>
        </w:rPr>
      </w:pPr>
      <w:proofErr w:type="gramStart"/>
      <w:r w:rsidRPr="00D373E4">
        <w:rPr>
          <w:lang w:val="en-US" w:eastAsia="ja-JP"/>
        </w:rPr>
        <w:t>In order to</w:t>
      </w:r>
      <w:proofErr w:type="gramEnd"/>
      <w:r w:rsidRPr="00D373E4">
        <w:rPr>
          <w:lang w:val="en-US" w:eastAsia="ja-JP"/>
        </w:rPr>
        <w:t xml:space="preserve"> ensure adequate frequency coordination </w:t>
      </w:r>
      <w:r w:rsidR="00C41AB9">
        <w:rPr>
          <w:lang w:val="en-US" w:eastAsia="ja-JP"/>
        </w:rPr>
        <w:t>doe</w:t>
      </w:r>
      <w:r w:rsidRPr="00D373E4">
        <w:rPr>
          <w:lang w:val="en-US" w:eastAsia="ja-JP"/>
        </w:rPr>
        <w:t xml:space="preserve"> </w:t>
      </w:r>
      <w:r w:rsidR="004272BA">
        <w:rPr>
          <w:lang w:val="en-US" w:eastAsia="ja-JP"/>
        </w:rPr>
        <w:t>Space-Based VHF</w:t>
      </w:r>
      <w:r w:rsidRPr="00D373E4">
        <w:rPr>
          <w:lang w:val="en-US" w:eastAsia="ja-JP"/>
        </w:rPr>
        <w:t xml:space="preserve">, it is necessary to develop </w:t>
      </w:r>
      <w:r>
        <w:rPr>
          <w:rFonts w:hint="eastAsia"/>
          <w:lang w:val="en-US" w:eastAsia="ja-JP"/>
        </w:rPr>
        <w:t xml:space="preserve">appropriate </w:t>
      </w:r>
      <w:r w:rsidRPr="00D373E4">
        <w:rPr>
          <w:lang w:val="en-US" w:eastAsia="ja-JP"/>
        </w:rPr>
        <w:t>frequency planning criteria that take</w:t>
      </w:r>
      <w:r>
        <w:rPr>
          <w:rFonts w:hint="eastAsia"/>
          <w:lang w:val="en-US" w:eastAsia="ja-JP"/>
        </w:rPr>
        <w:t>s</w:t>
      </w:r>
      <w:r w:rsidRPr="00D373E4">
        <w:rPr>
          <w:lang w:val="en-US" w:eastAsia="ja-JP"/>
        </w:rPr>
        <w:t xml:space="preserve"> into account the characteristics of LEO satellites, and </w:t>
      </w:r>
      <w:r w:rsidR="00C41AB9">
        <w:rPr>
          <w:lang w:val="en-US" w:eastAsia="ja-JP"/>
        </w:rPr>
        <w:t>also develop</w:t>
      </w:r>
      <w:r w:rsidR="00E8505C">
        <w:rPr>
          <w:rFonts w:hint="eastAsia"/>
          <w:lang w:val="en-US" w:eastAsia="ja-JP"/>
        </w:rPr>
        <w:t xml:space="preserve"> </w:t>
      </w:r>
      <w:r w:rsidRPr="00D373E4">
        <w:rPr>
          <w:lang w:val="en-US" w:eastAsia="ja-JP"/>
        </w:rPr>
        <w:t>tools that can be used to verify frequency interference on the basis of these criteria.</w:t>
      </w:r>
      <w:r>
        <w:rPr>
          <w:lang w:val="en-US" w:eastAsia="ja-JP"/>
        </w:rPr>
        <w:t xml:space="preserve"> </w:t>
      </w:r>
    </w:p>
    <w:p w14:paraId="0CCF5986" w14:textId="1F4B9676" w:rsidR="002A2712" w:rsidRDefault="00F94EF3" w:rsidP="00F94EF3">
      <w:pPr>
        <w:pStyle w:val="2para"/>
        <w:rPr>
          <w:lang w:val="en-US" w:eastAsia="ja-JP"/>
        </w:rPr>
      </w:pPr>
      <w:r w:rsidRPr="00F94EF3">
        <w:rPr>
          <w:lang w:val="en-US" w:eastAsia="ja-JP"/>
        </w:rPr>
        <w:t xml:space="preserve">In addition, </w:t>
      </w:r>
      <w:r w:rsidR="004272BA">
        <w:rPr>
          <w:lang w:val="en-US" w:eastAsia="ja-JP"/>
        </w:rPr>
        <w:t>Space-Based VHF</w:t>
      </w:r>
      <w:r w:rsidRPr="00F94EF3">
        <w:rPr>
          <w:lang w:val="en-US" w:eastAsia="ja-JP"/>
        </w:rPr>
        <w:t xml:space="preserve">, which can provide services globally, has the potential to radiate radio propagation to unexpected areas in the event of an abnormal situation. </w:t>
      </w:r>
      <w:proofErr w:type="gramStart"/>
      <w:r w:rsidRPr="00F94EF3">
        <w:rPr>
          <w:lang w:val="en-US" w:eastAsia="ja-JP"/>
        </w:rPr>
        <w:t>With this in mind, the</w:t>
      </w:r>
      <w:proofErr w:type="gramEnd"/>
      <w:r w:rsidRPr="00F94EF3">
        <w:rPr>
          <w:lang w:val="en-US" w:eastAsia="ja-JP"/>
        </w:rPr>
        <w:t xml:space="preserve"> point of contact (POC) of the </w:t>
      </w:r>
      <w:r w:rsidR="004272BA">
        <w:rPr>
          <w:lang w:val="en-US" w:eastAsia="ja-JP"/>
        </w:rPr>
        <w:t>Space-Based VHF</w:t>
      </w:r>
      <w:r w:rsidRPr="00F94EF3">
        <w:rPr>
          <w:lang w:val="en-US" w:eastAsia="ja-JP"/>
        </w:rPr>
        <w:t xml:space="preserve"> service provider should also be registered with the ICAO Regional Office so that States wh</w:t>
      </w:r>
      <w:r w:rsidR="00C41AB9">
        <w:rPr>
          <w:lang w:val="en-US" w:eastAsia="ja-JP"/>
        </w:rPr>
        <w:t>ere</w:t>
      </w:r>
      <w:r w:rsidRPr="00F94EF3">
        <w:rPr>
          <w:lang w:val="en-US" w:eastAsia="ja-JP"/>
        </w:rPr>
        <w:t xml:space="preserve"> </w:t>
      </w:r>
      <w:r w:rsidR="00C41AB9">
        <w:rPr>
          <w:lang w:val="en-US" w:eastAsia="ja-JP"/>
        </w:rPr>
        <w:t>their</w:t>
      </w:r>
      <w:r w:rsidR="00E8505C">
        <w:rPr>
          <w:rFonts w:hint="eastAsia"/>
          <w:lang w:val="en-US" w:eastAsia="ja-JP"/>
        </w:rPr>
        <w:t xml:space="preserve"> </w:t>
      </w:r>
      <w:r w:rsidRPr="00F94EF3">
        <w:rPr>
          <w:lang w:val="en-US" w:eastAsia="ja-JP"/>
        </w:rPr>
        <w:t xml:space="preserve">terrestrial VHF communications services </w:t>
      </w:r>
      <w:r w:rsidR="00C41AB9">
        <w:rPr>
          <w:lang w:val="en-US" w:eastAsia="ja-JP"/>
        </w:rPr>
        <w:t>are</w:t>
      </w:r>
      <w:r w:rsidRPr="00F94EF3">
        <w:rPr>
          <w:lang w:val="en-US" w:eastAsia="ja-JP"/>
        </w:rPr>
        <w:t xml:space="preserve"> affected by harmful interference from </w:t>
      </w:r>
      <w:r w:rsidR="004272BA">
        <w:rPr>
          <w:lang w:val="en-US" w:eastAsia="ja-JP"/>
        </w:rPr>
        <w:t>Space-Based VHF</w:t>
      </w:r>
      <w:r w:rsidRPr="00F94EF3">
        <w:rPr>
          <w:lang w:val="en-US" w:eastAsia="ja-JP"/>
        </w:rPr>
        <w:t xml:space="preserve"> can </w:t>
      </w:r>
      <w:r w:rsidR="00C41AB9">
        <w:rPr>
          <w:lang w:val="en-US" w:eastAsia="ja-JP"/>
        </w:rPr>
        <w:t xml:space="preserve">immediately </w:t>
      </w:r>
      <w:r w:rsidRPr="00F94EF3">
        <w:rPr>
          <w:lang w:val="en-US" w:eastAsia="ja-JP"/>
        </w:rPr>
        <w:t>make a claim to the party causing the harmful interference.</w:t>
      </w:r>
      <w:r>
        <w:rPr>
          <w:lang w:val="en-US" w:eastAsia="ja-JP"/>
        </w:rPr>
        <w:t xml:space="preserve"> </w:t>
      </w:r>
    </w:p>
    <w:p w14:paraId="2B30D53C" w14:textId="5F29DA4A" w:rsidR="002A2712" w:rsidRDefault="004F7A99" w:rsidP="004F7A99">
      <w:pPr>
        <w:pStyle w:val="2para"/>
        <w:rPr>
          <w:lang w:val="en-US" w:eastAsia="ja-JP"/>
        </w:rPr>
      </w:pPr>
      <w:r w:rsidRPr="004F7A99">
        <w:rPr>
          <w:lang w:val="en-US" w:eastAsia="ja-JP"/>
        </w:rPr>
        <w:t xml:space="preserve">This WP proposes </w:t>
      </w:r>
      <w:r w:rsidR="00C41AB9">
        <w:rPr>
          <w:lang w:val="en-US" w:eastAsia="ja-JP"/>
        </w:rPr>
        <w:t>to add</w:t>
      </w:r>
      <w:r w:rsidRPr="004F7A99">
        <w:rPr>
          <w:lang w:val="en-US" w:eastAsia="ja-JP"/>
        </w:rPr>
        <w:t xml:space="preserve"> the following content</w:t>
      </w:r>
      <w:r w:rsidR="00C41AB9">
        <w:rPr>
          <w:lang w:val="en-US" w:eastAsia="ja-JP"/>
        </w:rPr>
        <w:t>s</w:t>
      </w:r>
      <w:r w:rsidRPr="004F7A99">
        <w:rPr>
          <w:lang w:val="en-US" w:eastAsia="ja-JP"/>
        </w:rPr>
        <w:t xml:space="preserve"> </w:t>
      </w:r>
      <w:r w:rsidR="00C41AB9">
        <w:rPr>
          <w:lang w:val="en-US" w:eastAsia="ja-JP"/>
        </w:rPr>
        <w:t>in the Chapter 2</w:t>
      </w:r>
      <w:r w:rsidR="00C41AB9" w:rsidRPr="00C41AB9">
        <w:rPr>
          <w:rFonts w:hint="eastAsia"/>
          <w:lang w:val="en-US" w:eastAsia="ja-JP"/>
        </w:rPr>
        <w:t xml:space="preserve"> </w:t>
      </w:r>
      <w:r w:rsidR="00C41AB9">
        <w:rPr>
          <w:lang w:val="en-US" w:eastAsia="ja-JP"/>
        </w:rPr>
        <w:t xml:space="preserve">of </w:t>
      </w:r>
      <w:r w:rsidR="00C41AB9">
        <w:rPr>
          <w:rFonts w:hint="eastAsia"/>
          <w:lang w:val="en-US" w:eastAsia="ja-JP"/>
        </w:rPr>
        <w:t>Doc</w:t>
      </w:r>
      <w:r w:rsidR="00C41AB9">
        <w:rPr>
          <w:lang w:val="en-US" w:eastAsia="ja-JP"/>
        </w:rPr>
        <w:t>.</w:t>
      </w:r>
      <w:r w:rsidR="00C41AB9">
        <w:rPr>
          <w:rFonts w:hint="eastAsia"/>
          <w:lang w:val="en-US" w:eastAsia="ja-JP"/>
        </w:rPr>
        <w:t xml:space="preserve">9718 </w:t>
      </w:r>
      <w:r w:rsidR="00C41AB9">
        <w:rPr>
          <w:lang w:val="en-US" w:eastAsia="ja-JP"/>
        </w:rPr>
        <w:t xml:space="preserve">Vol.2 for </w:t>
      </w:r>
      <w:r w:rsidRPr="004F7A99">
        <w:rPr>
          <w:lang w:val="en-US" w:eastAsia="ja-JP"/>
        </w:rPr>
        <w:t>frequency planning criteria.</w:t>
      </w:r>
    </w:p>
    <w:p w14:paraId="46B7CF32" w14:textId="13D1AE48" w:rsidR="00830391" w:rsidRDefault="00830391" w:rsidP="00830391">
      <w:pPr>
        <w:pStyle w:val="2para"/>
        <w:numPr>
          <w:ilvl w:val="0"/>
          <w:numId w:val="0"/>
        </w:numPr>
        <w:jc w:val="center"/>
        <w:rPr>
          <w:lang w:val="en-US" w:eastAsia="ja-JP"/>
        </w:rPr>
      </w:pPr>
      <w:r>
        <w:rPr>
          <w:lang w:val="en-US" w:eastAsia="ja-JP"/>
        </w:rPr>
        <w:t>T</w:t>
      </w:r>
      <w:r>
        <w:rPr>
          <w:rFonts w:hint="eastAsia"/>
          <w:lang w:val="en-US" w:eastAsia="ja-JP"/>
        </w:rPr>
        <w:t xml:space="preserve">able </w:t>
      </w:r>
      <w:proofErr w:type="gramStart"/>
      <w:r>
        <w:rPr>
          <w:rFonts w:hint="eastAsia"/>
          <w:lang w:val="en-US" w:eastAsia="ja-JP"/>
        </w:rPr>
        <w:t xml:space="preserve">2  </w:t>
      </w:r>
      <w:r w:rsidR="00C41AB9">
        <w:rPr>
          <w:lang w:val="en-US" w:eastAsia="ja-JP"/>
        </w:rPr>
        <w:t>Proposed</w:t>
      </w:r>
      <w:proofErr w:type="gramEnd"/>
      <w:r w:rsidR="00C41AB9">
        <w:rPr>
          <w:lang w:val="en-US" w:eastAsia="ja-JP"/>
        </w:rPr>
        <w:t xml:space="preserve"> </w:t>
      </w:r>
      <w:r>
        <w:rPr>
          <w:rFonts w:hint="eastAsia"/>
          <w:lang w:val="en-US" w:eastAsia="ja-JP"/>
        </w:rPr>
        <w:t xml:space="preserve">additional </w:t>
      </w:r>
      <w:proofErr w:type="spellStart"/>
      <w:r>
        <w:rPr>
          <w:rFonts w:hint="eastAsia"/>
          <w:lang w:val="en-US" w:eastAsia="ja-JP"/>
        </w:rPr>
        <w:t>contentsl</w:t>
      </w:r>
      <w:proofErr w:type="spellEnd"/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536"/>
        <w:gridCol w:w="2835"/>
      </w:tblGrid>
      <w:tr w:rsidR="004F7A99" w14:paraId="21B6F61E" w14:textId="77777777" w:rsidTr="004D4F54">
        <w:tc>
          <w:tcPr>
            <w:tcW w:w="4536" w:type="dxa"/>
          </w:tcPr>
          <w:p w14:paraId="4E46D2AC" w14:textId="4DD553D7" w:rsidR="004F7A99" w:rsidRDefault="004F7A99" w:rsidP="00F51625">
            <w:pPr>
              <w:pStyle w:val="2para"/>
              <w:numPr>
                <w:ilvl w:val="0"/>
                <w:numId w:val="0"/>
              </w:num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P</w:t>
            </w:r>
            <w:r>
              <w:rPr>
                <w:rFonts w:hint="eastAsia"/>
                <w:lang w:val="en-US" w:eastAsia="ja-JP"/>
              </w:rPr>
              <w:t xml:space="preserve">roposed </w:t>
            </w:r>
            <w:r w:rsidR="00F51625">
              <w:rPr>
                <w:rFonts w:hint="eastAsia"/>
                <w:lang w:val="en-US" w:eastAsia="ja-JP"/>
              </w:rPr>
              <w:t xml:space="preserve">additional </w:t>
            </w:r>
            <w:r>
              <w:rPr>
                <w:rFonts w:hint="eastAsia"/>
                <w:lang w:val="en-US" w:eastAsia="ja-JP"/>
              </w:rPr>
              <w:t>contents</w:t>
            </w:r>
          </w:p>
        </w:tc>
        <w:tc>
          <w:tcPr>
            <w:tcW w:w="2835" w:type="dxa"/>
          </w:tcPr>
          <w:p w14:paraId="0E0CF245" w14:textId="10B75A1F" w:rsidR="004F7A99" w:rsidRDefault="004F7A99" w:rsidP="00F51625">
            <w:pPr>
              <w:pStyle w:val="2para"/>
              <w:numPr>
                <w:ilvl w:val="0"/>
                <w:numId w:val="0"/>
              </w:num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R</w:t>
            </w:r>
            <w:r>
              <w:rPr>
                <w:rFonts w:hint="eastAsia"/>
                <w:lang w:val="en-US" w:eastAsia="ja-JP"/>
              </w:rPr>
              <w:t>emarks</w:t>
            </w:r>
          </w:p>
        </w:tc>
      </w:tr>
      <w:tr w:rsidR="004F7A99" w14:paraId="45A02E93" w14:textId="77777777" w:rsidTr="004D4F54">
        <w:tc>
          <w:tcPr>
            <w:tcW w:w="4536" w:type="dxa"/>
          </w:tcPr>
          <w:p w14:paraId="030CA775" w14:textId="549F2347" w:rsidR="004F7A99" w:rsidRDefault="00C41AB9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  <w:r w:rsidR="00F51625" w:rsidRPr="00820D79">
              <w:rPr>
                <w:lang w:val="en-US" w:eastAsia="ja-JP"/>
              </w:rPr>
              <w:t xml:space="preserve">rbit of the </w:t>
            </w:r>
            <w:r w:rsidR="00F51625">
              <w:rPr>
                <w:rFonts w:hint="eastAsia"/>
                <w:lang w:val="en-US" w:eastAsia="ja-JP"/>
              </w:rPr>
              <w:t xml:space="preserve">LEO </w:t>
            </w:r>
            <w:r w:rsidR="00F51625" w:rsidRPr="00820D79">
              <w:rPr>
                <w:lang w:val="en-US" w:eastAsia="ja-JP"/>
              </w:rPr>
              <w:t>satellite</w:t>
            </w:r>
          </w:p>
        </w:tc>
        <w:tc>
          <w:tcPr>
            <w:tcW w:w="2835" w:type="dxa"/>
          </w:tcPr>
          <w:p w14:paraId="1780DCB8" w14:textId="2D4D8873" w:rsid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</w:p>
        </w:tc>
      </w:tr>
      <w:tr w:rsidR="004F7A99" w14:paraId="44BD997F" w14:textId="77777777" w:rsidTr="004D4F54">
        <w:tc>
          <w:tcPr>
            <w:tcW w:w="4536" w:type="dxa"/>
          </w:tcPr>
          <w:p w14:paraId="2D27A2EF" w14:textId="37B23775" w:rsidR="004F7A99" w:rsidRP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  <w:r>
              <w:rPr>
                <w:rFonts w:hint="eastAsia"/>
                <w:lang w:val="en-US" w:eastAsia="ja-JP"/>
              </w:rPr>
              <w:t xml:space="preserve">perational </w:t>
            </w:r>
            <w:r>
              <w:rPr>
                <w:lang w:val="en-US" w:eastAsia="ja-JP"/>
              </w:rPr>
              <w:t>scenario</w:t>
            </w:r>
            <w:r>
              <w:rPr>
                <w:rFonts w:hint="eastAsia"/>
                <w:lang w:val="en-US" w:eastAsia="ja-JP"/>
              </w:rPr>
              <w:t xml:space="preserve"> of </w:t>
            </w:r>
            <w:r w:rsidR="004272BA">
              <w:rPr>
                <w:rFonts w:hint="eastAsia"/>
                <w:lang w:val="en-US" w:eastAsia="ja-JP"/>
              </w:rPr>
              <w:t>Space-Based VHF</w:t>
            </w:r>
          </w:p>
        </w:tc>
        <w:tc>
          <w:tcPr>
            <w:tcW w:w="2835" w:type="dxa"/>
          </w:tcPr>
          <w:p w14:paraId="64A26305" w14:textId="77777777" w:rsidR="004F7A99" w:rsidRDefault="004F7A99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</w:p>
        </w:tc>
      </w:tr>
      <w:tr w:rsidR="00F51625" w14:paraId="20E34277" w14:textId="77777777" w:rsidTr="004D4F54">
        <w:tc>
          <w:tcPr>
            <w:tcW w:w="4536" w:type="dxa"/>
          </w:tcPr>
          <w:p w14:paraId="22DC705E" w14:textId="7D4DEFF0" w:rsid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>D</w:t>
            </w:r>
            <w:r>
              <w:rPr>
                <w:rFonts w:hint="eastAsia"/>
                <w:lang w:val="en-US" w:eastAsia="ja-JP"/>
              </w:rPr>
              <w:t>esignated coverage area</w:t>
            </w:r>
          </w:p>
        </w:tc>
        <w:tc>
          <w:tcPr>
            <w:tcW w:w="2835" w:type="dxa"/>
          </w:tcPr>
          <w:p w14:paraId="7DCF9DBC" w14:textId="77777777" w:rsid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</w:p>
        </w:tc>
      </w:tr>
      <w:tr w:rsidR="00F51625" w14:paraId="41AB1E56" w14:textId="77777777" w:rsidTr="004D4F54">
        <w:tc>
          <w:tcPr>
            <w:tcW w:w="4536" w:type="dxa"/>
          </w:tcPr>
          <w:p w14:paraId="3AB844CA" w14:textId="54A54052" w:rsid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>Potential</w:t>
            </w:r>
            <w:r>
              <w:rPr>
                <w:rFonts w:hint="eastAsia"/>
                <w:lang w:val="en-US" w:eastAsia="ja-JP"/>
              </w:rPr>
              <w:t xml:space="preserve"> coverage area</w:t>
            </w:r>
          </w:p>
        </w:tc>
        <w:tc>
          <w:tcPr>
            <w:tcW w:w="2835" w:type="dxa"/>
          </w:tcPr>
          <w:p w14:paraId="4A33D625" w14:textId="77777777" w:rsid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</w:p>
        </w:tc>
      </w:tr>
      <w:tr w:rsidR="00F51625" w14:paraId="13149602" w14:textId="77777777" w:rsidTr="004D4F54">
        <w:tc>
          <w:tcPr>
            <w:tcW w:w="4536" w:type="dxa"/>
          </w:tcPr>
          <w:p w14:paraId="299684F4" w14:textId="6C228F56" w:rsid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>P</w:t>
            </w:r>
            <w:r w:rsidR="004D4F54">
              <w:rPr>
                <w:rFonts w:hint="eastAsia"/>
                <w:lang w:val="en-US" w:eastAsia="ja-JP"/>
              </w:rPr>
              <w:t xml:space="preserve">OC </w:t>
            </w:r>
            <w:r>
              <w:rPr>
                <w:rFonts w:hint="eastAsia"/>
                <w:lang w:val="en-US" w:eastAsia="ja-JP"/>
              </w:rPr>
              <w:t xml:space="preserve">of </w:t>
            </w:r>
            <w:r w:rsidR="004272BA">
              <w:rPr>
                <w:rFonts w:hint="eastAsia"/>
                <w:lang w:val="en-US" w:eastAsia="ja-JP"/>
              </w:rPr>
              <w:t>Space-Based VHF</w:t>
            </w:r>
            <w:r>
              <w:rPr>
                <w:rFonts w:hint="eastAsia"/>
                <w:lang w:val="en-US" w:eastAsia="ja-JP"/>
              </w:rPr>
              <w:t xml:space="preserve"> service provider</w:t>
            </w:r>
          </w:p>
        </w:tc>
        <w:tc>
          <w:tcPr>
            <w:tcW w:w="2835" w:type="dxa"/>
          </w:tcPr>
          <w:p w14:paraId="0E77556B" w14:textId="572DCFA8" w:rsidR="00F51625" w:rsidRDefault="00F51625" w:rsidP="004F7A99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>T</w:t>
            </w:r>
            <w:r>
              <w:rPr>
                <w:rFonts w:hint="eastAsia"/>
                <w:lang w:val="en-US" w:eastAsia="ja-JP"/>
              </w:rPr>
              <w:t>o register in FF tool only</w:t>
            </w:r>
          </w:p>
        </w:tc>
      </w:tr>
    </w:tbl>
    <w:p w14:paraId="21B57A48" w14:textId="77777777" w:rsidR="00906622" w:rsidRPr="00052FA2" w:rsidRDefault="00906622" w:rsidP="00906622">
      <w:pPr>
        <w:pStyle w:val="1Heading"/>
        <w:numPr>
          <w:ilvl w:val="0"/>
          <w:numId w:val="0"/>
        </w:numPr>
        <w:rPr>
          <w:lang w:val="en-US" w:eastAsia="ja-JP"/>
        </w:rPr>
      </w:pPr>
    </w:p>
    <w:p w14:paraId="025B2F3E" w14:textId="77777777" w:rsidR="00770160" w:rsidRPr="00032308" w:rsidRDefault="00770160">
      <w:pPr>
        <w:pStyle w:val="1Heading"/>
        <w:rPr>
          <w:lang w:val="en-US"/>
        </w:rPr>
      </w:pPr>
      <w:r w:rsidRPr="00032308">
        <w:rPr>
          <w:lang w:val="en-US"/>
        </w:rPr>
        <w:t>ACTION BY THE MEETING</w:t>
      </w:r>
    </w:p>
    <w:p w14:paraId="7F300203" w14:textId="77777777" w:rsidR="00770160" w:rsidRPr="00032308" w:rsidRDefault="00770160">
      <w:pPr>
        <w:pStyle w:val="2para"/>
        <w:rPr>
          <w:lang w:val="en-US"/>
        </w:rPr>
      </w:pPr>
      <w:r w:rsidRPr="00032308">
        <w:rPr>
          <w:lang w:val="en-US"/>
        </w:rPr>
        <w:t>The meeting is invited to:</w:t>
      </w:r>
    </w:p>
    <w:p w14:paraId="6FCA1889" w14:textId="5FE88155" w:rsidR="00770160" w:rsidRDefault="00035DE5">
      <w:pPr>
        <w:pStyle w:val="Listabc"/>
        <w:rPr>
          <w:noProof w:val="0"/>
          <w:lang w:val="en-US"/>
        </w:rPr>
      </w:pPr>
      <w:r>
        <w:rPr>
          <w:rFonts w:hint="eastAsia"/>
          <w:noProof w:val="0"/>
          <w:lang w:val="en-US" w:eastAsia="ja-JP"/>
        </w:rPr>
        <w:t>n</w:t>
      </w:r>
      <w:r w:rsidR="00770160" w:rsidRPr="00032308">
        <w:rPr>
          <w:noProof w:val="0"/>
          <w:lang w:val="en-US"/>
        </w:rPr>
        <w:t xml:space="preserve">ote the contents of this working </w:t>
      </w:r>
      <w:proofErr w:type="gramStart"/>
      <w:r w:rsidR="00770160" w:rsidRPr="00032308">
        <w:rPr>
          <w:noProof w:val="0"/>
          <w:lang w:val="en-US"/>
        </w:rPr>
        <w:t>paper;</w:t>
      </w:r>
      <w:proofErr w:type="gramEnd"/>
    </w:p>
    <w:p w14:paraId="469A6B8D" w14:textId="73F9073A" w:rsidR="002A2712" w:rsidRDefault="00C41AB9">
      <w:pPr>
        <w:pStyle w:val="Listabc"/>
        <w:rPr>
          <w:noProof w:val="0"/>
          <w:lang w:val="en-US"/>
        </w:rPr>
      </w:pPr>
      <w:r>
        <w:rPr>
          <w:lang w:val="en-US" w:eastAsia="ja-JP"/>
        </w:rPr>
        <w:t>request</w:t>
      </w:r>
      <w:r w:rsidRPr="00035DE5">
        <w:rPr>
          <w:lang w:val="en-US" w:eastAsia="ja-JP"/>
        </w:rPr>
        <w:t xml:space="preserve"> </w:t>
      </w:r>
      <w:r w:rsidR="00035DE5" w:rsidRPr="00035DE5">
        <w:rPr>
          <w:lang w:val="en-US" w:eastAsia="ja-JP"/>
        </w:rPr>
        <w:t xml:space="preserve">the </w:t>
      </w:r>
      <w:r w:rsidR="004272BA">
        <w:rPr>
          <w:lang w:val="en-US" w:eastAsia="ja-JP"/>
        </w:rPr>
        <w:t>Space-Based VHF</w:t>
      </w:r>
      <w:r w:rsidR="00035DE5" w:rsidRPr="00035DE5">
        <w:rPr>
          <w:lang w:val="en-US" w:eastAsia="ja-JP"/>
        </w:rPr>
        <w:t xml:space="preserve"> CG to update Doc.9718 </w:t>
      </w:r>
      <w:r>
        <w:rPr>
          <w:lang w:val="en-US" w:eastAsia="ja-JP"/>
        </w:rPr>
        <w:t>Vol.2 to</w:t>
      </w:r>
      <w:r w:rsidRPr="00035DE5">
        <w:rPr>
          <w:lang w:val="en-US" w:eastAsia="ja-JP"/>
        </w:rPr>
        <w:t xml:space="preserve"> </w:t>
      </w:r>
      <w:r w:rsidR="00035DE5" w:rsidRPr="00035DE5">
        <w:rPr>
          <w:lang w:val="en-US" w:eastAsia="ja-JP"/>
        </w:rPr>
        <w:t xml:space="preserve">establish appropriate frequency planning criteria and procedures that take into account the characteristics of LEO satellites and </w:t>
      </w:r>
      <w:r w:rsidR="004272BA">
        <w:rPr>
          <w:lang w:val="en-US" w:eastAsia="ja-JP"/>
        </w:rPr>
        <w:t>Space-Based VHF</w:t>
      </w:r>
      <w:r w:rsidR="00035DE5" w:rsidRPr="00035DE5">
        <w:rPr>
          <w:lang w:val="en-US" w:eastAsia="ja-JP"/>
        </w:rPr>
        <w:t>.</w:t>
      </w:r>
    </w:p>
    <w:p w14:paraId="0E636C2F" w14:textId="2C764F0E" w:rsidR="002A2712" w:rsidRPr="00032308" w:rsidRDefault="00C41AB9">
      <w:pPr>
        <w:pStyle w:val="Listabc"/>
        <w:rPr>
          <w:noProof w:val="0"/>
          <w:lang w:val="en-US"/>
        </w:rPr>
      </w:pPr>
      <w:r>
        <w:rPr>
          <w:noProof w:val="0"/>
          <w:lang w:val="en-US" w:eastAsia="ja-JP"/>
        </w:rPr>
        <w:t>develop</w:t>
      </w:r>
      <w:r w:rsidR="000561C9" w:rsidRPr="000561C9">
        <w:rPr>
          <w:noProof w:val="0"/>
          <w:lang w:val="en-US" w:eastAsia="ja-JP"/>
        </w:rPr>
        <w:t xml:space="preserve"> the Frequency Finder tool </w:t>
      </w:r>
      <w:r>
        <w:rPr>
          <w:noProof w:val="0"/>
          <w:lang w:val="en-US" w:eastAsia="ja-JP"/>
        </w:rPr>
        <w:t xml:space="preserve">for </w:t>
      </w:r>
      <w:r>
        <w:rPr>
          <w:lang w:val="en-US" w:eastAsia="ja-JP"/>
        </w:rPr>
        <w:t>Space-Based VHF</w:t>
      </w:r>
      <w:r w:rsidRPr="000561C9">
        <w:rPr>
          <w:noProof w:val="0"/>
          <w:lang w:val="en-US" w:eastAsia="ja-JP"/>
        </w:rPr>
        <w:t xml:space="preserve"> </w:t>
      </w:r>
      <w:r w:rsidR="000561C9" w:rsidRPr="000561C9">
        <w:rPr>
          <w:noProof w:val="0"/>
          <w:lang w:val="en-US" w:eastAsia="ja-JP"/>
        </w:rPr>
        <w:t>so that frequency coordination can be provided by the ICAO Regional Office effectively and efficien</w:t>
      </w:r>
      <w:r w:rsidR="000561C9">
        <w:rPr>
          <w:rFonts w:hint="eastAsia"/>
          <w:noProof w:val="0"/>
          <w:lang w:val="en-US" w:eastAsia="ja-JP"/>
        </w:rPr>
        <w:t>tly</w:t>
      </w:r>
      <w:r w:rsidR="000561C9" w:rsidRPr="000561C9">
        <w:rPr>
          <w:noProof w:val="0"/>
          <w:lang w:val="en-US" w:eastAsia="ja-JP"/>
        </w:rPr>
        <w:t>.</w:t>
      </w:r>
      <w:r w:rsidR="000561C9" w:rsidRPr="00032308">
        <w:rPr>
          <w:noProof w:val="0"/>
          <w:lang w:val="en-US"/>
        </w:rPr>
        <w:t xml:space="preserve"> </w:t>
      </w:r>
    </w:p>
    <w:p w14:paraId="6C7B3417" w14:textId="77777777" w:rsidR="00E5621A" w:rsidRPr="00032308" w:rsidRDefault="00E5621A" w:rsidP="00423C6F">
      <w:pPr>
        <w:pStyle w:val="Listabc"/>
        <w:numPr>
          <w:ilvl w:val="0"/>
          <w:numId w:val="0"/>
        </w:numPr>
        <w:rPr>
          <w:noProof w:val="0"/>
          <w:lang w:val="en-US"/>
        </w:rPr>
      </w:pPr>
    </w:p>
    <w:p w14:paraId="4D8A550F" w14:textId="77777777" w:rsidR="00A12CBA" w:rsidRPr="00032308" w:rsidRDefault="00770160" w:rsidP="00E91DF2">
      <w:pPr>
        <w:spacing w:before="600"/>
        <w:jc w:val="center"/>
        <w:rPr>
          <w:lang w:val="en-US"/>
        </w:rPr>
      </w:pPr>
      <w:r w:rsidRPr="00032308">
        <w:rPr>
          <w:lang w:val="en-US"/>
        </w:rPr>
        <w:t>— END —</w:t>
      </w:r>
    </w:p>
    <w:sectPr w:rsidR="00A12CBA" w:rsidRPr="00032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C9A8" w14:textId="77777777" w:rsidR="00257DC5" w:rsidRDefault="00257DC5">
      <w:r>
        <w:separator/>
      </w:r>
    </w:p>
  </w:endnote>
  <w:endnote w:type="continuationSeparator" w:id="0">
    <w:p w14:paraId="45283165" w14:textId="77777777" w:rsidR="00257DC5" w:rsidRDefault="0025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A063" w14:textId="77777777" w:rsidR="006549DA" w:rsidRDefault="00654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759C" w14:textId="77777777" w:rsidR="006549DA" w:rsidRDefault="00654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723F" w14:textId="77777777" w:rsidR="00770160" w:rsidRPr="006549DA" w:rsidRDefault="00770160">
    <w:pPr>
      <w:pStyle w:val="Footer"/>
      <w:rPr>
        <w:sz w:val="18"/>
        <w:lang w:val="en-CA"/>
      </w:rPr>
    </w:pPr>
    <w:r w:rsidRPr="006549DA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6549DA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 w:rsidRPr="006549DA">
      <w:rPr>
        <w:noProof/>
        <w:sz w:val="18"/>
        <w:lang w:val="en-CA"/>
      </w:rPr>
      <w:t>2</w:t>
    </w:r>
    <w:r>
      <w:rPr>
        <w:sz w:val="18"/>
        <w:lang w:val="en-US"/>
      </w:rPr>
      <w:fldChar w:fldCharType="end"/>
    </w:r>
    <w:r w:rsidRPr="006549DA">
      <w:rPr>
        <w:sz w:val="18"/>
        <w:lang w:val="en-CA"/>
      </w:rPr>
      <w:t xml:space="preserve"> pages)</w:t>
    </w:r>
  </w:p>
  <w:p w14:paraId="400681DA" w14:textId="48AE5A10" w:rsidR="00770160" w:rsidRPr="00BC4CD0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BC4CD0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6549DA">
      <w:rPr>
        <w:noProof/>
        <w:sz w:val="18"/>
        <w:lang w:val="en-CA"/>
      </w:rPr>
      <w:t>FSMP-WG20-WP02_Additional Contents of frequency planning criteria and procedures for Space-Based VHF_20250207.docx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E1E7" w14:textId="77777777" w:rsidR="00257DC5" w:rsidRDefault="00257DC5">
      <w:r>
        <w:separator/>
      </w:r>
    </w:p>
  </w:footnote>
  <w:footnote w:type="continuationSeparator" w:id="0">
    <w:p w14:paraId="0335CE5C" w14:textId="77777777" w:rsidR="00257DC5" w:rsidRDefault="0025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CC9" w14:textId="40D65F55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6549DA">
      <w:t>20</w:t>
    </w:r>
    <w:r w:rsidR="00FC389A">
      <w:t>-</w:t>
    </w:r>
    <w:r w:rsidR="00770160">
      <w:t>WP/</w:t>
    </w:r>
    <w:r w:rsidR="006549DA">
      <w:t>02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01D4" w14:textId="7679E9AA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6549DA" w:rsidRPr="006549DA">
      <w:t>FSMP-WG/20-WP/02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0E37BDD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42CDDEB4" w14:textId="2CCCB2DE" w:rsidR="00920C27" w:rsidRDefault="003C75D1" w:rsidP="00664C07">
          <w:bookmarkStart w:id="1" w:name="logo"/>
          <w:r w:rsidRPr="00484298">
            <w:rPr>
              <w:noProof/>
              <w:lang w:eastAsia="zh-CN"/>
            </w:rPr>
            <w:drawing>
              <wp:inline distT="0" distB="0" distL="0" distR="0" wp14:anchorId="4165598E" wp14:editId="7C0A28D0">
                <wp:extent cx="1092200" cy="8636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6EE57050" w14:textId="3FF2E5D2" w:rsidR="00920C27" w:rsidRPr="00066AB7" w:rsidRDefault="003C75D1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8297500" wp14:editId="7E09258F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F2B7AA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3128D7E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29CB1249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6E894991" w14:textId="5FB065B9" w:rsidR="00920C27" w:rsidRPr="00066AB7" w:rsidRDefault="00B93F2F" w:rsidP="00664C07">
          <w:pPr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 w:hint="eastAsia"/>
              <w:b/>
              <w:sz w:val="24"/>
              <w:szCs w:val="22"/>
              <w:lang w:eastAsia="ja-JP"/>
            </w:rPr>
            <w:t xml:space="preserve">WORKING </w:t>
          </w:r>
          <w:r w:rsidR="00920C27" w:rsidRPr="00066AB7">
            <w:rPr>
              <w:rFonts w:ascii="Arial" w:hAnsi="Arial" w:cs="Arial"/>
              <w:b/>
              <w:sz w:val="24"/>
              <w:szCs w:val="22"/>
            </w:rPr>
            <w:t>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45B063F1" w14:textId="77777777" w:rsidTr="00664C07">
            <w:trPr>
              <w:jc w:val="right"/>
            </w:trPr>
            <w:tc>
              <w:tcPr>
                <w:tcW w:w="0" w:type="auto"/>
              </w:tcPr>
              <w:p w14:paraId="23D831B8" w14:textId="113A855C" w:rsidR="00920C27" w:rsidRPr="00066AB7" w:rsidRDefault="000D26D5" w:rsidP="006549DA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  <w:lang w:eastAsia="ja-JP"/>
                  </w:rPr>
                </w:pPr>
                <w:bookmarkStart w:id="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9F3664">
                  <w:rPr>
                    <w:rFonts w:hint="eastAsia"/>
                    <w:szCs w:val="22"/>
                    <w:lang w:eastAsia="ja-JP"/>
                  </w:rPr>
                  <w:t>20</w:t>
                </w:r>
                <w:r w:rsidR="00FC389A">
                  <w:rPr>
                    <w:szCs w:val="22"/>
                  </w:rPr>
                  <w:t>-</w:t>
                </w:r>
                <w:r w:rsidR="00B93F2F">
                  <w:rPr>
                    <w:rFonts w:hint="eastAsia"/>
                    <w:szCs w:val="22"/>
                    <w:lang w:eastAsia="ja-JP"/>
                  </w:rPr>
                  <w:t>W</w:t>
                </w:r>
                <w:r w:rsidR="00920C27" w:rsidRPr="00066AB7">
                  <w:rPr>
                    <w:szCs w:val="22"/>
                  </w:rPr>
                  <w:t>P/</w:t>
                </w:r>
                <w:bookmarkEnd w:id="2"/>
                <w:r w:rsidR="006549DA">
                  <w:rPr>
                    <w:szCs w:val="22"/>
                  </w:rPr>
                  <w:t>02</w:t>
                </w:r>
              </w:p>
              <w:p w14:paraId="37F82501" w14:textId="75185F52" w:rsidR="00920C27" w:rsidRPr="00066AB7" w:rsidRDefault="00885035" w:rsidP="006549DA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3" w:name="restricted"/>
                <w:bookmarkStart w:id="4" w:name="addendum_corrigendum_appendix"/>
                <w:bookmarkStart w:id="5" w:name="revision_no"/>
                <w:bookmarkStart w:id="6" w:name="revision_date"/>
                <w:bookmarkStart w:id="7" w:name="related_to"/>
                <w:bookmarkEnd w:id="3"/>
                <w:bookmarkEnd w:id="4"/>
                <w:bookmarkEnd w:id="5"/>
                <w:bookmarkEnd w:id="6"/>
                <w:bookmarkEnd w:id="7"/>
                <w:r>
                  <w:rPr>
                    <w:sz w:val="18"/>
                    <w:szCs w:val="18"/>
                  </w:rPr>
                  <w:t>202</w:t>
                </w:r>
                <w:r w:rsidR="009F3664">
                  <w:rPr>
                    <w:rFonts w:hint="eastAsia"/>
                    <w:sz w:val="18"/>
                    <w:szCs w:val="18"/>
                    <w:lang w:eastAsia="ja-JP"/>
                  </w:rPr>
                  <w:t>5</w:t>
                </w:r>
                <w:r>
                  <w:rPr>
                    <w:sz w:val="18"/>
                    <w:szCs w:val="18"/>
                  </w:rPr>
                  <w:t>-0</w:t>
                </w:r>
                <w:r w:rsidR="009F3664">
                  <w:rPr>
                    <w:rFonts w:hint="eastAsia"/>
                    <w:sz w:val="18"/>
                    <w:szCs w:val="18"/>
                    <w:lang w:eastAsia="ja-JP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6549DA">
                  <w:rPr>
                    <w:sz w:val="18"/>
                    <w:szCs w:val="18"/>
                  </w:rPr>
                  <w:t>26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8" w:name="info_paper"/>
                <w:bookmarkEnd w:id="8"/>
              </w:p>
            </w:tc>
          </w:tr>
          <w:tr w:rsidR="00920C27" w14:paraId="0C0D9C0F" w14:textId="77777777" w:rsidTr="00664C07">
            <w:trPr>
              <w:jc w:val="right"/>
            </w:trPr>
            <w:tc>
              <w:tcPr>
                <w:tcW w:w="0" w:type="auto"/>
              </w:tcPr>
              <w:p w14:paraId="1AF6E075" w14:textId="77777777" w:rsidR="00920C27" w:rsidRPr="00066AB7" w:rsidRDefault="00920C27" w:rsidP="006549DA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01289DBB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7CB3867C" w14:textId="36E19731" w:rsidR="00770160" w:rsidRDefault="00770160" w:rsidP="00CA05A9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21D2"/>
    <w:multiLevelType w:val="hybridMultilevel"/>
    <w:tmpl w:val="433CE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10FF"/>
    <w:multiLevelType w:val="hybridMultilevel"/>
    <w:tmpl w:val="63BE0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16B3605"/>
    <w:multiLevelType w:val="hybridMultilevel"/>
    <w:tmpl w:val="4192C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B313D"/>
    <w:multiLevelType w:val="hybridMultilevel"/>
    <w:tmpl w:val="64A227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14442749">
    <w:abstractNumId w:val="5"/>
  </w:num>
  <w:num w:numId="2" w16cid:durableId="2173464">
    <w:abstractNumId w:val="8"/>
  </w:num>
  <w:num w:numId="3" w16cid:durableId="360741001">
    <w:abstractNumId w:val="1"/>
  </w:num>
  <w:num w:numId="4" w16cid:durableId="1829636170">
    <w:abstractNumId w:val="0"/>
  </w:num>
  <w:num w:numId="5" w16cid:durableId="1952206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052586">
    <w:abstractNumId w:val="2"/>
  </w:num>
  <w:num w:numId="7" w16cid:durableId="2130203906">
    <w:abstractNumId w:val="3"/>
  </w:num>
  <w:num w:numId="8" w16cid:durableId="1781680689">
    <w:abstractNumId w:val="4"/>
  </w:num>
  <w:num w:numId="9" w16cid:durableId="866483316">
    <w:abstractNumId w:val="6"/>
  </w:num>
  <w:num w:numId="10" w16cid:durableId="860699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1736D"/>
    <w:rsid w:val="00021604"/>
    <w:rsid w:val="0002582F"/>
    <w:rsid w:val="00025A19"/>
    <w:rsid w:val="000273D2"/>
    <w:rsid w:val="00032308"/>
    <w:rsid w:val="00035DE5"/>
    <w:rsid w:val="000376EB"/>
    <w:rsid w:val="00052922"/>
    <w:rsid w:val="00052FA2"/>
    <w:rsid w:val="000561C9"/>
    <w:rsid w:val="00067C56"/>
    <w:rsid w:val="00080A07"/>
    <w:rsid w:val="0009326E"/>
    <w:rsid w:val="000A602F"/>
    <w:rsid w:val="000A6AD2"/>
    <w:rsid w:val="000D26D5"/>
    <w:rsid w:val="000E218A"/>
    <w:rsid w:val="00121E15"/>
    <w:rsid w:val="00121F82"/>
    <w:rsid w:val="00134A03"/>
    <w:rsid w:val="001566B0"/>
    <w:rsid w:val="001745D3"/>
    <w:rsid w:val="00190C98"/>
    <w:rsid w:val="001A433D"/>
    <w:rsid w:val="001C2F70"/>
    <w:rsid w:val="001D373B"/>
    <w:rsid w:val="001E2D88"/>
    <w:rsid w:val="0020213F"/>
    <w:rsid w:val="0020272F"/>
    <w:rsid w:val="002060FE"/>
    <w:rsid w:val="00222D23"/>
    <w:rsid w:val="00226565"/>
    <w:rsid w:val="00235901"/>
    <w:rsid w:val="00257DC5"/>
    <w:rsid w:val="00263F4D"/>
    <w:rsid w:val="002670AE"/>
    <w:rsid w:val="00295E50"/>
    <w:rsid w:val="00296269"/>
    <w:rsid w:val="00296C3E"/>
    <w:rsid w:val="002A2712"/>
    <w:rsid w:val="002A7CE3"/>
    <w:rsid w:val="002C2D0B"/>
    <w:rsid w:val="002D725D"/>
    <w:rsid w:val="002E38FD"/>
    <w:rsid w:val="002F53C3"/>
    <w:rsid w:val="0033179F"/>
    <w:rsid w:val="00347D56"/>
    <w:rsid w:val="003715A0"/>
    <w:rsid w:val="00395263"/>
    <w:rsid w:val="003A3518"/>
    <w:rsid w:val="003C75D1"/>
    <w:rsid w:val="003C7FC2"/>
    <w:rsid w:val="003D0FE8"/>
    <w:rsid w:val="003D62E1"/>
    <w:rsid w:val="003D7FD8"/>
    <w:rsid w:val="003E2387"/>
    <w:rsid w:val="00423C6F"/>
    <w:rsid w:val="004272BA"/>
    <w:rsid w:val="004735BC"/>
    <w:rsid w:val="0049280E"/>
    <w:rsid w:val="00492CD2"/>
    <w:rsid w:val="004B00DD"/>
    <w:rsid w:val="004D46C5"/>
    <w:rsid w:val="004D4F54"/>
    <w:rsid w:val="004E6F80"/>
    <w:rsid w:val="004F7A99"/>
    <w:rsid w:val="00505F6E"/>
    <w:rsid w:val="005070B9"/>
    <w:rsid w:val="005101DA"/>
    <w:rsid w:val="0051574F"/>
    <w:rsid w:val="00533ECF"/>
    <w:rsid w:val="005420A6"/>
    <w:rsid w:val="00552B85"/>
    <w:rsid w:val="0058161F"/>
    <w:rsid w:val="005C3A65"/>
    <w:rsid w:val="005F535B"/>
    <w:rsid w:val="00625E2A"/>
    <w:rsid w:val="006535FB"/>
    <w:rsid w:val="006549DA"/>
    <w:rsid w:val="00664C07"/>
    <w:rsid w:val="006C2E7B"/>
    <w:rsid w:val="00725205"/>
    <w:rsid w:val="0073418F"/>
    <w:rsid w:val="00760654"/>
    <w:rsid w:val="00770160"/>
    <w:rsid w:val="007800BB"/>
    <w:rsid w:val="00796019"/>
    <w:rsid w:val="007C45F0"/>
    <w:rsid w:val="007C72BF"/>
    <w:rsid w:val="007E6A06"/>
    <w:rsid w:val="007F6AF6"/>
    <w:rsid w:val="00802C20"/>
    <w:rsid w:val="00820D79"/>
    <w:rsid w:val="00822F3F"/>
    <w:rsid w:val="00830391"/>
    <w:rsid w:val="00850D76"/>
    <w:rsid w:val="00860FB4"/>
    <w:rsid w:val="008715EC"/>
    <w:rsid w:val="00885035"/>
    <w:rsid w:val="008850BB"/>
    <w:rsid w:val="00886363"/>
    <w:rsid w:val="00896451"/>
    <w:rsid w:val="008B54C4"/>
    <w:rsid w:val="008C748A"/>
    <w:rsid w:val="0090204A"/>
    <w:rsid w:val="00906622"/>
    <w:rsid w:val="009202EA"/>
    <w:rsid w:val="0092053D"/>
    <w:rsid w:val="00920B80"/>
    <w:rsid w:val="00920C27"/>
    <w:rsid w:val="009602EE"/>
    <w:rsid w:val="009608BC"/>
    <w:rsid w:val="009A3BB6"/>
    <w:rsid w:val="009F3664"/>
    <w:rsid w:val="00A03CFF"/>
    <w:rsid w:val="00A12CBA"/>
    <w:rsid w:val="00A232A8"/>
    <w:rsid w:val="00A5187D"/>
    <w:rsid w:val="00A66181"/>
    <w:rsid w:val="00A84F03"/>
    <w:rsid w:val="00AA6C93"/>
    <w:rsid w:val="00AA7B30"/>
    <w:rsid w:val="00AD35D4"/>
    <w:rsid w:val="00B00E0C"/>
    <w:rsid w:val="00B02DF4"/>
    <w:rsid w:val="00B12940"/>
    <w:rsid w:val="00B22662"/>
    <w:rsid w:val="00B2272C"/>
    <w:rsid w:val="00B60188"/>
    <w:rsid w:val="00B63E9A"/>
    <w:rsid w:val="00B669A5"/>
    <w:rsid w:val="00B93ED9"/>
    <w:rsid w:val="00B93F2F"/>
    <w:rsid w:val="00B95AA6"/>
    <w:rsid w:val="00BC4CD0"/>
    <w:rsid w:val="00BC5391"/>
    <w:rsid w:val="00C05F91"/>
    <w:rsid w:val="00C108A3"/>
    <w:rsid w:val="00C1498C"/>
    <w:rsid w:val="00C14BC4"/>
    <w:rsid w:val="00C208F9"/>
    <w:rsid w:val="00C2608A"/>
    <w:rsid w:val="00C32F4A"/>
    <w:rsid w:val="00C41AB9"/>
    <w:rsid w:val="00C63B83"/>
    <w:rsid w:val="00C87CE5"/>
    <w:rsid w:val="00CA05A9"/>
    <w:rsid w:val="00CA11F9"/>
    <w:rsid w:val="00CC3218"/>
    <w:rsid w:val="00CE2E6C"/>
    <w:rsid w:val="00CE7B59"/>
    <w:rsid w:val="00CF2633"/>
    <w:rsid w:val="00CF72A2"/>
    <w:rsid w:val="00D0138A"/>
    <w:rsid w:val="00D10496"/>
    <w:rsid w:val="00D1165F"/>
    <w:rsid w:val="00D22255"/>
    <w:rsid w:val="00D22842"/>
    <w:rsid w:val="00D314C7"/>
    <w:rsid w:val="00D337C4"/>
    <w:rsid w:val="00D373E4"/>
    <w:rsid w:val="00D55323"/>
    <w:rsid w:val="00D81241"/>
    <w:rsid w:val="00D8375B"/>
    <w:rsid w:val="00D83784"/>
    <w:rsid w:val="00D87327"/>
    <w:rsid w:val="00D91EAD"/>
    <w:rsid w:val="00D94FD3"/>
    <w:rsid w:val="00DA1D9A"/>
    <w:rsid w:val="00DA654F"/>
    <w:rsid w:val="00DD2171"/>
    <w:rsid w:val="00DD6BEE"/>
    <w:rsid w:val="00DF76D3"/>
    <w:rsid w:val="00E01EF2"/>
    <w:rsid w:val="00E23ADD"/>
    <w:rsid w:val="00E26FC5"/>
    <w:rsid w:val="00E34C38"/>
    <w:rsid w:val="00E445C3"/>
    <w:rsid w:val="00E5621A"/>
    <w:rsid w:val="00E7263C"/>
    <w:rsid w:val="00E77340"/>
    <w:rsid w:val="00E8505C"/>
    <w:rsid w:val="00E91DF2"/>
    <w:rsid w:val="00EB1EAC"/>
    <w:rsid w:val="00EC0A44"/>
    <w:rsid w:val="00EE016D"/>
    <w:rsid w:val="00EF04FD"/>
    <w:rsid w:val="00F06A36"/>
    <w:rsid w:val="00F50D61"/>
    <w:rsid w:val="00F51625"/>
    <w:rsid w:val="00F52149"/>
    <w:rsid w:val="00F56F90"/>
    <w:rsid w:val="00F71AC4"/>
    <w:rsid w:val="00F84DC1"/>
    <w:rsid w:val="00F94EF3"/>
    <w:rsid w:val="00F975FD"/>
    <w:rsid w:val="00FB4C52"/>
    <w:rsid w:val="00FC1000"/>
    <w:rsid w:val="00FC1BA4"/>
    <w:rsid w:val="00FC23C4"/>
    <w:rsid w:val="00FC389A"/>
    <w:rsid w:val="00FC5E0E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A2589"/>
  <w15:chartTrackingRefBased/>
  <w15:docId w15:val="{77A310B9-6FE9-4440-B8E9-C763BDD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Hyperlink">
    <w:name w:val="Hyperlink"/>
    <w:basedOn w:val="DefaultParagraphFont"/>
    <w:rsid w:val="000A6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AD2"/>
    <w:rPr>
      <w:color w:val="605E5C"/>
      <w:shd w:val="clear" w:color="auto" w:fill="E1DFDD"/>
    </w:rPr>
  </w:style>
  <w:style w:type="table" w:styleId="TableGrid">
    <w:name w:val="Table Grid"/>
    <w:basedOn w:val="TableNormal"/>
    <w:rsid w:val="002A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62E1"/>
    <w:rPr>
      <w:sz w:val="22"/>
      <w:lang w:val="en-GB" w:eastAsia="en-US"/>
    </w:rPr>
  </w:style>
  <w:style w:type="character" w:styleId="CommentReference">
    <w:name w:val="annotation reference"/>
    <w:basedOn w:val="DefaultParagraphFont"/>
    <w:unhideWhenUsed/>
    <w:rsid w:val="00D013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138A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</w:tabs>
      <w:adjustRightInd w:val="0"/>
    </w:pPr>
    <w:rPr>
      <w:rFonts w:eastAsia="SimSun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D0138A"/>
    <w:rPr>
      <w:rFonts w:eastAsia="SimSun"/>
      <w:lang w:val="en-GB" w:eastAsia="zh-CN"/>
    </w:rPr>
  </w:style>
  <w:style w:type="paragraph" w:styleId="ListParagraph">
    <w:name w:val="List Paragraph"/>
    <w:basedOn w:val="Normal"/>
    <w:uiPriority w:val="34"/>
    <w:qFormat/>
    <w:rsid w:val="00121F8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A2712"/>
    <w:pPr>
      <w:widowControl/>
      <w:tabs>
        <w:tab w:val="clear" w:pos="360"/>
        <w:tab w:val="clear" w:pos="720"/>
        <w:tab w:val="clear" w:pos="1080"/>
        <w:tab w:val="clear" w:pos="1440"/>
        <w:tab w:val="clear" w:pos="1800"/>
      </w:tabs>
      <w:adjustRightInd/>
      <w:jc w:val="left"/>
    </w:pPr>
    <w:rPr>
      <w:rFonts w:eastAsia="MS Mincho"/>
      <w:b/>
      <w:bCs/>
      <w:sz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A2712"/>
    <w:rPr>
      <w:rFonts w:eastAsia="SimSun"/>
      <w:b/>
      <w:bCs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C10BCC-4821-49F3-AD80-B2B543A545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18A28-DAF2-4C96-B96A-06C61B732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2</TotalTime>
  <Pages>4</Pages>
  <Words>669</Words>
  <Characters>4517</Characters>
  <Application>Microsoft Office Word</Application>
  <DocSecurity>0</DocSecurity>
  <Lines>451</Lines>
  <Paragraphs>398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6" baseType="lpstr">
      <vt:lpstr>1</vt:lpstr>
      <vt:lpstr>1</vt:lpstr>
      <vt:lpstr>1</vt:lpstr>
      <vt:lpstr>    Just a few lines with a brief background to introduce your paper.</vt:lpstr>
      <vt:lpstr>    This MS Word template is arranged with the following margins: top 2.87 cm, botto</vt:lpstr>
      <vt:lpstr>    The meeting is invited to:</vt:lpstr>
    </vt:vector>
  </TitlesOfParts>
  <Company>ICAO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3</cp:revision>
  <cp:lastPrinted>2025-01-16T13:48:00Z</cp:lastPrinted>
  <dcterms:created xsi:type="dcterms:W3CDTF">2025-02-07T02:56:00Z</dcterms:created>
  <dcterms:modified xsi:type="dcterms:W3CDTF">2025-02-07T21:05:00Z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</Properties>
</file>