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AFDC" w14:textId="77777777" w:rsidR="00146649" w:rsidRDefault="00146649" w:rsidP="00146649">
      <w:pPr>
        <w:jc w:val="center"/>
        <w:rPr>
          <w:b/>
        </w:rPr>
      </w:pPr>
      <w:r>
        <w:rPr>
          <w:b/>
        </w:rPr>
        <w:t>FREQUENCY SPECTRUM MANAGEMENT PANEL (FSMP)</w:t>
      </w:r>
    </w:p>
    <w:p w14:paraId="12052E4B" w14:textId="77777777" w:rsidR="00146649" w:rsidRDefault="00146649" w:rsidP="00146649">
      <w:pPr>
        <w:tabs>
          <w:tab w:val="left" w:pos="6972"/>
        </w:tabs>
        <w:jc w:val="center"/>
        <w:rPr>
          <w:b/>
        </w:rPr>
      </w:pPr>
    </w:p>
    <w:p w14:paraId="17BD3DC4" w14:textId="77777777" w:rsidR="009301D0" w:rsidRPr="009301D0" w:rsidRDefault="009301D0" w:rsidP="009301D0">
      <w:pPr>
        <w:widowControl w:val="0"/>
        <w:autoSpaceDE w:val="0"/>
        <w:autoSpaceDN w:val="0"/>
        <w:adjustRightInd w:val="0"/>
        <w:ind w:right="4"/>
        <w:jc w:val="center"/>
        <w:rPr>
          <w:rFonts w:eastAsia="SimSun"/>
          <w:b/>
          <w:caps/>
          <w:szCs w:val="24"/>
          <w:lang w:val="en-US"/>
        </w:rPr>
      </w:pPr>
      <w:r w:rsidRPr="009301D0">
        <w:rPr>
          <w:rFonts w:eastAsia="Yu Mincho" w:hint="eastAsia"/>
          <w:b/>
          <w:szCs w:val="24"/>
          <w:lang w:val="en-US" w:eastAsia="ja-JP"/>
        </w:rPr>
        <w:t>Twentieth</w:t>
      </w:r>
      <w:r w:rsidRPr="009301D0">
        <w:rPr>
          <w:rFonts w:eastAsia="SimSun"/>
          <w:b/>
          <w:szCs w:val="24"/>
          <w:lang w:val="en-US"/>
        </w:rPr>
        <w:t xml:space="preserve"> Working Group Meeting </w:t>
      </w:r>
    </w:p>
    <w:p w14:paraId="51F73DB3" w14:textId="77777777" w:rsidR="009301D0" w:rsidRPr="009301D0" w:rsidRDefault="009301D0" w:rsidP="009301D0">
      <w:pPr>
        <w:ind w:left="1080" w:right="1080"/>
        <w:jc w:val="center"/>
        <w:rPr>
          <w:rFonts w:eastAsia="MS Mincho"/>
          <w:b/>
          <w:snapToGrid w:val="0"/>
          <w:lang w:val="en-US"/>
        </w:rPr>
      </w:pPr>
    </w:p>
    <w:p w14:paraId="1506F065" w14:textId="77777777" w:rsidR="009301D0" w:rsidRPr="009301D0" w:rsidRDefault="009301D0" w:rsidP="009301D0">
      <w:pPr>
        <w:ind w:left="1080" w:right="1080"/>
        <w:jc w:val="center"/>
        <w:rPr>
          <w:rFonts w:eastAsia="MS Mincho"/>
          <w:b/>
          <w:snapToGrid w:val="0"/>
          <w:lang w:val="en-US" w:eastAsia="ja-JP"/>
        </w:rPr>
      </w:pPr>
      <w:r w:rsidRPr="009301D0">
        <w:rPr>
          <w:rFonts w:eastAsia="MS Mincho" w:hint="eastAsia"/>
          <w:b/>
          <w:snapToGrid w:val="0"/>
          <w:lang w:val="en-US" w:eastAsia="ja-JP"/>
        </w:rPr>
        <w:t>Bangkok</w:t>
      </w:r>
      <w:r w:rsidRPr="009301D0">
        <w:rPr>
          <w:rFonts w:eastAsia="MS Mincho"/>
          <w:b/>
          <w:snapToGrid w:val="0"/>
          <w:lang w:val="en-US"/>
        </w:rPr>
        <w:t xml:space="preserve">, </w:t>
      </w:r>
      <w:proofErr w:type="spellStart"/>
      <w:r w:rsidRPr="009301D0">
        <w:rPr>
          <w:rFonts w:eastAsia="MS Mincho" w:hint="eastAsia"/>
          <w:b/>
          <w:snapToGrid w:val="0"/>
          <w:lang w:val="en-US" w:eastAsia="ja-JP"/>
        </w:rPr>
        <w:t>Tailand</w:t>
      </w:r>
      <w:proofErr w:type="spellEnd"/>
      <w:r w:rsidRPr="009301D0">
        <w:rPr>
          <w:rFonts w:eastAsia="MS Mincho"/>
          <w:b/>
          <w:snapToGrid w:val="0"/>
          <w:lang w:val="en-US"/>
        </w:rPr>
        <w:t xml:space="preserve">, </w:t>
      </w:r>
      <w:r w:rsidRPr="009301D0">
        <w:rPr>
          <w:rFonts w:eastAsia="MS Mincho" w:hint="eastAsia"/>
          <w:b/>
          <w:snapToGrid w:val="0"/>
          <w:lang w:val="en-US" w:eastAsia="ja-JP"/>
        </w:rPr>
        <w:t>2</w:t>
      </w:r>
      <w:r w:rsidRPr="009301D0">
        <w:rPr>
          <w:rFonts w:eastAsia="MS Mincho"/>
          <w:b/>
          <w:snapToGrid w:val="0"/>
          <w:lang w:val="en-US" w:eastAsia="ja-JP"/>
        </w:rPr>
        <w:t>6</w:t>
      </w:r>
      <w:r w:rsidRPr="009301D0">
        <w:rPr>
          <w:rFonts w:eastAsia="MS Mincho" w:hint="eastAsia"/>
          <w:b/>
          <w:snapToGrid w:val="0"/>
          <w:lang w:val="en-US" w:eastAsia="ja-JP"/>
        </w:rPr>
        <w:t xml:space="preserve"> </w:t>
      </w:r>
      <w:proofErr w:type="spellStart"/>
      <w:r w:rsidRPr="009301D0">
        <w:rPr>
          <w:rFonts w:eastAsia="MS Mincho" w:hint="eastAsia"/>
          <w:b/>
          <w:snapToGrid w:val="0"/>
          <w:lang w:val="en-US" w:eastAsia="ja-JP"/>
        </w:rPr>
        <w:t>Feburary</w:t>
      </w:r>
      <w:proofErr w:type="spellEnd"/>
      <w:r w:rsidRPr="009301D0">
        <w:rPr>
          <w:rFonts w:eastAsia="MS Mincho"/>
          <w:b/>
          <w:snapToGrid w:val="0"/>
          <w:lang w:val="en-US"/>
        </w:rPr>
        <w:t xml:space="preserve"> to </w:t>
      </w:r>
      <w:r w:rsidRPr="009301D0">
        <w:rPr>
          <w:rFonts w:eastAsia="MS Mincho" w:hint="eastAsia"/>
          <w:b/>
          <w:snapToGrid w:val="0"/>
          <w:lang w:val="en-US" w:eastAsia="ja-JP"/>
        </w:rPr>
        <w:t>7</w:t>
      </w:r>
      <w:r w:rsidRPr="009301D0">
        <w:rPr>
          <w:rFonts w:eastAsia="MS Mincho"/>
          <w:b/>
          <w:snapToGrid w:val="0"/>
          <w:lang w:val="en-US"/>
        </w:rPr>
        <w:t xml:space="preserve"> </w:t>
      </w:r>
      <w:r w:rsidRPr="009301D0">
        <w:rPr>
          <w:rFonts w:eastAsia="MS Mincho" w:hint="eastAsia"/>
          <w:b/>
          <w:snapToGrid w:val="0"/>
          <w:lang w:val="en-US" w:eastAsia="ja-JP"/>
        </w:rPr>
        <w:t>March</w:t>
      </w:r>
      <w:r w:rsidRPr="009301D0">
        <w:rPr>
          <w:rFonts w:eastAsia="MS Mincho"/>
          <w:b/>
          <w:snapToGrid w:val="0"/>
          <w:lang w:val="en-US"/>
        </w:rPr>
        <w:t xml:space="preserve"> 202</w:t>
      </w:r>
      <w:r w:rsidRPr="009301D0">
        <w:rPr>
          <w:rFonts w:eastAsia="MS Mincho" w:hint="eastAsia"/>
          <w:b/>
          <w:snapToGrid w:val="0"/>
          <w:lang w:val="en-US" w:eastAsia="ja-JP"/>
        </w:rPr>
        <w:t>5</w:t>
      </w:r>
    </w:p>
    <w:p w14:paraId="71682960" w14:textId="77777777" w:rsidR="00146649" w:rsidRPr="009301D0" w:rsidRDefault="00146649" w:rsidP="00146649">
      <w:pPr>
        <w:jc w:val="center"/>
        <w:rPr>
          <w:b/>
          <w:bCs/>
          <w:lang w:val="en-US"/>
        </w:rPr>
      </w:pPr>
    </w:p>
    <w:p w14:paraId="44084455" w14:textId="77777777" w:rsidR="00146649" w:rsidRPr="0029192F" w:rsidRDefault="00146649" w:rsidP="00146649">
      <w:pPr>
        <w:jc w:val="center"/>
        <w:rPr>
          <w:b/>
          <w:bCs/>
        </w:rPr>
      </w:pPr>
    </w:p>
    <w:p w14:paraId="0C323F7B" w14:textId="77777777" w:rsidR="00146649" w:rsidRDefault="00146649" w:rsidP="00146649">
      <w:pPr>
        <w:kinsoku w:val="0"/>
        <w:overflowPunct w:val="0"/>
        <w:autoSpaceDE w:val="0"/>
        <w:autoSpaceDN w:val="0"/>
        <w:adjustRightInd w:val="0"/>
        <w:spacing w:line="237" w:lineRule="exact"/>
        <w:rPr>
          <w:rFonts w:eastAsia="Calibri"/>
          <w:bCs/>
        </w:rPr>
      </w:pPr>
      <w:r>
        <w:rPr>
          <w:b/>
        </w:rPr>
        <w:t>Agenda Item 3</w:t>
      </w:r>
      <w:r w:rsidRPr="0029192F">
        <w:rPr>
          <w:b/>
        </w:rPr>
        <w:t>:</w:t>
      </w:r>
      <w:r>
        <w:rPr>
          <w:b/>
        </w:rPr>
        <w:tab/>
      </w:r>
      <w:r w:rsidRPr="00373594">
        <w:rPr>
          <w:rFonts w:eastAsia="Calibri"/>
          <w:b/>
        </w:rPr>
        <w:t>Development of Material for ITU-R Studies on:</w:t>
      </w:r>
    </w:p>
    <w:p w14:paraId="7C9976A8" w14:textId="7AEC41FB" w:rsidR="009D7B19" w:rsidRPr="009D7B19" w:rsidRDefault="009D7B19" w:rsidP="009D7B19">
      <w:pPr>
        <w:ind w:left="2552" w:hanging="425"/>
        <w:jc w:val="left"/>
        <w:rPr>
          <w:rFonts w:eastAsia="Calibri"/>
          <w:bCs/>
          <w:szCs w:val="22"/>
          <w:lang w:val="en-US"/>
        </w:rPr>
      </w:pPr>
      <w:r>
        <w:rPr>
          <w:rFonts w:eastAsia="Calibri"/>
          <w:bCs/>
          <w:szCs w:val="22"/>
          <w:lang w:val="en-US"/>
        </w:rPr>
        <w:t>b)</w:t>
      </w:r>
      <w:r>
        <w:rPr>
          <w:rFonts w:eastAsia="Calibri"/>
          <w:bCs/>
          <w:szCs w:val="22"/>
          <w:lang w:val="en-US"/>
        </w:rPr>
        <w:tab/>
      </w:r>
      <w:r w:rsidRPr="009D7B19">
        <w:rPr>
          <w:rFonts w:eastAsia="Calibri"/>
          <w:bCs/>
          <w:szCs w:val="22"/>
          <w:lang w:val="en-US"/>
        </w:rPr>
        <w:t xml:space="preserve">Material for WRC-27 agenda items </w:t>
      </w:r>
    </w:p>
    <w:p w14:paraId="448103BE" w14:textId="77777777" w:rsidR="00146649" w:rsidRPr="0029192F" w:rsidRDefault="00146649" w:rsidP="00146649">
      <w:pPr>
        <w:jc w:val="left"/>
        <w:rPr>
          <w:b/>
        </w:rPr>
      </w:pPr>
    </w:p>
    <w:p w14:paraId="247972DB" w14:textId="77777777" w:rsidR="00146649" w:rsidRDefault="00146649" w:rsidP="00146649">
      <w:pPr>
        <w:pBdr>
          <w:top w:val="nil"/>
          <w:left w:val="nil"/>
          <w:bottom w:val="nil"/>
          <w:right w:val="nil"/>
          <w:between w:val="nil"/>
        </w:pBdr>
        <w:tabs>
          <w:tab w:val="left" w:pos="0"/>
          <w:tab w:val="left" w:pos="1570"/>
          <w:tab w:val="left" w:pos="1857"/>
        </w:tabs>
        <w:ind w:left="1570" w:hanging="1570"/>
      </w:pPr>
      <w:bookmarkStart w:id="0" w:name="30j0zll" w:colFirst="0" w:colLast="0"/>
      <w:bookmarkEnd w:id="0"/>
    </w:p>
    <w:p w14:paraId="2AE60C82" w14:textId="75E5E5A2" w:rsidR="00C0235B" w:rsidRDefault="00C0235B" w:rsidP="00C0235B">
      <w:pPr>
        <w:pStyle w:val="Maintitle"/>
      </w:pPr>
      <w:r>
        <w:rPr>
          <w:lang w:eastAsia="ja-JP"/>
        </w:rPr>
        <w:t xml:space="preserve">ITU-R </w:t>
      </w:r>
      <w:r w:rsidRPr="008C6781">
        <w:rPr>
          <w:lang w:eastAsia="ja-JP"/>
        </w:rPr>
        <w:t xml:space="preserve">Working Party </w:t>
      </w:r>
      <w:r w:rsidR="004F4F29">
        <w:rPr>
          <w:lang w:eastAsia="ja-JP"/>
        </w:rPr>
        <w:t>7A</w:t>
      </w:r>
      <w:r w:rsidRPr="0044698C">
        <w:t xml:space="preserve"> </w:t>
      </w:r>
      <w:r w:rsidR="004F4F29">
        <w:t xml:space="preserve">Reply </w:t>
      </w:r>
      <w:r w:rsidRPr="008C1E92">
        <w:t xml:space="preserve">Liaison Statement </w:t>
      </w:r>
      <w:r w:rsidRPr="0044698C">
        <w:t xml:space="preserve">to </w:t>
      </w:r>
      <w:r>
        <w:t xml:space="preserve">ITU-R Working Party </w:t>
      </w:r>
      <w:r w:rsidR="008843A4">
        <w:t>5B</w:t>
      </w:r>
    </w:p>
    <w:p w14:paraId="567AA29A" w14:textId="77777777" w:rsidR="00C0235B" w:rsidRDefault="00C0235B" w:rsidP="00C0235B">
      <w:pPr>
        <w:pStyle w:val="Maintitle"/>
      </w:pPr>
      <w:r>
        <w:t xml:space="preserve"> (Copy to ICAO for Information)</w:t>
      </w:r>
      <w:r w:rsidRPr="0044698C">
        <w:t xml:space="preserve"> </w:t>
      </w:r>
    </w:p>
    <w:p w14:paraId="39BCE3CF" w14:textId="77777777" w:rsidR="00C0235B" w:rsidRDefault="00C0235B" w:rsidP="00C0235B">
      <w:pPr>
        <w:pStyle w:val="Maintitle"/>
      </w:pPr>
    </w:p>
    <w:p w14:paraId="10240771" w14:textId="77777777" w:rsidR="00EE1C85" w:rsidRDefault="00EE1C85" w:rsidP="00C0235B">
      <w:pPr>
        <w:jc w:val="center"/>
        <w:rPr>
          <w:b/>
          <w:snapToGrid w:val="0"/>
        </w:rPr>
      </w:pPr>
      <w:r w:rsidRPr="00EE1C85">
        <w:rPr>
          <w:b/>
          <w:snapToGrid w:val="0"/>
        </w:rPr>
        <w:t xml:space="preserve">Information on the standard frequency and time signal service with regards to </w:t>
      </w:r>
    </w:p>
    <w:p w14:paraId="5B1A565C" w14:textId="16FA01CE" w:rsidR="00C0235B" w:rsidRDefault="00EE1C85" w:rsidP="00C0235B">
      <w:pPr>
        <w:jc w:val="center"/>
        <w:rPr>
          <w:b/>
          <w:snapToGrid w:val="0"/>
        </w:rPr>
      </w:pPr>
      <w:r w:rsidRPr="00EE1C85">
        <w:rPr>
          <w:b/>
          <w:snapToGrid w:val="0"/>
        </w:rPr>
        <w:t>WRC-27 agenda item 1.9 on the modernization of RR Appendix 26</w:t>
      </w:r>
    </w:p>
    <w:p w14:paraId="6A493EC5" w14:textId="77777777" w:rsidR="00EE1C85" w:rsidRDefault="00EE1C85" w:rsidP="00C0235B">
      <w:pPr>
        <w:jc w:val="center"/>
      </w:pPr>
    </w:p>
    <w:p w14:paraId="1C6FECCD" w14:textId="77777777" w:rsidR="00C0235B" w:rsidRDefault="00C0235B" w:rsidP="00C0235B">
      <w:pPr>
        <w:jc w:val="center"/>
      </w:pPr>
      <w:r>
        <w:t>(Presented by</w:t>
      </w:r>
      <w:bookmarkStart w:id="1" w:name="presented_by"/>
      <w:bookmarkEnd w:id="1"/>
      <w:r>
        <w:t xml:space="preserve"> Secretary)</w:t>
      </w:r>
    </w:p>
    <w:p w14:paraId="0CDC4519" w14:textId="77777777" w:rsidR="00C0235B" w:rsidRDefault="00C0235B" w:rsidP="00C0235B"/>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C0235B" w14:paraId="167A3923" w14:textId="77777777" w:rsidTr="002F6872">
        <w:trPr>
          <w:cantSplit/>
          <w:trHeight w:hRule="exact" w:val="480"/>
          <w:jc w:val="center"/>
        </w:trPr>
        <w:tc>
          <w:tcPr>
            <w:tcW w:w="7200" w:type="dxa"/>
            <w:vAlign w:val="center"/>
          </w:tcPr>
          <w:p w14:paraId="795394A3" w14:textId="77777777" w:rsidR="00C0235B" w:rsidRDefault="00C0235B" w:rsidP="002F6872">
            <w:pPr>
              <w:jc w:val="center"/>
              <w:rPr>
                <w:sz w:val="24"/>
              </w:rPr>
            </w:pPr>
            <w:r>
              <w:rPr>
                <w:b/>
              </w:rPr>
              <w:t>SUMMARY</w:t>
            </w:r>
          </w:p>
        </w:tc>
      </w:tr>
      <w:tr w:rsidR="00C0235B" w14:paraId="4027FB77" w14:textId="77777777" w:rsidTr="002F6872">
        <w:trPr>
          <w:cantSplit/>
          <w:jc w:val="center"/>
        </w:trPr>
        <w:tc>
          <w:tcPr>
            <w:tcW w:w="7200" w:type="dxa"/>
          </w:tcPr>
          <w:p w14:paraId="69EEBA5F" w14:textId="0D331B69" w:rsidR="00C0235B" w:rsidRPr="000B1C6F" w:rsidRDefault="00C0235B" w:rsidP="00ED0FF2">
            <w:r>
              <w:t xml:space="preserve">Attached is the ITU-R Working Party </w:t>
            </w:r>
            <w:r w:rsidR="00ED0FF2">
              <w:t>7A</w:t>
            </w:r>
            <w:r>
              <w:t xml:space="preserve"> </w:t>
            </w:r>
            <w:r w:rsidR="00ED0FF2">
              <w:t xml:space="preserve">Reply </w:t>
            </w:r>
            <w:r>
              <w:t>Liaison Statement to WP</w:t>
            </w:r>
            <w:r w:rsidR="00ED0FF2">
              <w:t>5B</w:t>
            </w:r>
            <w:r>
              <w:t xml:space="preserve"> and Copy to ICAO for Information on </w:t>
            </w:r>
            <w:r w:rsidR="00ED0FF2">
              <w:t>the standard frequency and time signal service with regards to WRC-27 agenda item 1.9 on the modernization of RR Appendix 26</w:t>
            </w:r>
            <w:r w:rsidR="00ED0FF2">
              <w:t xml:space="preserve">. </w:t>
            </w:r>
          </w:p>
          <w:p w14:paraId="0670B35E" w14:textId="77777777" w:rsidR="00C0235B" w:rsidRDefault="00C0235B" w:rsidP="002F6872"/>
          <w:p w14:paraId="2C9DE35C" w14:textId="77777777" w:rsidR="00C0235B" w:rsidRDefault="00C0235B" w:rsidP="002F6872">
            <w:r>
              <w:t>Action:  FSMP WG/20 is invited to note the attached copy of the liaison statement and prepare inputs if required.</w:t>
            </w:r>
          </w:p>
        </w:tc>
      </w:tr>
    </w:tbl>
    <w:p w14:paraId="58E6E32A" w14:textId="77777777" w:rsidR="00C0235B" w:rsidRDefault="00C0235B" w:rsidP="00C0235B"/>
    <w:p w14:paraId="2CA5A16B" w14:textId="77777777" w:rsidR="00C0235B" w:rsidRDefault="00C0235B" w:rsidP="00C0235B">
      <w:pPr>
        <w:spacing w:before="600"/>
        <w:jc w:val="center"/>
      </w:pPr>
      <w:r w:rsidRPr="00DC752E">
        <w:t>______________</w:t>
      </w:r>
    </w:p>
    <w:p w14:paraId="2AB37CBA" w14:textId="77777777" w:rsidR="00146649" w:rsidRDefault="00146649" w:rsidP="00146649"/>
    <w:p w14:paraId="42C4BE11" w14:textId="77777777" w:rsidR="00146649" w:rsidRDefault="00146649" w:rsidP="00146649">
      <w:pPr>
        <w:spacing w:before="600"/>
        <w:jc w:val="center"/>
      </w:pPr>
      <w:r w:rsidRPr="00DC752E">
        <w:t>______________</w:t>
      </w:r>
    </w:p>
    <w:p w14:paraId="05262230" w14:textId="77777777" w:rsidR="00D07E02" w:rsidRDefault="00146649" w:rsidP="00146649">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07E02" w:rsidRPr="00D07E02" w14:paraId="7A0F9093" w14:textId="77777777" w:rsidTr="002F6872">
        <w:trPr>
          <w:cantSplit/>
        </w:trPr>
        <w:tc>
          <w:tcPr>
            <w:tcW w:w="6487" w:type="dxa"/>
            <w:vAlign w:val="center"/>
          </w:tcPr>
          <w:p w14:paraId="22FA2FDB"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jc w:val="left"/>
              <w:textAlignment w:val="baseline"/>
              <w:rPr>
                <w:rFonts w:ascii="Verdana" w:hAnsi="Verdana" w:cs="Times New Roman Bold"/>
                <w:b/>
                <w:bCs/>
                <w:sz w:val="26"/>
                <w:szCs w:val="26"/>
              </w:rPr>
            </w:pPr>
            <w:r w:rsidRPr="00D07E02">
              <w:rPr>
                <w:rFonts w:ascii="Verdana" w:hAnsi="Verdana" w:cs="Times New Roman Bold"/>
                <w:b/>
                <w:bCs/>
                <w:sz w:val="26"/>
                <w:szCs w:val="26"/>
              </w:rPr>
              <w:lastRenderedPageBreak/>
              <w:t>Radiocommunication Study Groups</w:t>
            </w:r>
          </w:p>
        </w:tc>
        <w:tc>
          <w:tcPr>
            <w:tcW w:w="3402" w:type="dxa"/>
          </w:tcPr>
          <w:p w14:paraId="730AA2AC"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sz w:val="24"/>
              </w:rPr>
            </w:pPr>
            <w:bookmarkStart w:id="2" w:name="ditulogo"/>
            <w:bookmarkEnd w:id="2"/>
            <w:r w:rsidRPr="00D07E02">
              <w:rPr>
                <w:noProof/>
                <w:sz w:val="24"/>
                <w:lang w:val="fr-FR" w:eastAsia="fr-FR"/>
              </w:rPr>
              <w:drawing>
                <wp:inline distT="0" distB="0" distL="0" distR="0" wp14:anchorId="643E454E" wp14:editId="34FE8B05">
                  <wp:extent cx="765175" cy="765175"/>
                  <wp:effectExtent l="0" t="0" r="0" b="0"/>
                  <wp:docPr id="1853524878" name="Picture 1853524878"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24878" name="Picture 1853524878"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07E02" w:rsidRPr="00D07E02" w14:paraId="5A006350" w14:textId="77777777" w:rsidTr="002F6872">
        <w:trPr>
          <w:cantSplit/>
        </w:trPr>
        <w:tc>
          <w:tcPr>
            <w:tcW w:w="6487" w:type="dxa"/>
            <w:tcBorders>
              <w:bottom w:val="single" w:sz="12" w:space="0" w:color="auto"/>
            </w:tcBorders>
          </w:tcPr>
          <w:p w14:paraId="422A4D6A"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
                <w:szCs w:val="22"/>
              </w:rPr>
            </w:pPr>
          </w:p>
        </w:tc>
        <w:tc>
          <w:tcPr>
            <w:tcW w:w="3402" w:type="dxa"/>
            <w:tcBorders>
              <w:bottom w:val="single" w:sz="12" w:space="0" w:color="auto"/>
            </w:tcBorders>
          </w:tcPr>
          <w:p w14:paraId="6BE8B8A4"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szCs w:val="22"/>
                <w:lang w:val="en-US"/>
              </w:rPr>
            </w:pPr>
          </w:p>
        </w:tc>
      </w:tr>
      <w:tr w:rsidR="00D07E02" w:rsidRPr="00D07E02" w14:paraId="0A190361" w14:textId="77777777" w:rsidTr="002F6872">
        <w:trPr>
          <w:cantSplit/>
        </w:trPr>
        <w:tc>
          <w:tcPr>
            <w:tcW w:w="6487" w:type="dxa"/>
            <w:tcBorders>
              <w:top w:val="single" w:sz="12" w:space="0" w:color="auto"/>
            </w:tcBorders>
          </w:tcPr>
          <w:p w14:paraId="5BEED817"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Cs/>
                <w:szCs w:val="22"/>
              </w:rPr>
            </w:pPr>
          </w:p>
        </w:tc>
        <w:tc>
          <w:tcPr>
            <w:tcW w:w="3402" w:type="dxa"/>
            <w:tcBorders>
              <w:top w:val="single" w:sz="12" w:space="0" w:color="auto"/>
            </w:tcBorders>
          </w:tcPr>
          <w:p w14:paraId="74E4D700"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sz w:val="24"/>
                <w:lang w:val="en-US"/>
              </w:rPr>
            </w:pPr>
          </w:p>
        </w:tc>
      </w:tr>
      <w:tr w:rsidR="00D07E02" w:rsidRPr="00D07E02" w14:paraId="57422D07" w14:textId="77777777" w:rsidTr="002F6872">
        <w:trPr>
          <w:cantSplit/>
        </w:trPr>
        <w:tc>
          <w:tcPr>
            <w:tcW w:w="6487" w:type="dxa"/>
            <w:vMerge w:val="restart"/>
          </w:tcPr>
          <w:p w14:paraId="7CA354C2" w14:textId="77777777" w:rsidR="00D07E02" w:rsidRPr="00D07E02" w:rsidRDefault="00D07E02" w:rsidP="00D07E02">
            <w:pPr>
              <w:shd w:val="solid" w:color="FFFFFF" w:fill="FFFFFF"/>
              <w:overflowPunct w:val="0"/>
              <w:autoSpaceDE w:val="0"/>
              <w:autoSpaceDN w:val="0"/>
              <w:adjustRightInd w:val="0"/>
              <w:spacing w:after="240"/>
              <w:ind w:left="1134" w:hanging="1134"/>
              <w:jc w:val="left"/>
              <w:textAlignment w:val="baseline"/>
              <w:rPr>
                <w:rFonts w:ascii="Verdana" w:hAnsi="Verdana"/>
                <w:sz w:val="20"/>
              </w:rPr>
            </w:pPr>
            <w:bookmarkStart w:id="3" w:name="recibido"/>
            <w:bookmarkStart w:id="4" w:name="dnum" w:colFirst="1" w:colLast="1"/>
            <w:bookmarkEnd w:id="3"/>
            <w:r w:rsidRPr="00D07E02">
              <w:rPr>
                <w:rFonts w:ascii="Verdana" w:hAnsi="Verdana"/>
                <w:sz w:val="20"/>
                <w:lang w:val="en-US"/>
              </w:rPr>
              <w:t>Source:</w:t>
            </w:r>
            <w:r w:rsidRPr="00D07E02">
              <w:rPr>
                <w:rFonts w:ascii="Verdana" w:hAnsi="Verdana"/>
                <w:sz w:val="20"/>
                <w:lang w:val="en-US"/>
              </w:rPr>
              <w:tab/>
              <w:t xml:space="preserve">Document </w:t>
            </w:r>
            <w:r w:rsidRPr="00D07E02">
              <w:rPr>
                <w:rFonts w:ascii="Verdana" w:hAnsi="Verdana"/>
                <w:sz w:val="20"/>
                <w:szCs w:val="16"/>
              </w:rPr>
              <w:t>7A/TEMP/6</w:t>
            </w:r>
          </w:p>
        </w:tc>
        <w:tc>
          <w:tcPr>
            <w:tcW w:w="3402" w:type="dxa"/>
          </w:tcPr>
          <w:p w14:paraId="20F7A358"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b/>
                <w:sz w:val="20"/>
                <w:lang w:val="es-ES" w:eastAsia="zh-CN"/>
              </w:rPr>
            </w:pPr>
          </w:p>
        </w:tc>
      </w:tr>
      <w:tr w:rsidR="00D07E02" w:rsidRPr="00D07E02" w14:paraId="0504821E" w14:textId="77777777" w:rsidTr="002F6872">
        <w:trPr>
          <w:cantSplit/>
        </w:trPr>
        <w:tc>
          <w:tcPr>
            <w:tcW w:w="6487" w:type="dxa"/>
            <w:vMerge/>
          </w:tcPr>
          <w:p w14:paraId="20C63904" w14:textId="77777777" w:rsidR="00D07E02" w:rsidRPr="00D07E02" w:rsidRDefault="00D07E02" w:rsidP="00D07E02">
            <w:pPr>
              <w:tabs>
                <w:tab w:val="left" w:pos="1134"/>
                <w:tab w:val="left" w:pos="1871"/>
                <w:tab w:val="left" w:pos="2268"/>
              </w:tabs>
              <w:overflowPunct w:val="0"/>
              <w:autoSpaceDE w:val="0"/>
              <w:autoSpaceDN w:val="0"/>
              <w:adjustRightInd w:val="0"/>
              <w:spacing w:before="60"/>
              <w:jc w:val="center"/>
              <w:textAlignment w:val="baseline"/>
              <w:rPr>
                <w:b/>
                <w:smallCaps/>
                <w:sz w:val="32"/>
                <w:lang w:val="es-ES" w:eastAsia="zh-CN"/>
              </w:rPr>
            </w:pPr>
            <w:bookmarkStart w:id="5" w:name="ddate" w:colFirst="1" w:colLast="1"/>
            <w:bookmarkEnd w:id="4"/>
          </w:p>
        </w:tc>
        <w:tc>
          <w:tcPr>
            <w:tcW w:w="3402" w:type="dxa"/>
          </w:tcPr>
          <w:p w14:paraId="6F860F43"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b/>
                <w:sz w:val="20"/>
                <w:lang w:eastAsia="zh-CN"/>
              </w:rPr>
            </w:pPr>
            <w:r w:rsidRPr="00D07E02">
              <w:rPr>
                <w:rFonts w:ascii="Verdana" w:hAnsi="Verdana"/>
                <w:b/>
                <w:sz w:val="20"/>
                <w:lang w:eastAsia="zh-CN"/>
              </w:rPr>
              <w:t>23 September 2024</w:t>
            </w:r>
          </w:p>
        </w:tc>
      </w:tr>
      <w:tr w:rsidR="00D07E02" w:rsidRPr="00D07E02" w14:paraId="381863AF" w14:textId="77777777" w:rsidTr="002F6872">
        <w:trPr>
          <w:cantSplit/>
        </w:trPr>
        <w:tc>
          <w:tcPr>
            <w:tcW w:w="6487" w:type="dxa"/>
            <w:vMerge/>
          </w:tcPr>
          <w:p w14:paraId="19006748" w14:textId="77777777" w:rsidR="00D07E02" w:rsidRPr="00D07E02" w:rsidRDefault="00D07E02" w:rsidP="00D07E02">
            <w:pPr>
              <w:tabs>
                <w:tab w:val="left" w:pos="1134"/>
                <w:tab w:val="left" w:pos="1871"/>
                <w:tab w:val="left" w:pos="2268"/>
              </w:tabs>
              <w:overflowPunct w:val="0"/>
              <w:autoSpaceDE w:val="0"/>
              <w:autoSpaceDN w:val="0"/>
              <w:adjustRightInd w:val="0"/>
              <w:spacing w:before="60"/>
              <w:jc w:val="center"/>
              <w:textAlignment w:val="baseline"/>
              <w:rPr>
                <w:b/>
                <w:smallCaps/>
                <w:sz w:val="32"/>
                <w:lang w:eastAsia="zh-CN"/>
              </w:rPr>
            </w:pPr>
            <w:bookmarkStart w:id="6" w:name="dorlang" w:colFirst="1" w:colLast="1"/>
            <w:bookmarkEnd w:id="5"/>
          </w:p>
        </w:tc>
        <w:tc>
          <w:tcPr>
            <w:tcW w:w="3402" w:type="dxa"/>
          </w:tcPr>
          <w:p w14:paraId="3F86F957" w14:textId="77777777" w:rsidR="00D07E02" w:rsidRPr="00D07E02" w:rsidRDefault="00D07E02" w:rsidP="00D07E02">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eastAsia="SimSun" w:hAnsi="Verdana"/>
                <w:b/>
                <w:sz w:val="20"/>
                <w:lang w:eastAsia="zh-CN"/>
              </w:rPr>
            </w:pPr>
            <w:r w:rsidRPr="00D07E02">
              <w:rPr>
                <w:rFonts w:ascii="Verdana" w:eastAsia="SimSun" w:hAnsi="Verdana"/>
                <w:b/>
                <w:sz w:val="20"/>
                <w:lang w:eastAsia="zh-CN"/>
              </w:rPr>
              <w:t>English only</w:t>
            </w:r>
          </w:p>
        </w:tc>
      </w:tr>
      <w:tr w:rsidR="00D07E02" w:rsidRPr="00D07E02" w14:paraId="2E8E33FC" w14:textId="77777777" w:rsidTr="002F6872">
        <w:trPr>
          <w:cantSplit/>
        </w:trPr>
        <w:tc>
          <w:tcPr>
            <w:tcW w:w="9889" w:type="dxa"/>
            <w:gridSpan w:val="2"/>
          </w:tcPr>
          <w:p w14:paraId="1AB50BB1" w14:textId="77777777" w:rsidR="00D07E02" w:rsidRPr="00D07E02" w:rsidRDefault="00D07E02" w:rsidP="00D07E02">
            <w:pPr>
              <w:tabs>
                <w:tab w:val="left" w:pos="1134"/>
                <w:tab w:val="left" w:pos="1871"/>
                <w:tab w:val="left" w:pos="2268"/>
              </w:tabs>
              <w:overflowPunct w:val="0"/>
              <w:autoSpaceDE w:val="0"/>
              <w:autoSpaceDN w:val="0"/>
              <w:adjustRightInd w:val="0"/>
              <w:spacing w:before="840"/>
              <w:jc w:val="center"/>
              <w:textAlignment w:val="baseline"/>
              <w:rPr>
                <w:b/>
                <w:sz w:val="28"/>
                <w:lang w:eastAsia="zh-CN"/>
              </w:rPr>
            </w:pPr>
            <w:bookmarkStart w:id="7" w:name="dsource" w:colFirst="0" w:colLast="0"/>
            <w:bookmarkEnd w:id="6"/>
            <w:r w:rsidRPr="00D07E02">
              <w:rPr>
                <w:b/>
                <w:sz w:val="28"/>
                <w:lang w:val="en-US"/>
              </w:rPr>
              <w:t xml:space="preserve">ITU-R Working Party 7A </w:t>
            </w:r>
          </w:p>
        </w:tc>
      </w:tr>
      <w:tr w:rsidR="00D07E02" w:rsidRPr="00D07E02" w14:paraId="1148931F" w14:textId="77777777" w:rsidTr="002F6872">
        <w:trPr>
          <w:cantSplit/>
        </w:trPr>
        <w:tc>
          <w:tcPr>
            <w:tcW w:w="9889" w:type="dxa"/>
            <w:gridSpan w:val="2"/>
          </w:tcPr>
          <w:p w14:paraId="206D043E" w14:textId="77777777" w:rsidR="00D07E02" w:rsidRPr="00D07E02" w:rsidRDefault="00D07E02" w:rsidP="00D07E02">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lang w:eastAsia="zh-CN"/>
              </w:rPr>
            </w:pPr>
            <w:bookmarkStart w:id="8" w:name="drec" w:colFirst="0" w:colLast="0"/>
            <w:bookmarkEnd w:id="7"/>
            <w:r w:rsidRPr="00D07E02">
              <w:rPr>
                <w:sz w:val="28"/>
                <w:lang w:val="en-US" w:eastAsia="zh-CN"/>
              </w:rPr>
              <w:t xml:space="preserve">REPLY LIAISON STATEMENT TO WORKING PARTY 5B </w:t>
            </w:r>
            <w:r w:rsidRPr="00D07E02">
              <w:rPr>
                <w:sz w:val="28"/>
                <w:lang w:val="en-US" w:eastAsia="zh-CN"/>
              </w:rPr>
              <w:br/>
              <w:t>(</w:t>
            </w:r>
            <w:r w:rsidRPr="00D07E02">
              <w:rPr>
                <w:sz w:val="28"/>
              </w:rPr>
              <w:t xml:space="preserve">COPY TO WORKING PARTIES 3L, 5C, AND 6A FOR INFORMATION </w:t>
            </w:r>
            <w:r w:rsidRPr="00D07E02">
              <w:rPr>
                <w:sz w:val="28"/>
              </w:rPr>
              <w:br/>
              <w:t>AND COPY TO ICAO FOR INFORMATION)</w:t>
            </w:r>
          </w:p>
        </w:tc>
      </w:tr>
      <w:tr w:rsidR="00D07E02" w:rsidRPr="00D07E02" w14:paraId="5772E28C" w14:textId="77777777" w:rsidTr="002F6872">
        <w:trPr>
          <w:cantSplit/>
        </w:trPr>
        <w:tc>
          <w:tcPr>
            <w:tcW w:w="9889" w:type="dxa"/>
            <w:gridSpan w:val="2"/>
          </w:tcPr>
          <w:p w14:paraId="2840C283" w14:textId="77777777" w:rsidR="00D07E02" w:rsidRPr="00D07E02" w:rsidRDefault="00D07E02" w:rsidP="00D07E02">
            <w:pPr>
              <w:tabs>
                <w:tab w:val="left" w:pos="1134"/>
                <w:tab w:val="left" w:pos="1871"/>
                <w:tab w:val="left" w:pos="2268"/>
              </w:tabs>
              <w:spacing w:before="240"/>
              <w:jc w:val="center"/>
              <w:rPr>
                <w:b/>
                <w:sz w:val="28"/>
                <w:lang w:eastAsia="zh-CN"/>
              </w:rPr>
            </w:pPr>
            <w:bookmarkStart w:id="9" w:name="dtitle1" w:colFirst="0" w:colLast="0"/>
            <w:bookmarkEnd w:id="8"/>
            <w:r w:rsidRPr="00D07E02">
              <w:rPr>
                <w:b/>
                <w:bCs/>
                <w:sz w:val="28"/>
                <w:szCs w:val="24"/>
                <w:lang w:val="en-US"/>
              </w:rPr>
              <w:t>Information on the standard frequency and time signal service with regards to WRC-27 agenda item 1.9 on the modernization of RR Appendix 26</w:t>
            </w:r>
          </w:p>
        </w:tc>
      </w:tr>
    </w:tbl>
    <w:p w14:paraId="6D69EF38"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bCs/>
          <w:sz w:val="24"/>
          <w:szCs w:val="24"/>
          <w:lang w:val="en-US"/>
        </w:rPr>
      </w:pPr>
      <w:bookmarkStart w:id="10" w:name="dbreak"/>
      <w:bookmarkEnd w:id="9"/>
      <w:bookmarkEnd w:id="10"/>
      <w:r w:rsidRPr="00D07E02">
        <w:rPr>
          <w:sz w:val="24"/>
          <w:lang w:val="en-US" w:eastAsia="zh-CN"/>
        </w:rPr>
        <w:t xml:space="preserve">Working Party (WP) 7A understands that the CPM27-1 identified Working Party (WP) 5B as the responsible Working Party for WRC-27 agenda item 1.9 via Resolution </w:t>
      </w:r>
      <w:r w:rsidRPr="00D07E02">
        <w:rPr>
          <w:b/>
          <w:bCs/>
          <w:sz w:val="24"/>
          <w:lang w:val="en-US" w:eastAsia="zh-CN"/>
        </w:rPr>
        <w:t>411</w:t>
      </w:r>
      <w:r w:rsidRPr="00D07E02">
        <w:rPr>
          <w:sz w:val="24"/>
          <w:lang w:val="en-US" w:eastAsia="zh-CN"/>
        </w:rPr>
        <w:t xml:space="preserve"> (</w:t>
      </w:r>
      <w:r w:rsidRPr="00D07E02">
        <w:rPr>
          <w:b/>
          <w:bCs/>
          <w:sz w:val="24"/>
          <w:lang w:val="en-US" w:eastAsia="zh-CN"/>
        </w:rPr>
        <w:t>WRC-23</w:t>
      </w:r>
      <w:r w:rsidRPr="00D07E02">
        <w:rPr>
          <w:sz w:val="24"/>
          <w:lang w:val="en-US" w:eastAsia="zh-CN"/>
        </w:rPr>
        <w:t>),</w:t>
      </w:r>
      <w:r w:rsidRPr="00D07E02">
        <w:rPr>
          <w:bCs/>
          <w:sz w:val="24"/>
          <w:szCs w:val="24"/>
          <w:lang w:val="en-US"/>
        </w:rPr>
        <w:t xml:space="preserve"> “Consideration of appropriate regulatory actions to update Radio Regulations (RR) Appendix </w:t>
      </w:r>
      <w:r w:rsidRPr="00D07E02">
        <w:rPr>
          <w:b/>
          <w:sz w:val="24"/>
          <w:szCs w:val="24"/>
          <w:lang w:val="en-US"/>
        </w:rPr>
        <w:t>26</w:t>
      </w:r>
      <w:r w:rsidRPr="00D07E02">
        <w:rPr>
          <w:bCs/>
          <w:sz w:val="24"/>
          <w:szCs w:val="24"/>
          <w:lang w:val="en-US"/>
        </w:rPr>
        <w:t xml:space="preserve"> in support of modernization of high-frequency spectrum use in the aeronautical mobile (OR) service”. Working Party 7A has been identified as a contributing Working Party for this agenda item by CPM27-1.</w:t>
      </w:r>
    </w:p>
    <w:p w14:paraId="140B39CC"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rPr>
      </w:pPr>
      <w:r w:rsidRPr="00D07E02">
        <w:rPr>
          <w:sz w:val="24"/>
          <w:lang w:val="en-US"/>
        </w:rPr>
        <w:t xml:space="preserve">Working Party 7A notes that the modernization of RR Appendix </w:t>
      </w:r>
      <w:r w:rsidRPr="00D07E02">
        <w:rPr>
          <w:b/>
          <w:sz w:val="24"/>
          <w:lang w:val="en-US"/>
        </w:rPr>
        <w:t>26</w:t>
      </w:r>
      <w:r w:rsidRPr="00D07E02">
        <w:rPr>
          <w:sz w:val="24"/>
          <w:lang w:val="en-US"/>
        </w:rPr>
        <w:t xml:space="preserve"> may include regulatory changes such as the ability to make use of channel bonding for wide band operations as well as additional emission types such as digital operations.</w:t>
      </w:r>
    </w:p>
    <w:p w14:paraId="0DB503BB"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rPr>
      </w:pPr>
      <w:r w:rsidRPr="00D07E02">
        <w:rPr>
          <w:sz w:val="24"/>
          <w:lang w:val="en-US"/>
        </w:rPr>
        <w:t xml:space="preserve">In assessing whether the standard frequency and time signal service could be impacted by regulatory changes to RR Appendix </w:t>
      </w:r>
      <w:r w:rsidRPr="00D07E02">
        <w:rPr>
          <w:b/>
          <w:sz w:val="24"/>
          <w:lang w:val="en-US"/>
        </w:rPr>
        <w:t>26</w:t>
      </w:r>
      <w:r w:rsidRPr="00D07E02">
        <w:rPr>
          <w:sz w:val="24"/>
          <w:lang w:val="en-US"/>
        </w:rPr>
        <w:t xml:space="preserve">, WP 7A considered the ten frequency bands between 3 025-18 030 kHz that are defined in RR Appendix </w:t>
      </w:r>
      <w:r w:rsidRPr="00D07E02">
        <w:rPr>
          <w:b/>
          <w:sz w:val="24"/>
          <w:lang w:val="en-US"/>
        </w:rPr>
        <w:t>26</w:t>
      </w:r>
      <w:r w:rsidRPr="00D07E02">
        <w:rPr>
          <w:sz w:val="24"/>
          <w:lang w:val="en-US"/>
        </w:rPr>
        <w:t xml:space="preserve"> to form groups of high frequency channels for aeronautical communications. These are 3 025-3 155 kHz, 3 900-3 950 kHz, 4 700-4 750 kHz, 5 680-5 730 kHz, 6 685-6 765 kHz, 8 965-9 040 kHz, 11 175-11 275 kHz, 13 200-13 260 kHz, 15 010-15 100 kHz, and 17 970-18 030 kHz frequency bands.</w:t>
      </w:r>
    </w:p>
    <w:p w14:paraId="745CCE62"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rPr>
      </w:pPr>
      <w:r w:rsidRPr="00D07E02">
        <w:rPr>
          <w:sz w:val="24"/>
          <w:lang w:val="en-US"/>
        </w:rPr>
        <w:t xml:space="preserve">Only one of the RR Appendix </w:t>
      </w:r>
      <w:r w:rsidRPr="00D07E02">
        <w:rPr>
          <w:b/>
          <w:sz w:val="24"/>
          <w:lang w:val="en-US"/>
        </w:rPr>
        <w:t>26</w:t>
      </w:r>
      <w:r w:rsidRPr="00D07E02">
        <w:rPr>
          <w:sz w:val="24"/>
          <w:lang w:val="en-US"/>
        </w:rPr>
        <w:t xml:space="preserve"> frequency bands (15 010-15 100 kHz) is immediately adjacent to a standard frequency and time signal service allocation, 14 990-15 010 kHz on a primary basis in all three Regions.</w:t>
      </w:r>
    </w:p>
    <w:p w14:paraId="2766814F"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rPr>
      </w:pPr>
      <w:r w:rsidRPr="00D07E02">
        <w:rPr>
          <w:sz w:val="24"/>
          <w:lang w:val="en-US"/>
        </w:rPr>
        <w:t xml:space="preserve">RR Article </w:t>
      </w:r>
      <w:r w:rsidRPr="00D07E02">
        <w:rPr>
          <w:b/>
          <w:sz w:val="24"/>
          <w:lang w:val="en-US"/>
        </w:rPr>
        <w:t>26</w:t>
      </w:r>
      <w:r w:rsidRPr="00D07E02">
        <w:rPr>
          <w:sz w:val="24"/>
          <w:lang w:val="en-US"/>
        </w:rPr>
        <w:t xml:space="preserve"> does note that standard frequency and time signal service transmissions are coordinated through the Bureau and that administrations shall cooperate in reducing interference in the frequency bands to which the standard frequency and time signal service is allocated. To this end, WP 7A asks WP 5B to </w:t>
      </w:r>
      <w:proofErr w:type="gramStart"/>
      <w:r w:rsidRPr="00D07E02">
        <w:rPr>
          <w:sz w:val="24"/>
          <w:lang w:val="en-US"/>
        </w:rPr>
        <w:t>take into account</w:t>
      </w:r>
      <w:proofErr w:type="gramEnd"/>
      <w:r w:rsidRPr="00D07E02">
        <w:rPr>
          <w:sz w:val="24"/>
          <w:lang w:val="en-US"/>
        </w:rPr>
        <w:t xml:space="preserve"> any change in the out-of-band emissions that could be introduced as a consequence of changing the regulations governing the usage of the HF channels in Appendix 26 in the frequency band 15 010-15 100 kHz in their studies.</w:t>
      </w:r>
    </w:p>
    <w:p w14:paraId="227B8958" w14:textId="77777777" w:rsidR="00D07E02" w:rsidRPr="00D07E02" w:rsidRDefault="00D07E02" w:rsidP="00D07E02">
      <w:pPr>
        <w:jc w:val="left"/>
        <w:rPr>
          <w:sz w:val="24"/>
          <w:lang w:val="en-US"/>
        </w:rPr>
      </w:pPr>
      <w:r w:rsidRPr="00D07E02">
        <w:rPr>
          <w:sz w:val="24"/>
          <w:lang w:val="en-US"/>
        </w:rPr>
        <w:br w:type="page"/>
      </w:r>
    </w:p>
    <w:p w14:paraId="7850C00B"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rPr>
      </w:pPr>
    </w:p>
    <w:p w14:paraId="4CE46659" w14:textId="77777777" w:rsidR="00D07E02" w:rsidRPr="00D07E02" w:rsidRDefault="00D07E02" w:rsidP="00D07E02">
      <w:pPr>
        <w:tabs>
          <w:tab w:val="left" w:pos="1134"/>
          <w:tab w:val="left" w:pos="1871"/>
          <w:tab w:val="left" w:pos="2268"/>
        </w:tabs>
        <w:overflowPunct w:val="0"/>
        <w:autoSpaceDE w:val="0"/>
        <w:autoSpaceDN w:val="0"/>
        <w:adjustRightInd w:val="0"/>
        <w:spacing w:before="120" w:after="240"/>
        <w:jc w:val="left"/>
        <w:textAlignment w:val="baseline"/>
        <w:rPr>
          <w:sz w:val="24"/>
          <w:lang w:val="en-US" w:eastAsia="zh-CN"/>
        </w:rPr>
      </w:pPr>
      <w:r w:rsidRPr="00D07E02">
        <w:rPr>
          <w:sz w:val="24"/>
          <w:lang w:val="en-US" w:eastAsia="ja-JP"/>
        </w:rPr>
        <w:t xml:space="preserve">Working Party </w:t>
      </w:r>
      <w:r w:rsidRPr="00D07E02">
        <w:rPr>
          <w:sz w:val="24"/>
          <w:lang w:val="en-US" w:eastAsia="zh-CN"/>
        </w:rPr>
        <w:t>7A would appreciate being kept apprised of the progress on this work. The next meeting of WP 7A is scheduled for 31 March – 10 April 2025.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4"/>
      </w:tblGrid>
      <w:tr w:rsidR="00D07E02" w:rsidRPr="00D07E02" w14:paraId="70392591" w14:textId="77777777" w:rsidTr="002F6872">
        <w:trPr>
          <w:trHeight w:val="261"/>
        </w:trPr>
        <w:tc>
          <w:tcPr>
            <w:tcW w:w="5000" w:type="pct"/>
            <w:gridSpan w:val="2"/>
          </w:tcPr>
          <w:p w14:paraId="71374403"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b/>
                <w:bCs/>
                <w:sz w:val="24"/>
                <w:lang w:val="en-US"/>
              </w:rPr>
            </w:pPr>
            <w:r w:rsidRPr="00D07E02">
              <w:rPr>
                <w:b/>
                <w:sz w:val="24"/>
                <w:lang w:val="en-US"/>
              </w:rPr>
              <w:t>Status:</w:t>
            </w:r>
            <w:r w:rsidRPr="00D07E02">
              <w:rPr>
                <w:b/>
                <w:sz w:val="24"/>
                <w:lang w:val="en-US"/>
              </w:rPr>
              <w:tab/>
            </w:r>
            <w:r w:rsidRPr="00D07E02">
              <w:rPr>
                <w:sz w:val="24"/>
                <w:lang w:val="en-US" w:eastAsia="zh-CN"/>
              </w:rPr>
              <w:t>For information and action, if any</w:t>
            </w:r>
          </w:p>
        </w:tc>
      </w:tr>
      <w:tr w:rsidR="00D07E02" w:rsidRPr="00D07E02" w14:paraId="48F64346" w14:textId="77777777" w:rsidTr="002F6872">
        <w:trPr>
          <w:trHeight w:val="52"/>
        </w:trPr>
        <w:tc>
          <w:tcPr>
            <w:tcW w:w="2500" w:type="pct"/>
          </w:tcPr>
          <w:p w14:paraId="5B631CE4"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b/>
                <w:sz w:val="24"/>
                <w:lang w:val="en-US"/>
              </w:rPr>
            </w:pPr>
            <w:r w:rsidRPr="00D07E02">
              <w:rPr>
                <w:b/>
                <w:sz w:val="24"/>
                <w:lang w:val="en-US"/>
              </w:rPr>
              <w:t>Contact:</w:t>
            </w:r>
            <w:r w:rsidRPr="00D07E02">
              <w:rPr>
                <w:sz w:val="24"/>
                <w:lang w:val="en-US"/>
              </w:rPr>
              <w:tab/>
              <w:t>H. Mazar (ATDI)</w:t>
            </w:r>
          </w:p>
        </w:tc>
        <w:tc>
          <w:tcPr>
            <w:tcW w:w="2500" w:type="pct"/>
          </w:tcPr>
          <w:p w14:paraId="0458425B"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b/>
                <w:sz w:val="24"/>
                <w:lang w:val="en-US"/>
              </w:rPr>
            </w:pPr>
            <w:r w:rsidRPr="00D07E02">
              <w:rPr>
                <w:b/>
                <w:sz w:val="24"/>
                <w:lang w:val="en-US"/>
              </w:rPr>
              <w:t>E-mail:</w:t>
            </w:r>
            <w:r w:rsidRPr="00D07E02">
              <w:rPr>
                <w:b/>
                <w:sz w:val="24"/>
                <w:lang w:val="en-US"/>
              </w:rPr>
              <w:tab/>
            </w:r>
            <w:hyperlink r:id="rId11" w:history="1">
              <w:r w:rsidRPr="00D07E02">
                <w:rPr>
                  <w:color w:val="0000FF"/>
                  <w:sz w:val="24"/>
                  <w:u w:val="single"/>
                  <w:lang w:val="en-US"/>
                </w:rPr>
                <w:t>h.mazar@atdi-group.com</w:t>
              </w:r>
            </w:hyperlink>
            <w:r w:rsidRPr="00D07E02">
              <w:rPr>
                <w:sz w:val="24"/>
                <w:lang w:val="en-US"/>
              </w:rPr>
              <w:t xml:space="preserve"> </w:t>
            </w:r>
          </w:p>
        </w:tc>
      </w:tr>
    </w:tbl>
    <w:p w14:paraId="2A7FA055"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left"/>
        <w:textAlignment w:val="baseline"/>
        <w:rPr>
          <w:sz w:val="24"/>
          <w:lang w:val="en-US" w:eastAsia="zh-CN"/>
        </w:rPr>
      </w:pPr>
    </w:p>
    <w:p w14:paraId="7D36B6CA" w14:textId="77777777" w:rsidR="00D07E02" w:rsidRPr="00D07E02" w:rsidRDefault="00D07E02" w:rsidP="00D07E02">
      <w:pPr>
        <w:tabs>
          <w:tab w:val="left" w:pos="1134"/>
          <w:tab w:val="left" w:pos="1588"/>
          <w:tab w:val="left" w:pos="1985"/>
        </w:tabs>
        <w:overflowPunct w:val="0"/>
        <w:autoSpaceDE w:val="0"/>
        <w:autoSpaceDN w:val="0"/>
        <w:adjustRightInd w:val="0"/>
        <w:spacing w:before="120"/>
        <w:jc w:val="left"/>
        <w:textAlignment w:val="baseline"/>
        <w:rPr>
          <w:sz w:val="24"/>
        </w:rPr>
      </w:pPr>
    </w:p>
    <w:p w14:paraId="370F6263" w14:textId="77777777" w:rsidR="00D07E02" w:rsidRPr="00D07E02" w:rsidRDefault="00D07E02" w:rsidP="00D07E02">
      <w:pPr>
        <w:tabs>
          <w:tab w:val="left" w:pos="1134"/>
          <w:tab w:val="left" w:pos="1871"/>
          <w:tab w:val="left" w:pos="2268"/>
        </w:tabs>
        <w:overflowPunct w:val="0"/>
        <w:autoSpaceDE w:val="0"/>
        <w:autoSpaceDN w:val="0"/>
        <w:adjustRightInd w:val="0"/>
        <w:spacing w:before="120"/>
        <w:jc w:val="center"/>
        <w:textAlignment w:val="baseline"/>
        <w:rPr>
          <w:sz w:val="24"/>
        </w:rPr>
      </w:pPr>
      <w:r w:rsidRPr="00D07E02">
        <w:rPr>
          <w:sz w:val="24"/>
        </w:rPr>
        <w:t>______________</w:t>
      </w:r>
    </w:p>
    <w:p w14:paraId="359CA4A8" w14:textId="57EB9E56" w:rsidR="00D853AD" w:rsidRDefault="00D853AD" w:rsidP="00146649"/>
    <w:sectPr w:rsidR="00D853AD">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A8A7" w14:textId="77777777" w:rsidR="00B079EE" w:rsidRDefault="00B079EE">
      <w:r>
        <w:separator/>
      </w:r>
    </w:p>
  </w:endnote>
  <w:endnote w:type="continuationSeparator" w:id="0">
    <w:p w14:paraId="12D49836" w14:textId="77777777" w:rsidR="00B079EE" w:rsidRDefault="00B0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83C3" w14:textId="77777777" w:rsidR="00770160" w:rsidRPr="00047699" w:rsidRDefault="00770160">
    <w:pPr>
      <w:pStyle w:val="Footer"/>
      <w:rPr>
        <w:sz w:val="18"/>
        <w:lang w:val="en-CA"/>
      </w:rPr>
    </w:pPr>
    <w:r w:rsidRPr="00047699">
      <w:rPr>
        <w:sz w:val="18"/>
        <w:lang w:val="en-CA"/>
      </w:rPr>
      <w:t>(</w:t>
    </w:r>
    <w:r>
      <w:rPr>
        <w:sz w:val="18"/>
        <w:lang w:val="en-US"/>
      </w:rPr>
      <w:fldChar w:fldCharType="begin"/>
    </w:r>
    <w:r w:rsidRPr="00047699">
      <w:rPr>
        <w:sz w:val="18"/>
        <w:lang w:val="en-CA"/>
      </w:rPr>
      <w:instrText xml:space="preserve"> NUMPAGES  \* MERGEFORMAT </w:instrText>
    </w:r>
    <w:r>
      <w:rPr>
        <w:sz w:val="18"/>
        <w:lang w:val="en-US"/>
      </w:rPr>
      <w:fldChar w:fldCharType="separate"/>
    </w:r>
    <w:r w:rsidR="008C3FFC" w:rsidRPr="00047699">
      <w:rPr>
        <w:noProof/>
        <w:sz w:val="18"/>
        <w:lang w:val="en-CA"/>
      </w:rPr>
      <w:t>1</w:t>
    </w:r>
    <w:r>
      <w:rPr>
        <w:sz w:val="18"/>
        <w:lang w:val="en-US"/>
      </w:rPr>
      <w:fldChar w:fldCharType="end"/>
    </w:r>
    <w:r w:rsidRPr="00047699">
      <w:rPr>
        <w:sz w:val="18"/>
        <w:lang w:val="en-CA"/>
      </w:rPr>
      <w:t xml:space="preserve"> pages)</w:t>
    </w:r>
  </w:p>
  <w:p w14:paraId="47438B55" w14:textId="5A3DE6B8" w:rsidR="00770160" w:rsidRPr="005040D5" w:rsidRDefault="00770160">
    <w:pPr>
      <w:pStyle w:val="Footer"/>
      <w:rPr>
        <w:lang w:val="en-CA"/>
      </w:rPr>
    </w:pPr>
    <w:r>
      <w:rPr>
        <w:sz w:val="18"/>
        <w:lang w:val="en-US"/>
      </w:rPr>
      <w:fldChar w:fldCharType="begin"/>
    </w:r>
    <w:r w:rsidRPr="005040D5">
      <w:rPr>
        <w:sz w:val="18"/>
        <w:lang w:val="en-CA"/>
      </w:rPr>
      <w:instrText xml:space="preserve"> FILENAME  \* MERGEFORMAT </w:instrText>
    </w:r>
    <w:r>
      <w:rPr>
        <w:sz w:val="18"/>
        <w:lang w:val="en-US"/>
      </w:rPr>
      <w:fldChar w:fldCharType="separate"/>
    </w:r>
    <w:r w:rsidR="004F4F29">
      <w:rPr>
        <w:noProof/>
        <w:sz w:val="18"/>
        <w:lang w:val="en-CA"/>
      </w:rPr>
      <w:t>FSMP-WG20-IP03_ITU WP7A Reply LS to WP5B_WRC-27 AI1.9_copy to ICAO.docx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1066" w14:textId="77777777" w:rsidR="00B079EE" w:rsidRDefault="00B079EE">
      <w:r>
        <w:separator/>
      </w:r>
    </w:p>
  </w:footnote>
  <w:footnote w:type="continuationSeparator" w:id="0">
    <w:p w14:paraId="573E75A4" w14:textId="77777777" w:rsidR="00B079EE" w:rsidRDefault="00B0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0724" w14:textId="10940A96" w:rsidR="00770160" w:rsidRDefault="001449D6" w:rsidP="00B553CA">
    <w:pPr>
      <w:tabs>
        <w:tab w:val="center" w:pos="4876"/>
      </w:tabs>
      <w:spacing w:after="600"/>
    </w:pPr>
    <w:r>
      <w:t>FS</w:t>
    </w:r>
    <w:r w:rsidR="00C62653">
      <w:t>MP</w:t>
    </w:r>
    <w:r w:rsidR="0095751F">
      <w:t>-WG</w:t>
    </w:r>
    <w:r w:rsidR="00C62653">
      <w:t>/</w:t>
    </w:r>
    <w:r w:rsidR="007A3429">
      <w:t>20</w:t>
    </w:r>
    <w:r w:rsidR="0095751F">
      <w:t xml:space="preserve"> </w:t>
    </w:r>
    <w:r>
      <w:t>I</w:t>
    </w:r>
    <w:r w:rsidR="00770160">
      <w:t>P/</w:t>
    </w:r>
    <w:r w:rsidR="002F266A">
      <w:t>0</w:t>
    </w:r>
    <w:r w:rsidR="009C02B2">
      <w:t>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C3FFC">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FBC" w14:textId="69386EC6" w:rsidR="00770160" w:rsidRDefault="0077016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C3FFC">
      <w:rPr>
        <w:rStyle w:val="PageNumber"/>
        <w:noProof/>
      </w:rPr>
      <w:t>3</w:t>
    </w:r>
    <w:r>
      <w:rPr>
        <w:rStyle w:val="PageNumber"/>
      </w:rPr>
      <w:fldChar w:fldCharType="end"/>
    </w:r>
    <w:r>
      <w:rPr>
        <w:rStyle w:val="PageNumber"/>
      </w:rPr>
      <w:t xml:space="preserve"> -</w:t>
    </w:r>
    <w:r>
      <w:rPr>
        <w:rStyle w:val="PageNumber"/>
      </w:rPr>
      <w:tab/>
    </w:r>
    <w:r w:rsidR="00D07E02" w:rsidRPr="00D07E02">
      <w:t>FSMP-WG/20-IP/03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7DAEDA3D"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69A3FE72" w14:textId="0F933ECD" w:rsidR="001742AF" w:rsidRDefault="002334B7">
          <w:pPr>
            <w:autoSpaceDE w:val="0"/>
            <w:autoSpaceDN w:val="0"/>
            <w:adjustRightInd w:val="0"/>
            <w:rPr>
              <w:szCs w:val="24"/>
            </w:rPr>
          </w:pPr>
          <w:bookmarkStart w:id="11" w:name="logo"/>
          <w:bookmarkStart w:id="12" w:name="_Hlk142490824"/>
          <w:r>
            <w:rPr>
              <w:noProof/>
              <w:lang w:eastAsia="zh-CN"/>
            </w:rPr>
            <w:drawing>
              <wp:inline distT="0" distB="0" distL="0" distR="0" wp14:anchorId="6531122C" wp14:editId="02EE6B33">
                <wp:extent cx="1089660" cy="87757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11"/>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53654C1B" w14:textId="66C7F973" w:rsidR="001742AF" w:rsidRDefault="002334B7">
          <w:pPr>
            <w:rPr>
              <w:rFonts w:ascii="Arial" w:hAnsi="Arial" w:cs="Arial"/>
              <w:szCs w:val="22"/>
            </w:rPr>
          </w:pPr>
          <w:r>
            <w:rPr>
              <w:noProof/>
              <w:szCs w:val="24"/>
            </w:rPr>
            <mc:AlternateContent>
              <mc:Choice Requires="wps">
                <w:drawing>
                  <wp:anchor distT="0" distB="0" distL="114300" distR="114300" simplePos="0" relativeHeight="251658240" behindDoc="0" locked="0" layoutInCell="1" allowOverlap="1" wp14:anchorId="26931BBF" wp14:editId="7B0E1852">
                    <wp:simplePos x="0" y="0"/>
                    <wp:positionH relativeFrom="column">
                      <wp:posOffset>12700</wp:posOffset>
                    </wp:positionH>
                    <wp:positionV relativeFrom="paragraph">
                      <wp:posOffset>342900</wp:posOffset>
                    </wp:positionV>
                    <wp:extent cx="2400300" cy="0"/>
                    <wp:effectExtent l="0" t="0" r="0" b="0"/>
                    <wp:wrapNone/>
                    <wp:docPr id="18122791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C77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02588D7" w14:textId="77777777" w:rsidR="001742AF" w:rsidRDefault="001742AF">
          <w:pPr>
            <w:rPr>
              <w:rFonts w:ascii="Arial" w:hAnsi="Arial" w:cs="Arial"/>
              <w:szCs w:val="22"/>
            </w:rPr>
          </w:pPr>
          <w:r>
            <w:rPr>
              <w:rFonts w:ascii="Arial" w:hAnsi="Arial" w:cs="Arial"/>
              <w:szCs w:val="22"/>
            </w:rPr>
            <w:t>International Civil Aviation Organization</w:t>
          </w:r>
        </w:p>
        <w:p w14:paraId="6AFF828F" w14:textId="77777777" w:rsidR="001742AF" w:rsidRDefault="001742AF">
          <w:pPr>
            <w:rPr>
              <w:rFonts w:ascii="Arial" w:hAnsi="Arial" w:cs="Arial"/>
              <w:szCs w:val="22"/>
            </w:rPr>
          </w:pPr>
        </w:p>
        <w:p w14:paraId="67409BDC"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1742AF" w14:paraId="1B57050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4A84720" w14:textId="6BB3BFB8" w:rsidR="001742AF" w:rsidRDefault="001449D6" w:rsidP="00416C97">
                <w:pPr>
                  <w:framePr w:hSpace="180" w:wrap="around" w:vAnchor="text" w:hAnchor="text" w:y="1"/>
                  <w:suppressOverlap/>
                  <w:jc w:val="left"/>
                  <w:rPr>
                    <w:szCs w:val="22"/>
                  </w:rPr>
                </w:pPr>
                <w:bookmarkStart w:id="13" w:name="document_no"/>
                <w:bookmarkStart w:id="14" w:name="_Hlk142490720"/>
                <w:r>
                  <w:rPr>
                    <w:szCs w:val="22"/>
                  </w:rPr>
                  <w:t>FS</w:t>
                </w:r>
                <w:r w:rsidR="00C62653">
                  <w:rPr>
                    <w:szCs w:val="22"/>
                  </w:rPr>
                  <w:t>MP</w:t>
                </w:r>
                <w:r w:rsidR="0095751F">
                  <w:rPr>
                    <w:szCs w:val="22"/>
                  </w:rPr>
                  <w:t>-WG/</w:t>
                </w:r>
                <w:r w:rsidR="0089364A">
                  <w:rPr>
                    <w:szCs w:val="22"/>
                  </w:rPr>
                  <w:t>20</w:t>
                </w:r>
                <w:r w:rsidR="003E6443">
                  <w:rPr>
                    <w:szCs w:val="22"/>
                  </w:rPr>
                  <w:t>-</w:t>
                </w:r>
                <w:r w:rsidR="004D46B0">
                  <w:rPr>
                    <w:szCs w:val="22"/>
                  </w:rPr>
                  <w:t>I</w:t>
                </w:r>
                <w:r w:rsidR="001742AF">
                  <w:rPr>
                    <w:szCs w:val="22"/>
                  </w:rPr>
                  <w:t>P/</w:t>
                </w:r>
                <w:r w:rsidR="00264D61">
                  <w:rPr>
                    <w:szCs w:val="22"/>
                  </w:rPr>
                  <w:t>0</w:t>
                </w:r>
                <w:bookmarkEnd w:id="13"/>
                <w:r w:rsidR="00D57EBF">
                  <w:rPr>
                    <w:szCs w:val="22"/>
                  </w:rPr>
                  <w:t>3</w:t>
                </w:r>
              </w:p>
              <w:p w14:paraId="36BD684C" w14:textId="2EC0B813" w:rsidR="001742AF" w:rsidRDefault="00194465" w:rsidP="00416C97">
                <w:pPr>
                  <w:framePr w:hSpace="180" w:wrap="around" w:vAnchor="text" w:hAnchor="text" w:y="1"/>
                  <w:autoSpaceDE w:val="0"/>
                  <w:autoSpaceDN w:val="0"/>
                  <w:adjustRightInd w:val="0"/>
                  <w:suppressOverlap/>
                  <w:jc w:val="left"/>
                  <w:rPr>
                    <w:b/>
                    <w:szCs w:val="24"/>
                  </w:rPr>
                </w:pPr>
                <w:bookmarkStart w:id="15" w:name="related_to"/>
                <w:bookmarkStart w:id="16" w:name="revision_date"/>
                <w:bookmarkStart w:id="17" w:name="revision_no"/>
                <w:bookmarkStart w:id="18" w:name="addendum_corrigendum_appendix"/>
                <w:bookmarkStart w:id="19" w:name="restricted"/>
                <w:bookmarkStart w:id="20" w:name="date"/>
                <w:bookmarkEnd w:id="15"/>
                <w:bookmarkEnd w:id="16"/>
                <w:bookmarkEnd w:id="17"/>
                <w:bookmarkEnd w:id="18"/>
                <w:bookmarkEnd w:id="19"/>
                <w:r>
                  <w:rPr>
                    <w:sz w:val="18"/>
                    <w:szCs w:val="18"/>
                  </w:rPr>
                  <w:t>202</w:t>
                </w:r>
                <w:r w:rsidR="0089364A">
                  <w:rPr>
                    <w:sz w:val="18"/>
                    <w:szCs w:val="18"/>
                  </w:rPr>
                  <w:t>5</w:t>
                </w:r>
                <w:r>
                  <w:rPr>
                    <w:sz w:val="18"/>
                    <w:szCs w:val="18"/>
                  </w:rPr>
                  <w:t>-</w:t>
                </w:r>
                <w:r w:rsidR="00165A30">
                  <w:rPr>
                    <w:sz w:val="18"/>
                    <w:szCs w:val="18"/>
                  </w:rPr>
                  <w:t>0</w:t>
                </w:r>
                <w:r w:rsidR="0089364A">
                  <w:rPr>
                    <w:sz w:val="18"/>
                    <w:szCs w:val="18"/>
                  </w:rPr>
                  <w:t>2</w:t>
                </w:r>
                <w:r>
                  <w:rPr>
                    <w:sz w:val="18"/>
                    <w:szCs w:val="18"/>
                  </w:rPr>
                  <w:t>-</w:t>
                </w:r>
                <w:bookmarkStart w:id="21" w:name="info_paper"/>
                <w:bookmarkEnd w:id="20"/>
                <w:bookmarkEnd w:id="21"/>
                <w:r w:rsidR="0089364A">
                  <w:rPr>
                    <w:sz w:val="18"/>
                    <w:szCs w:val="18"/>
                  </w:rPr>
                  <w:t>26</w:t>
                </w:r>
              </w:p>
            </w:tc>
          </w:tr>
          <w:tr w:rsidR="001742AF" w14:paraId="46543FD3"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74679F39" w14:textId="77777777" w:rsidR="001742AF" w:rsidRDefault="001742AF" w:rsidP="00416C97">
                <w:pPr>
                  <w:framePr w:hSpace="180" w:wrap="around" w:vAnchor="text" w:hAnchor="text" w:y="1"/>
                  <w:autoSpaceDE w:val="0"/>
                  <w:autoSpaceDN w:val="0"/>
                  <w:adjustRightInd w:val="0"/>
                  <w:suppressOverlap/>
                  <w:jc w:val="left"/>
                  <w:rPr>
                    <w:szCs w:val="22"/>
                  </w:rPr>
                </w:pPr>
              </w:p>
            </w:tc>
          </w:tr>
          <w:bookmarkEnd w:id="14"/>
        </w:tbl>
        <w:p w14:paraId="29214DB5"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bookmarkEnd w:id="12"/>
  </w:tbl>
  <w:p w14:paraId="254ECFD4" w14:textId="514A7FF1" w:rsidR="00770160" w:rsidRDefault="00770160" w:rsidP="003E2940">
    <w:pPr>
      <w:pStyle w:val="3para"/>
      <w:numPr>
        <w:ilvl w:val="0"/>
        <w:numId w:val="0"/>
      </w:numPr>
      <w:tabs>
        <w:tab w:val="left" w:pos="3097"/>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FF068B3"/>
    <w:multiLevelType w:val="hybridMultilevel"/>
    <w:tmpl w:val="D18ECAB6"/>
    <w:lvl w:ilvl="0" w:tplc="FEB61DC0">
      <w:start w:val="2"/>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625044826">
    <w:abstractNumId w:val="3"/>
  </w:num>
  <w:num w:numId="2" w16cid:durableId="1727223224">
    <w:abstractNumId w:val="6"/>
  </w:num>
  <w:num w:numId="3" w16cid:durableId="1272974372">
    <w:abstractNumId w:val="1"/>
  </w:num>
  <w:num w:numId="4" w16cid:durableId="1708489018">
    <w:abstractNumId w:val="0"/>
  </w:num>
  <w:num w:numId="5" w16cid:durableId="10228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707162">
    <w:abstractNumId w:val="2"/>
  </w:num>
  <w:num w:numId="7" w16cid:durableId="397481456">
    <w:abstractNumId w:val="4"/>
  </w:num>
  <w:num w:numId="8" w16cid:durableId="101797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47699"/>
    <w:rsid w:val="00086604"/>
    <w:rsid w:val="000B1C6F"/>
    <w:rsid w:val="000C22D6"/>
    <w:rsid w:val="00120DBD"/>
    <w:rsid w:val="001311FC"/>
    <w:rsid w:val="001449D6"/>
    <w:rsid w:val="00146649"/>
    <w:rsid w:val="001502EF"/>
    <w:rsid w:val="00165A30"/>
    <w:rsid w:val="001742AF"/>
    <w:rsid w:val="00194465"/>
    <w:rsid w:val="002334B7"/>
    <w:rsid w:val="00264D61"/>
    <w:rsid w:val="00274EDA"/>
    <w:rsid w:val="0028026A"/>
    <w:rsid w:val="002C487A"/>
    <w:rsid w:val="002F266A"/>
    <w:rsid w:val="0033458D"/>
    <w:rsid w:val="00341F16"/>
    <w:rsid w:val="00365BFB"/>
    <w:rsid w:val="003861F1"/>
    <w:rsid w:val="003D7FD8"/>
    <w:rsid w:val="003E2940"/>
    <w:rsid w:val="003E3DB8"/>
    <w:rsid w:val="003E6443"/>
    <w:rsid w:val="003F23BB"/>
    <w:rsid w:val="00416C97"/>
    <w:rsid w:val="00477BB3"/>
    <w:rsid w:val="004A388E"/>
    <w:rsid w:val="004D46B0"/>
    <w:rsid w:val="004E0F4A"/>
    <w:rsid w:val="004F4F29"/>
    <w:rsid w:val="005040D5"/>
    <w:rsid w:val="00570191"/>
    <w:rsid w:val="00576B70"/>
    <w:rsid w:val="005A13D7"/>
    <w:rsid w:val="005C2A6C"/>
    <w:rsid w:val="00617702"/>
    <w:rsid w:val="00632A36"/>
    <w:rsid w:val="00636F8D"/>
    <w:rsid w:val="006A0F3C"/>
    <w:rsid w:val="006B21BB"/>
    <w:rsid w:val="006E6971"/>
    <w:rsid w:val="00707ADA"/>
    <w:rsid w:val="0071789F"/>
    <w:rsid w:val="00770160"/>
    <w:rsid w:val="00794F02"/>
    <w:rsid w:val="007A3429"/>
    <w:rsid w:val="007C62D1"/>
    <w:rsid w:val="00800D0E"/>
    <w:rsid w:val="00804737"/>
    <w:rsid w:val="008133F5"/>
    <w:rsid w:val="008843A4"/>
    <w:rsid w:val="0089364A"/>
    <w:rsid w:val="008A05CA"/>
    <w:rsid w:val="008A1D5B"/>
    <w:rsid w:val="008C3FFC"/>
    <w:rsid w:val="008D196C"/>
    <w:rsid w:val="008D2A4E"/>
    <w:rsid w:val="008F7C55"/>
    <w:rsid w:val="00917E36"/>
    <w:rsid w:val="00927DDC"/>
    <w:rsid w:val="009301D0"/>
    <w:rsid w:val="00930FD5"/>
    <w:rsid w:val="009362DE"/>
    <w:rsid w:val="0095751F"/>
    <w:rsid w:val="00966223"/>
    <w:rsid w:val="0098006D"/>
    <w:rsid w:val="009A056D"/>
    <w:rsid w:val="009C02B2"/>
    <w:rsid w:val="009C4637"/>
    <w:rsid w:val="009D6311"/>
    <w:rsid w:val="009D7B19"/>
    <w:rsid w:val="009F2F01"/>
    <w:rsid w:val="009F63C6"/>
    <w:rsid w:val="009F7EC6"/>
    <w:rsid w:val="00A12CBA"/>
    <w:rsid w:val="00A148BD"/>
    <w:rsid w:val="00A26F34"/>
    <w:rsid w:val="00A459F8"/>
    <w:rsid w:val="00A75879"/>
    <w:rsid w:val="00A83FAC"/>
    <w:rsid w:val="00AC7AC3"/>
    <w:rsid w:val="00AD1C3E"/>
    <w:rsid w:val="00B079EE"/>
    <w:rsid w:val="00B274BC"/>
    <w:rsid w:val="00B45B7D"/>
    <w:rsid w:val="00B553CA"/>
    <w:rsid w:val="00B94555"/>
    <w:rsid w:val="00BA10BB"/>
    <w:rsid w:val="00BA1984"/>
    <w:rsid w:val="00BB53D1"/>
    <w:rsid w:val="00C0235B"/>
    <w:rsid w:val="00C0293C"/>
    <w:rsid w:val="00C05909"/>
    <w:rsid w:val="00C209A7"/>
    <w:rsid w:val="00C62653"/>
    <w:rsid w:val="00C82DD0"/>
    <w:rsid w:val="00C9369B"/>
    <w:rsid w:val="00CB5CFE"/>
    <w:rsid w:val="00D07E02"/>
    <w:rsid w:val="00D268E9"/>
    <w:rsid w:val="00D361E2"/>
    <w:rsid w:val="00D379F2"/>
    <w:rsid w:val="00D57EBF"/>
    <w:rsid w:val="00D708CE"/>
    <w:rsid w:val="00D73645"/>
    <w:rsid w:val="00D853AD"/>
    <w:rsid w:val="00D9052D"/>
    <w:rsid w:val="00E2345B"/>
    <w:rsid w:val="00E51053"/>
    <w:rsid w:val="00ED0FF2"/>
    <w:rsid w:val="00EE1C85"/>
    <w:rsid w:val="00F00375"/>
    <w:rsid w:val="00F17CDD"/>
    <w:rsid w:val="00F21296"/>
    <w:rsid w:val="00F43899"/>
    <w:rsid w:val="00F64CEB"/>
    <w:rsid w:val="00F940D9"/>
    <w:rsid w:val="00FB0DAF"/>
    <w:rsid w:val="00FD23B2"/>
    <w:rsid w:val="00FD6A1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752C"/>
  <w15:chartTrackingRefBased/>
  <w15:docId w15:val="{57B166AF-CE89-4C69-B723-B33E782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ListParagraph">
    <w:name w:val="List Paragraph"/>
    <w:basedOn w:val="Normal"/>
    <w:uiPriority w:val="1"/>
    <w:qFormat/>
    <w:rsid w:val="00477BB3"/>
    <w:pPr>
      <w:spacing w:after="160" w:line="259" w:lineRule="auto"/>
      <w:ind w:left="720"/>
      <w:contextualSpacing/>
      <w:jc w:val="left"/>
    </w:pPr>
    <w:rPr>
      <w:rFonts w:asciiTheme="minorHAnsi" w:eastAsiaTheme="minorHAnsi" w:hAnsiTheme="minorHAnsi" w:cstheme="minorBidi"/>
      <w:szCs w:val="22"/>
      <w:lang w:val="en-US"/>
    </w:rPr>
  </w:style>
  <w:style w:type="paragraph" w:customStyle="1" w:styleId="Source">
    <w:name w:val="Source"/>
    <w:basedOn w:val="Normal"/>
    <w:next w:val="Normal"/>
    <w:rsid w:val="00F940D9"/>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940D9"/>
    <w:pPr>
      <w:tabs>
        <w:tab w:val="left" w:pos="567"/>
        <w:tab w:val="left" w:pos="1701"/>
        <w:tab w:val="left" w:pos="2835"/>
      </w:tabs>
      <w:spacing w:before="240"/>
    </w:pPr>
    <w:rPr>
      <w:b w:val="0"/>
      <w:caps/>
    </w:rPr>
  </w:style>
  <w:style w:type="paragraph" w:customStyle="1" w:styleId="Title4">
    <w:name w:val="Title 4"/>
    <w:basedOn w:val="Normal"/>
    <w:next w:val="Heading1"/>
    <w:rsid w:val="00F940D9"/>
    <w:pPr>
      <w:tabs>
        <w:tab w:val="left" w:pos="1134"/>
        <w:tab w:val="left" w:pos="1871"/>
        <w:tab w:val="left" w:pos="2268"/>
      </w:tabs>
      <w:spacing w:before="240"/>
      <w:jc w:val="center"/>
    </w:pPr>
    <w:rPr>
      <w:b/>
      <w:sz w:val="28"/>
    </w:rPr>
  </w:style>
  <w:style w:type="table" w:styleId="TableGrid">
    <w:name w:val="Table Grid"/>
    <w:basedOn w:val="TableNormal"/>
    <w:uiPriority w:val="39"/>
    <w:rsid w:val="00F940D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F940D9"/>
    <w:rPr>
      <w:color w:val="467886" w:themeColor="hyperlink"/>
      <w:u w:val="single"/>
    </w:rPr>
  </w:style>
  <w:style w:type="character" w:customStyle="1" w:styleId="normaltextrun">
    <w:name w:val="normaltextrun"/>
    <w:basedOn w:val="DefaultParagraphFont"/>
    <w:rsid w:val="00F940D9"/>
  </w:style>
  <w:style w:type="table" w:customStyle="1" w:styleId="TableGrid1">
    <w:name w:val="Table Grid1"/>
    <w:basedOn w:val="TableNormal"/>
    <w:next w:val="TableGrid"/>
    <w:rsid w:val="0057019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7E0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mazar@atdi-grou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B7590-9E29-4FE3-A52C-2F462EDCA1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3.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4</TotalTime>
  <Pages>3</Pages>
  <Words>572</Words>
  <Characters>3031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1</vt:lpstr>
      <vt:lpstr>    Just a few lines with a brief background to introduce your paper.</vt:lpstr>
      <vt:lpstr>    This MS Word template is arranged with the following margins: top 2.87 cm, botto</vt:lpstr>
      <vt:lpstr>    ………..</vt:lpstr>
      <vt:lpstr>    </vt:lpstr>
      <vt:lpstr>    — END —</vt:lpstr>
    </vt:vector>
  </TitlesOfParts>
  <Company>ICAO</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10</cp:revision>
  <cp:lastPrinted>2005-03-16T18:26:00Z</cp:lastPrinted>
  <dcterms:created xsi:type="dcterms:W3CDTF">2025-02-20T21:35:00Z</dcterms:created>
  <dcterms:modified xsi:type="dcterms:W3CDTF">2025-02-20T21:39:00Z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b31cf12d48ecbbee792b0408bb020cce92af8928f3d670ed1f1f637d841e4f14</vt:lpwstr>
  </property>
</Properties>
</file>