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79CB" w14:textId="77777777" w:rsidR="00F00015" w:rsidRDefault="0093279C" w:rsidP="0093279C">
      <w:pPr>
        <w:jc w:val="center"/>
        <w:rPr>
          <w:b/>
          <w:bCs/>
        </w:rPr>
      </w:pPr>
      <w:r>
        <w:rPr>
          <w:b/>
          <w:bCs/>
        </w:rPr>
        <w:t xml:space="preserve">ICAO </w:t>
      </w:r>
      <w:r w:rsidRPr="0093279C">
        <w:rPr>
          <w:b/>
          <w:bCs/>
        </w:rPr>
        <w:t>LIASION STATEMENT TO ITU-R WORKING PARTY 5B</w:t>
      </w:r>
      <w:r w:rsidR="00F00015">
        <w:rPr>
          <w:b/>
          <w:bCs/>
        </w:rPr>
        <w:t xml:space="preserve"> </w:t>
      </w:r>
    </w:p>
    <w:p w14:paraId="59FAEB1C" w14:textId="794EE740" w:rsidR="0093279C" w:rsidRDefault="00F00015" w:rsidP="0093279C">
      <w:pPr>
        <w:jc w:val="center"/>
        <w:rPr>
          <w:b/>
          <w:bCs/>
        </w:rPr>
      </w:pPr>
      <w:r>
        <w:rPr>
          <w:b/>
          <w:bCs/>
        </w:rPr>
        <w:t>(COPIED TO WORKING PARTY 5D FOR INFORMATION)</w:t>
      </w:r>
    </w:p>
    <w:p w14:paraId="0E8268DC" w14:textId="77777777" w:rsidR="00455782" w:rsidRDefault="00455782" w:rsidP="0093279C">
      <w:pPr>
        <w:jc w:val="center"/>
        <w:rPr>
          <w:b/>
          <w:bCs/>
        </w:rPr>
      </w:pPr>
    </w:p>
    <w:p w14:paraId="5B9AF4D9" w14:textId="0A900418" w:rsidR="00455782" w:rsidRDefault="00E043A1" w:rsidP="0093279C">
      <w:pPr>
        <w:jc w:val="center"/>
        <w:rPr>
          <w:b/>
          <w:bCs/>
        </w:rPr>
      </w:pPr>
      <w:r>
        <w:rPr>
          <w:b/>
          <w:bCs/>
        </w:rPr>
        <w:t xml:space="preserve">WRC-27 AGENDA ITEM 1.7 - ADDITIONAL TECHNICAL AND OPERATION </w:t>
      </w:r>
      <w:r w:rsidRPr="000352D3">
        <w:rPr>
          <w:b/>
          <w:bCs/>
        </w:rPr>
        <w:t>CHARACTERI</w:t>
      </w:r>
      <w:r w:rsidR="00F91FE5" w:rsidRPr="000352D3">
        <w:rPr>
          <w:b/>
          <w:bCs/>
        </w:rPr>
        <w:t>S</w:t>
      </w:r>
      <w:r w:rsidRPr="000352D3">
        <w:rPr>
          <w:b/>
          <w:bCs/>
        </w:rPr>
        <w:t>TICS</w:t>
      </w:r>
      <w:r>
        <w:rPr>
          <w:b/>
          <w:bCs/>
        </w:rPr>
        <w:t xml:space="preserve"> FOR RADIO ALTIMETERS AND WAIC SYSTEMS OPERATING IN THE FREQUENCY RANGE 4 200 – 4 400 MHz</w:t>
      </w:r>
    </w:p>
    <w:p w14:paraId="418DBF14" w14:textId="77777777" w:rsidR="0093279C" w:rsidRPr="0093279C" w:rsidRDefault="0093279C" w:rsidP="0093279C">
      <w:pPr>
        <w:jc w:val="center"/>
        <w:rPr>
          <w:b/>
          <w:bCs/>
        </w:rPr>
      </w:pPr>
    </w:p>
    <w:p w14:paraId="380EFCA2" w14:textId="265E5B6D" w:rsidR="0093279C" w:rsidRDefault="0093279C" w:rsidP="0093279C">
      <w:pPr>
        <w:rPr>
          <w:sz w:val="24"/>
          <w:szCs w:val="24"/>
        </w:rPr>
      </w:pPr>
      <w:r w:rsidRPr="00766748">
        <w:rPr>
          <w:sz w:val="24"/>
          <w:szCs w:val="24"/>
        </w:rPr>
        <w:t>ICAO provides the following for the consideration of Working Party 5B (WP</w:t>
      </w:r>
      <w:r>
        <w:rPr>
          <w:sz w:val="24"/>
          <w:szCs w:val="24"/>
        </w:rPr>
        <w:t> </w:t>
      </w:r>
      <w:r w:rsidRPr="00766748">
        <w:rPr>
          <w:sz w:val="24"/>
          <w:szCs w:val="24"/>
        </w:rPr>
        <w:t xml:space="preserve">5B) in providing </w:t>
      </w:r>
      <w:r w:rsidRPr="00766748">
        <w:rPr>
          <w:i/>
          <w:iCs/>
          <w:sz w:val="24"/>
          <w:szCs w:val="24"/>
        </w:rPr>
        <w:t>“[a]</w:t>
      </w:r>
      <w:proofErr w:type="spellStart"/>
      <w:r w:rsidRPr="00766748">
        <w:rPr>
          <w:i/>
          <w:iCs/>
          <w:sz w:val="24"/>
          <w:szCs w:val="24"/>
        </w:rPr>
        <w:t>dditional</w:t>
      </w:r>
      <w:proofErr w:type="spellEnd"/>
      <w:r w:rsidRPr="00766748">
        <w:rPr>
          <w:i/>
          <w:iCs/>
          <w:sz w:val="24"/>
          <w:szCs w:val="24"/>
        </w:rPr>
        <w:t xml:space="preserve"> information on operational considerations and appropriate technical characteristics/protection criteria for the other altitudes in the “Range of Altitude”, including ground manoeuvres,” </w:t>
      </w:r>
      <w:r w:rsidRPr="00766748">
        <w:rPr>
          <w:sz w:val="24"/>
          <w:szCs w:val="24"/>
        </w:rPr>
        <w:t>to Working Party 5D (WP</w:t>
      </w:r>
      <w:r w:rsidR="00936D3F">
        <w:rPr>
          <w:sz w:val="24"/>
          <w:szCs w:val="24"/>
        </w:rPr>
        <w:t> </w:t>
      </w:r>
      <w:r w:rsidRPr="00766748">
        <w:rPr>
          <w:sz w:val="24"/>
          <w:szCs w:val="24"/>
        </w:rPr>
        <w:t>5D), with respect to Recommendation</w:t>
      </w:r>
      <w:r w:rsidRPr="00766748">
        <w:rPr>
          <w:b/>
          <w:bCs/>
          <w:sz w:val="24"/>
          <w:szCs w:val="24"/>
        </w:rPr>
        <w:t xml:space="preserve"> </w:t>
      </w:r>
      <w:hyperlink r:id="rId11" w:history="1">
        <w:r w:rsidRPr="00766748">
          <w:rPr>
            <w:rStyle w:val="Hyperlink"/>
            <w:sz w:val="24"/>
            <w:szCs w:val="24"/>
          </w:rPr>
          <w:t>ITU-R M.2059-0</w:t>
        </w:r>
      </w:hyperlink>
      <w:r w:rsidRPr="00766748">
        <w:rPr>
          <w:sz w:val="24"/>
          <w:szCs w:val="24"/>
        </w:rPr>
        <w:t xml:space="preserve"> (M.2059), as indicated in the liaison, </w:t>
      </w:r>
      <w:r w:rsidR="00572503">
        <w:rPr>
          <w:sz w:val="24"/>
          <w:szCs w:val="24"/>
        </w:rPr>
        <w:t xml:space="preserve">Doc. </w:t>
      </w:r>
      <w:hyperlink r:id="rId12" w:history="1">
        <w:r w:rsidRPr="00766748">
          <w:rPr>
            <w:rStyle w:val="Hyperlink"/>
            <w:sz w:val="24"/>
            <w:szCs w:val="24"/>
          </w:rPr>
          <w:t>5D/127</w:t>
        </w:r>
      </w:hyperlink>
      <w:r w:rsidRPr="00766748">
        <w:rPr>
          <w:sz w:val="24"/>
          <w:szCs w:val="24"/>
        </w:rPr>
        <w:t>, from WP 5B to WP 5D.</w:t>
      </w:r>
      <w:r w:rsidRPr="00766748">
        <w:rPr>
          <w:i/>
          <w:iCs/>
          <w:sz w:val="24"/>
          <w:szCs w:val="24"/>
        </w:rPr>
        <w:t xml:space="preserve"> </w:t>
      </w:r>
      <w:r w:rsidR="004C525D">
        <w:rPr>
          <w:i/>
          <w:iCs/>
          <w:sz w:val="24"/>
          <w:szCs w:val="24"/>
        </w:rPr>
        <w:t xml:space="preserve"> </w:t>
      </w:r>
      <w:r>
        <w:rPr>
          <w:sz w:val="24"/>
          <w:szCs w:val="24"/>
        </w:rPr>
        <w:t xml:space="preserve">ICAO also provides additional guidance on </w:t>
      </w:r>
      <w:r w:rsidR="004C525D">
        <w:rPr>
          <w:sz w:val="24"/>
          <w:szCs w:val="24"/>
        </w:rPr>
        <w:t xml:space="preserve">necessary operational scenarios for studies involving the </w:t>
      </w:r>
      <w:r w:rsidR="00B42CAB">
        <w:rPr>
          <w:sz w:val="24"/>
          <w:szCs w:val="24"/>
        </w:rPr>
        <w:t xml:space="preserve">radio </w:t>
      </w:r>
      <w:r w:rsidR="004C525D">
        <w:rPr>
          <w:sz w:val="24"/>
          <w:szCs w:val="24"/>
        </w:rPr>
        <w:t>altimeters and WAIC technical parameters.</w:t>
      </w:r>
    </w:p>
    <w:p w14:paraId="5681ADDD" w14:textId="77777777" w:rsidR="0011764F" w:rsidRDefault="0011764F" w:rsidP="0093279C">
      <w:pPr>
        <w:rPr>
          <w:sz w:val="24"/>
          <w:szCs w:val="24"/>
        </w:rPr>
      </w:pPr>
    </w:p>
    <w:p w14:paraId="0D79D81F" w14:textId="4C5B23BC" w:rsidR="0011764F" w:rsidRDefault="0011764F" w:rsidP="0093279C">
      <w:pPr>
        <w:rPr>
          <w:sz w:val="24"/>
          <w:szCs w:val="24"/>
        </w:rPr>
      </w:pPr>
      <w:r>
        <w:rPr>
          <w:sz w:val="24"/>
          <w:szCs w:val="24"/>
        </w:rPr>
        <w:t xml:space="preserve">ICAO would note that some </w:t>
      </w:r>
      <w:r w:rsidR="00AD7C27">
        <w:rPr>
          <w:sz w:val="24"/>
          <w:szCs w:val="24"/>
        </w:rPr>
        <w:t xml:space="preserve">early </w:t>
      </w:r>
      <w:r>
        <w:rPr>
          <w:sz w:val="24"/>
          <w:szCs w:val="24"/>
        </w:rPr>
        <w:t xml:space="preserve">studies have already been proposed in WP 5D, and </w:t>
      </w:r>
      <w:r w:rsidR="00AD7C27">
        <w:rPr>
          <w:sz w:val="24"/>
          <w:szCs w:val="24"/>
        </w:rPr>
        <w:t xml:space="preserve">ICAO </w:t>
      </w:r>
      <w:r>
        <w:rPr>
          <w:sz w:val="24"/>
          <w:szCs w:val="24"/>
        </w:rPr>
        <w:t xml:space="preserve">would </w:t>
      </w:r>
      <w:r w:rsidR="00F54DC6">
        <w:rPr>
          <w:sz w:val="24"/>
          <w:szCs w:val="24"/>
        </w:rPr>
        <w:t>recommend</w:t>
      </w:r>
      <w:r>
        <w:rPr>
          <w:sz w:val="24"/>
          <w:szCs w:val="24"/>
        </w:rPr>
        <w:t xml:space="preserve"> WP 5B to </w:t>
      </w:r>
      <w:r w:rsidR="00F54DC6">
        <w:rPr>
          <w:sz w:val="24"/>
          <w:szCs w:val="24"/>
        </w:rPr>
        <w:t>encourage WP 5D</w:t>
      </w:r>
      <w:r>
        <w:rPr>
          <w:sz w:val="24"/>
          <w:szCs w:val="24"/>
        </w:rPr>
        <w:t xml:space="preserve"> t</w:t>
      </w:r>
      <w:r w:rsidR="00F54DC6">
        <w:rPr>
          <w:sz w:val="24"/>
          <w:szCs w:val="24"/>
        </w:rPr>
        <w:t>o</w:t>
      </w:r>
      <w:r>
        <w:rPr>
          <w:sz w:val="24"/>
          <w:szCs w:val="24"/>
        </w:rPr>
        <w:t xml:space="preserve"> </w:t>
      </w:r>
      <w:r w:rsidR="00F54DC6">
        <w:rPr>
          <w:sz w:val="24"/>
          <w:szCs w:val="24"/>
        </w:rPr>
        <w:t>continue</w:t>
      </w:r>
      <w:r>
        <w:rPr>
          <w:sz w:val="24"/>
          <w:szCs w:val="24"/>
        </w:rPr>
        <w:t xml:space="preserve"> these studies at a global level</w:t>
      </w:r>
      <w:r w:rsidR="00AD7C27">
        <w:rPr>
          <w:sz w:val="24"/>
          <w:szCs w:val="24"/>
        </w:rPr>
        <w:t xml:space="preserve"> using the material provided below.  </w:t>
      </w:r>
    </w:p>
    <w:p w14:paraId="7434CB2F" w14:textId="77777777" w:rsidR="004C525D" w:rsidRDefault="004C525D" w:rsidP="0093279C">
      <w:pPr>
        <w:rPr>
          <w:sz w:val="24"/>
          <w:szCs w:val="24"/>
        </w:rPr>
      </w:pPr>
    </w:p>
    <w:p w14:paraId="1390E2CB" w14:textId="6D30CE58" w:rsidR="004C525D" w:rsidRPr="004C525D" w:rsidRDefault="004C525D" w:rsidP="0093279C">
      <w:pPr>
        <w:rPr>
          <w:b/>
          <w:bCs/>
          <w:sz w:val="24"/>
          <w:szCs w:val="24"/>
        </w:rPr>
      </w:pPr>
      <w:r w:rsidRPr="004C525D">
        <w:rPr>
          <w:b/>
          <w:bCs/>
          <w:sz w:val="24"/>
          <w:szCs w:val="24"/>
        </w:rPr>
        <w:t>USE OF RECOMMENDATION ITU-R M.2059</w:t>
      </w:r>
      <w:r w:rsidR="008D3895">
        <w:rPr>
          <w:b/>
          <w:bCs/>
          <w:sz w:val="24"/>
          <w:szCs w:val="24"/>
        </w:rPr>
        <w:t>-0</w:t>
      </w:r>
    </w:p>
    <w:p w14:paraId="2F562F3E" w14:textId="77777777" w:rsidR="0093279C" w:rsidRDefault="0093279C" w:rsidP="0093279C"/>
    <w:p w14:paraId="3AE541D1" w14:textId="39204BCE" w:rsidR="009A1DE0" w:rsidRDefault="009A1DE0" w:rsidP="009A1DE0">
      <w:pPr>
        <w:rPr>
          <w:sz w:val="24"/>
          <w:szCs w:val="24"/>
        </w:rPr>
      </w:pPr>
      <w:r w:rsidRPr="00766748">
        <w:rPr>
          <w:sz w:val="24"/>
          <w:szCs w:val="24"/>
        </w:rPr>
        <w:t xml:space="preserve">ICAO is concerned by </w:t>
      </w:r>
      <w:r>
        <w:rPr>
          <w:sz w:val="24"/>
          <w:szCs w:val="24"/>
        </w:rPr>
        <w:t>statements</w:t>
      </w:r>
      <w:r w:rsidRPr="00766748">
        <w:rPr>
          <w:sz w:val="24"/>
          <w:szCs w:val="24"/>
        </w:rPr>
        <w:t xml:space="preserve"> raised in the previous ITU</w:t>
      </w:r>
      <w:r>
        <w:rPr>
          <w:sz w:val="24"/>
          <w:szCs w:val="24"/>
        </w:rPr>
        <w:t xml:space="preserve">-R </w:t>
      </w:r>
      <w:r w:rsidR="00DD6DAE" w:rsidRPr="00766748">
        <w:rPr>
          <w:sz w:val="24"/>
          <w:szCs w:val="24"/>
        </w:rPr>
        <w:t xml:space="preserve">WP 5B to WP 5D </w:t>
      </w:r>
      <w:r w:rsidRPr="00766748">
        <w:rPr>
          <w:sz w:val="24"/>
          <w:szCs w:val="24"/>
        </w:rPr>
        <w:t xml:space="preserve">meetings that the protection criteria contained within </w:t>
      </w:r>
      <w:r>
        <w:rPr>
          <w:sz w:val="24"/>
          <w:szCs w:val="24"/>
        </w:rPr>
        <w:t>M.2059</w:t>
      </w:r>
      <w:r w:rsidRPr="00766748">
        <w:rPr>
          <w:sz w:val="24"/>
          <w:szCs w:val="24"/>
        </w:rPr>
        <w:t xml:space="preserve"> only applies at </w:t>
      </w:r>
      <w:r>
        <w:rPr>
          <w:sz w:val="24"/>
          <w:szCs w:val="24"/>
        </w:rPr>
        <w:t>the</w:t>
      </w:r>
      <w:r w:rsidRPr="00766748">
        <w:rPr>
          <w:sz w:val="24"/>
          <w:szCs w:val="24"/>
        </w:rPr>
        <w:t xml:space="preserve"> “operational altitude” contained within tables 1 and 2</w:t>
      </w:r>
      <w:r w:rsidR="00DD6DAE">
        <w:rPr>
          <w:sz w:val="24"/>
          <w:szCs w:val="24"/>
        </w:rPr>
        <w:t>.  T</w:t>
      </w:r>
      <w:r>
        <w:rPr>
          <w:sz w:val="24"/>
          <w:szCs w:val="24"/>
        </w:rPr>
        <w:t>h</w:t>
      </w:r>
      <w:r w:rsidR="00C2128E">
        <w:rPr>
          <w:sz w:val="24"/>
          <w:szCs w:val="24"/>
        </w:rPr>
        <w:t>ese statements d</w:t>
      </w:r>
      <w:r w:rsidR="00884D00">
        <w:rPr>
          <w:sz w:val="24"/>
          <w:szCs w:val="24"/>
        </w:rPr>
        <w:t>id</w:t>
      </w:r>
      <w:r w:rsidR="00C2128E">
        <w:rPr>
          <w:sz w:val="24"/>
          <w:szCs w:val="24"/>
        </w:rPr>
        <w:t xml:space="preserve"> not align with </w:t>
      </w:r>
      <w:r>
        <w:rPr>
          <w:sz w:val="24"/>
          <w:szCs w:val="24"/>
        </w:rPr>
        <w:t>ICAO</w:t>
      </w:r>
      <w:r w:rsidR="003001CA">
        <w:rPr>
          <w:sz w:val="24"/>
          <w:szCs w:val="24"/>
        </w:rPr>
        <w:t>’s</w:t>
      </w:r>
      <w:r w:rsidR="00C2128E">
        <w:rPr>
          <w:sz w:val="24"/>
          <w:szCs w:val="24"/>
        </w:rPr>
        <w:t xml:space="preserve"> </w:t>
      </w:r>
      <w:r w:rsidR="00884D00">
        <w:rPr>
          <w:sz w:val="24"/>
          <w:szCs w:val="24"/>
        </w:rPr>
        <w:t>intent or purpose</w:t>
      </w:r>
      <w:r w:rsidR="0048112D" w:rsidRPr="0048112D">
        <w:rPr>
          <w:sz w:val="24"/>
          <w:szCs w:val="24"/>
        </w:rPr>
        <w:t xml:space="preserve"> </w:t>
      </w:r>
      <w:r w:rsidR="0048112D">
        <w:rPr>
          <w:sz w:val="24"/>
          <w:szCs w:val="24"/>
        </w:rPr>
        <w:t>of M.2059</w:t>
      </w:r>
      <w:r w:rsidRPr="00766748">
        <w:rPr>
          <w:sz w:val="24"/>
          <w:szCs w:val="24"/>
        </w:rPr>
        <w:t xml:space="preserve">.  </w:t>
      </w:r>
    </w:p>
    <w:p w14:paraId="3F6697F1" w14:textId="77777777" w:rsidR="009A1DE0" w:rsidRPr="00766748" w:rsidRDefault="009A1DE0" w:rsidP="009A1DE0">
      <w:pPr>
        <w:rPr>
          <w:sz w:val="24"/>
          <w:szCs w:val="24"/>
        </w:rPr>
      </w:pPr>
    </w:p>
    <w:p w14:paraId="081AC4DF" w14:textId="7D1DA2B8" w:rsidR="009A1DE0" w:rsidRDefault="009A1DE0" w:rsidP="009A1DE0">
      <w:pPr>
        <w:rPr>
          <w:sz w:val="24"/>
          <w:szCs w:val="24"/>
        </w:rPr>
      </w:pPr>
      <w:r>
        <w:rPr>
          <w:sz w:val="24"/>
          <w:szCs w:val="24"/>
        </w:rPr>
        <w:t>In response</w:t>
      </w:r>
      <w:r w:rsidRPr="00766748">
        <w:rPr>
          <w:sz w:val="24"/>
          <w:szCs w:val="24"/>
        </w:rPr>
        <w:t xml:space="preserve">, ICAO has consulted with the major global radio altimeter manufacturers who were involved in the </w:t>
      </w:r>
      <w:r>
        <w:rPr>
          <w:sz w:val="24"/>
          <w:szCs w:val="24"/>
        </w:rPr>
        <w:t xml:space="preserve">writing and </w:t>
      </w:r>
      <w:r w:rsidRPr="00766748">
        <w:rPr>
          <w:sz w:val="24"/>
          <w:szCs w:val="24"/>
        </w:rPr>
        <w:t>development of M.2059</w:t>
      </w:r>
      <w:r w:rsidR="00537F6F">
        <w:rPr>
          <w:sz w:val="24"/>
          <w:szCs w:val="24"/>
        </w:rPr>
        <w:t xml:space="preserve"> during the WRC-15 study cycle</w:t>
      </w:r>
      <w:r>
        <w:rPr>
          <w:sz w:val="24"/>
          <w:szCs w:val="24"/>
        </w:rPr>
        <w:t xml:space="preserve">.  Representatives of </w:t>
      </w:r>
      <w:r w:rsidR="00884D00">
        <w:rPr>
          <w:sz w:val="24"/>
          <w:szCs w:val="24"/>
        </w:rPr>
        <w:t xml:space="preserve">these </w:t>
      </w:r>
      <w:r>
        <w:rPr>
          <w:sz w:val="24"/>
          <w:szCs w:val="24"/>
        </w:rPr>
        <w:t xml:space="preserve">manufacturers </w:t>
      </w:r>
      <w:r w:rsidRPr="00766748">
        <w:rPr>
          <w:sz w:val="24"/>
          <w:szCs w:val="24"/>
        </w:rPr>
        <w:t xml:space="preserve">have confirmed to ICAO that the protection criteria contained within </w:t>
      </w:r>
      <w:r>
        <w:rPr>
          <w:sz w:val="24"/>
          <w:szCs w:val="24"/>
        </w:rPr>
        <w:t>M.2059 were written to be</w:t>
      </w:r>
      <w:r w:rsidRPr="00766748">
        <w:rPr>
          <w:sz w:val="24"/>
          <w:szCs w:val="24"/>
        </w:rPr>
        <w:t xml:space="preserve"> </w:t>
      </w:r>
      <w:r w:rsidRPr="00216B98">
        <w:rPr>
          <w:sz w:val="24"/>
          <w:szCs w:val="24"/>
        </w:rPr>
        <w:t>applicable at all altitudes at which</w:t>
      </w:r>
      <w:r w:rsidRPr="00766748">
        <w:rPr>
          <w:sz w:val="24"/>
          <w:szCs w:val="24"/>
        </w:rPr>
        <w:t xml:space="preserve"> the radio altimeter system operates</w:t>
      </w:r>
      <w:r>
        <w:rPr>
          <w:sz w:val="24"/>
          <w:szCs w:val="24"/>
        </w:rPr>
        <w:t xml:space="preserve">.  This includes from the </w:t>
      </w:r>
      <w:r w:rsidRPr="00766748">
        <w:rPr>
          <w:sz w:val="24"/>
          <w:szCs w:val="24"/>
        </w:rPr>
        <w:t>ground level up to the maximum operational altitude.</w:t>
      </w:r>
      <w:r>
        <w:rPr>
          <w:sz w:val="24"/>
          <w:szCs w:val="24"/>
        </w:rPr>
        <w:t xml:space="preserve">  </w:t>
      </w:r>
      <w:r w:rsidR="00537F6F">
        <w:rPr>
          <w:sz w:val="24"/>
          <w:szCs w:val="24"/>
        </w:rPr>
        <w:t xml:space="preserve">They note that this requirement </w:t>
      </w:r>
      <w:r w:rsidR="00E87930">
        <w:rPr>
          <w:sz w:val="24"/>
          <w:szCs w:val="24"/>
        </w:rPr>
        <w:t>is</w:t>
      </w:r>
      <w:r>
        <w:rPr>
          <w:sz w:val="24"/>
          <w:szCs w:val="24"/>
        </w:rPr>
        <w:t xml:space="preserve"> already included in M</w:t>
      </w:r>
      <w:r w:rsidRPr="00766748">
        <w:rPr>
          <w:sz w:val="24"/>
          <w:szCs w:val="24"/>
        </w:rPr>
        <w:t>.2059</w:t>
      </w:r>
      <w:r>
        <w:rPr>
          <w:sz w:val="24"/>
          <w:szCs w:val="24"/>
        </w:rPr>
        <w:t xml:space="preserve"> </w:t>
      </w:r>
      <w:r w:rsidRPr="004D0548">
        <w:rPr>
          <w:sz w:val="24"/>
          <w:szCs w:val="24"/>
        </w:rPr>
        <w:t>Annex 3</w:t>
      </w:r>
      <w:r>
        <w:rPr>
          <w:sz w:val="24"/>
          <w:szCs w:val="24"/>
        </w:rPr>
        <w:t>, s</w:t>
      </w:r>
      <w:r w:rsidRPr="004D0548">
        <w:rPr>
          <w:sz w:val="24"/>
          <w:szCs w:val="24"/>
        </w:rPr>
        <w:t>ection 3</w:t>
      </w:r>
      <w:r w:rsidR="00713FFE">
        <w:rPr>
          <w:sz w:val="24"/>
          <w:szCs w:val="24"/>
        </w:rPr>
        <w:t>.</w:t>
      </w:r>
      <w:r w:rsidR="00713FFE">
        <w:rPr>
          <w:rStyle w:val="FootnoteReference"/>
          <w:sz w:val="24"/>
          <w:szCs w:val="24"/>
        </w:rPr>
        <w:footnoteReference w:id="2"/>
      </w:r>
      <w:r w:rsidRPr="004D0548">
        <w:rPr>
          <w:sz w:val="24"/>
          <w:szCs w:val="24"/>
        </w:rPr>
        <w:t xml:space="preserve"> </w:t>
      </w:r>
    </w:p>
    <w:p w14:paraId="3E5C316E" w14:textId="3CE77E20" w:rsidR="00890E23" w:rsidRDefault="00890E23" w:rsidP="009A1DE0">
      <w:pPr>
        <w:rPr>
          <w:sz w:val="24"/>
          <w:szCs w:val="24"/>
        </w:rPr>
      </w:pPr>
    </w:p>
    <w:p w14:paraId="5CB5E60C" w14:textId="1D7C3E9C" w:rsidR="00890E23" w:rsidRDefault="00890E23" w:rsidP="00890E23">
      <w:pPr>
        <w:rPr>
          <w:sz w:val="24"/>
          <w:szCs w:val="24"/>
        </w:rPr>
      </w:pPr>
      <w:r w:rsidRPr="00766748">
        <w:rPr>
          <w:sz w:val="24"/>
          <w:szCs w:val="24"/>
        </w:rPr>
        <w:t xml:space="preserve">Based upon the </w:t>
      </w:r>
      <w:r>
        <w:rPr>
          <w:sz w:val="24"/>
          <w:szCs w:val="24"/>
        </w:rPr>
        <w:t>existing</w:t>
      </w:r>
      <w:r w:rsidRPr="00766748">
        <w:rPr>
          <w:sz w:val="24"/>
          <w:szCs w:val="24"/>
        </w:rPr>
        <w:t xml:space="preserve"> content from M.2059</w:t>
      </w:r>
      <w:r>
        <w:rPr>
          <w:sz w:val="24"/>
          <w:szCs w:val="24"/>
        </w:rPr>
        <w:t>,</w:t>
      </w:r>
      <w:r w:rsidRPr="00766748">
        <w:rPr>
          <w:sz w:val="24"/>
          <w:szCs w:val="24"/>
        </w:rPr>
        <w:t xml:space="preserve"> as well </w:t>
      </w:r>
      <w:r>
        <w:rPr>
          <w:sz w:val="24"/>
          <w:szCs w:val="24"/>
        </w:rPr>
        <w:t>as supporting statements</w:t>
      </w:r>
      <w:r w:rsidRPr="00766748">
        <w:rPr>
          <w:sz w:val="24"/>
          <w:szCs w:val="24"/>
        </w:rPr>
        <w:t xml:space="preserve"> from the radio altimeter manufacturers,</w:t>
      </w:r>
      <w:r>
        <w:rPr>
          <w:sz w:val="24"/>
          <w:szCs w:val="24"/>
        </w:rPr>
        <w:t xml:space="preserve"> ICAO strongly recommends</w:t>
      </w:r>
      <w:r w:rsidRPr="00766748">
        <w:rPr>
          <w:sz w:val="24"/>
          <w:szCs w:val="24"/>
        </w:rPr>
        <w:t xml:space="preserve"> </w:t>
      </w:r>
      <w:r>
        <w:rPr>
          <w:sz w:val="24"/>
          <w:szCs w:val="24"/>
        </w:rPr>
        <w:t xml:space="preserve">WP 5B clarify to WP 5D that </w:t>
      </w:r>
      <w:r w:rsidRPr="00766748">
        <w:rPr>
          <w:sz w:val="24"/>
          <w:szCs w:val="24"/>
        </w:rPr>
        <w:t xml:space="preserve">studies </w:t>
      </w:r>
      <w:r>
        <w:rPr>
          <w:sz w:val="24"/>
          <w:szCs w:val="24"/>
        </w:rPr>
        <w:t>under WRC-27 Agenda Item 1.7</w:t>
      </w:r>
      <w:r w:rsidRPr="00766748">
        <w:rPr>
          <w:sz w:val="24"/>
          <w:szCs w:val="24"/>
        </w:rPr>
        <w:t xml:space="preserve"> should consider the</w:t>
      </w:r>
      <w:r>
        <w:rPr>
          <w:sz w:val="24"/>
          <w:szCs w:val="24"/>
        </w:rPr>
        <w:t xml:space="preserve"> combined</w:t>
      </w:r>
      <w:r w:rsidRPr="00766748">
        <w:rPr>
          <w:sz w:val="24"/>
          <w:szCs w:val="24"/>
        </w:rPr>
        <w:t xml:space="preserve"> </w:t>
      </w:r>
      <w:r>
        <w:rPr>
          <w:sz w:val="24"/>
          <w:szCs w:val="24"/>
        </w:rPr>
        <w:t xml:space="preserve">M.2059 </w:t>
      </w:r>
      <w:r w:rsidRPr="00766748">
        <w:rPr>
          <w:sz w:val="24"/>
          <w:szCs w:val="24"/>
        </w:rPr>
        <w:t xml:space="preserve">protection criteria as applicable at </w:t>
      </w:r>
      <w:r>
        <w:rPr>
          <w:sz w:val="24"/>
          <w:szCs w:val="24"/>
        </w:rPr>
        <w:t xml:space="preserve">all </w:t>
      </w:r>
      <w:r w:rsidR="00900EC6">
        <w:rPr>
          <w:sz w:val="24"/>
          <w:szCs w:val="24"/>
        </w:rPr>
        <w:t xml:space="preserve">operational phases of flight that occur from </w:t>
      </w:r>
      <w:r w:rsidRPr="00766748">
        <w:rPr>
          <w:sz w:val="24"/>
          <w:szCs w:val="24"/>
        </w:rPr>
        <w:t xml:space="preserve">ground level up until the maximum </w:t>
      </w:r>
      <w:r>
        <w:rPr>
          <w:sz w:val="24"/>
          <w:szCs w:val="24"/>
        </w:rPr>
        <w:t>cruising</w:t>
      </w:r>
      <w:r w:rsidR="00FF12E5">
        <w:rPr>
          <w:sz w:val="24"/>
          <w:szCs w:val="24"/>
        </w:rPr>
        <w:t xml:space="preserve"> altitude (defined as </w:t>
      </w:r>
      <w:r w:rsidR="00DA33CB">
        <w:rPr>
          <w:sz w:val="24"/>
          <w:szCs w:val="24"/>
        </w:rPr>
        <w:t xml:space="preserve">an </w:t>
      </w:r>
      <w:r w:rsidR="00FF12E5">
        <w:rPr>
          <w:sz w:val="24"/>
          <w:szCs w:val="24"/>
        </w:rPr>
        <w:t>‘operational altitude’</w:t>
      </w:r>
      <w:r w:rsidRPr="00766748">
        <w:rPr>
          <w:sz w:val="24"/>
          <w:szCs w:val="24"/>
        </w:rPr>
        <w:t xml:space="preserve"> </w:t>
      </w:r>
      <w:r w:rsidR="00E53C8D">
        <w:rPr>
          <w:sz w:val="24"/>
          <w:szCs w:val="24"/>
        </w:rPr>
        <w:t>as specified in Tables 1 and 2 of M.2059</w:t>
      </w:r>
      <w:r w:rsidR="00900EC6">
        <w:rPr>
          <w:sz w:val="24"/>
          <w:szCs w:val="24"/>
        </w:rPr>
        <w:t>)</w:t>
      </w:r>
      <w:r w:rsidRPr="00766748">
        <w:rPr>
          <w:sz w:val="24"/>
          <w:szCs w:val="24"/>
        </w:rPr>
        <w:t xml:space="preserve">. </w:t>
      </w:r>
    </w:p>
    <w:p w14:paraId="2EAD9C36" w14:textId="77777777" w:rsidR="009A1DE0" w:rsidRPr="00766748" w:rsidRDefault="009A1DE0" w:rsidP="009A1DE0">
      <w:pPr>
        <w:rPr>
          <w:sz w:val="24"/>
          <w:szCs w:val="24"/>
        </w:rPr>
      </w:pPr>
    </w:p>
    <w:p w14:paraId="31036074" w14:textId="59C6D1AC" w:rsidR="009A1DE0" w:rsidRPr="00766748" w:rsidRDefault="00E87930" w:rsidP="009A1DE0">
      <w:pPr>
        <w:rPr>
          <w:sz w:val="24"/>
          <w:szCs w:val="24"/>
        </w:rPr>
      </w:pPr>
      <w:r>
        <w:rPr>
          <w:sz w:val="24"/>
          <w:szCs w:val="24"/>
        </w:rPr>
        <w:t>ICAO notes that w</w:t>
      </w:r>
      <w:r w:rsidR="009A1DE0" w:rsidRPr="00766748">
        <w:rPr>
          <w:sz w:val="24"/>
          <w:szCs w:val="24"/>
        </w:rPr>
        <w:t xml:space="preserve">hile new </w:t>
      </w:r>
      <w:r w:rsidR="00CA6CF0">
        <w:rPr>
          <w:sz w:val="24"/>
          <w:szCs w:val="24"/>
        </w:rPr>
        <w:t xml:space="preserve">radio </w:t>
      </w:r>
      <w:r w:rsidR="009A1DE0">
        <w:rPr>
          <w:sz w:val="24"/>
          <w:szCs w:val="24"/>
        </w:rPr>
        <w:t xml:space="preserve">altimeter </w:t>
      </w:r>
      <w:r w:rsidR="009A1DE0" w:rsidRPr="00766748">
        <w:rPr>
          <w:sz w:val="24"/>
          <w:szCs w:val="24"/>
        </w:rPr>
        <w:t xml:space="preserve">standards in development may provide altitude dependent protection criteria, </w:t>
      </w:r>
      <w:r w:rsidR="009A1DE0">
        <w:rPr>
          <w:sz w:val="24"/>
          <w:szCs w:val="24"/>
        </w:rPr>
        <w:t xml:space="preserve">the current </w:t>
      </w:r>
      <w:r w:rsidR="009A1DE0" w:rsidRPr="00766748">
        <w:rPr>
          <w:sz w:val="24"/>
          <w:szCs w:val="24"/>
        </w:rPr>
        <w:t xml:space="preserve">M.2059 </w:t>
      </w:r>
      <w:r w:rsidR="009A1DE0">
        <w:rPr>
          <w:sz w:val="24"/>
          <w:szCs w:val="24"/>
        </w:rPr>
        <w:t xml:space="preserve">as written and intended by </w:t>
      </w:r>
      <w:r w:rsidR="006422C1">
        <w:rPr>
          <w:sz w:val="24"/>
          <w:szCs w:val="24"/>
        </w:rPr>
        <w:t xml:space="preserve">all </w:t>
      </w:r>
      <w:r w:rsidR="009A1DE0">
        <w:rPr>
          <w:sz w:val="24"/>
          <w:szCs w:val="24"/>
        </w:rPr>
        <w:t xml:space="preserve">the </w:t>
      </w:r>
      <w:r w:rsidR="00CA6CF0">
        <w:rPr>
          <w:sz w:val="24"/>
          <w:szCs w:val="24"/>
        </w:rPr>
        <w:t xml:space="preserve">radio </w:t>
      </w:r>
      <w:r w:rsidR="009A1DE0">
        <w:rPr>
          <w:sz w:val="24"/>
          <w:szCs w:val="24"/>
        </w:rPr>
        <w:t>altimeter manufacturers does not account for this factor</w:t>
      </w:r>
      <w:r w:rsidR="009A1DE0" w:rsidRPr="00766748">
        <w:rPr>
          <w:sz w:val="24"/>
          <w:szCs w:val="24"/>
        </w:rPr>
        <w:t>.</w:t>
      </w:r>
      <w:r w:rsidR="009A1DE0">
        <w:rPr>
          <w:sz w:val="24"/>
          <w:szCs w:val="24"/>
        </w:rPr>
        <w:t xml:space="preserve">  </w:t>
      </w:r>
      <w:r w:rsidR="00FA6515">
        <w:rPr>
          <w:sz w:val="24"/>
          <w:szCs w:val="24"/>
        </w:rPr>
        <w:t>A</w:t>
      </w:r>
      <w:r w:rsidR="009A1DE0">
        <w:rPr>
          <w:sz w:val="24"/>
          <w:szCs w:val="24"/>
        </w:rPr>
        <w:t xml:space="preserve">ssuming otherwise in ITU-R studies may have global safety implications for current operational radio altimeters.  </w:t>
      </w:r>
    </w:p>
    <w:p w14:paraId="6DC50888" w14:textId="77777777" w:rsidR="009A1DE0" w:rsidRDefault="009A1DE0" w:rsidP="0093279C"/>
    <w:p w14:paraId="453BF4F7" w14:textId="0CE820FA" w:rsidR="009A1DE0" w:rsidRDefault="009A1DE0" w:rsidP="0093279C">
      <w:pPr>
        <w:rPr>
          <w:b/>
          <w:bCs/>
        </w:rPr>
      </w:pPr>
      <w:r w:rsidRPr="00F24C20">
        <w:rPr>
          <w:b/>
          <w:bCs/>
        </w:rPr>
        <w:t>OPERATIONAL SCEN</w:t>
      </w:r>
      <w:r w:rsidR="00F91FE5" w:rsidRPr="00F24C20">
        <w:rPr>
          <w:b/>
          <w:bCs/>
        </w:rPr>
        <w:t>A</w:t>
      </w:r>
      <w:r w:rsidRPr="00F24C20">
        <w:rPr>
          <w:b/>
          <w:bCs/>
        </w:rPr>
        <w:t>RIOS FOR ASSES</w:t>
      </w:r>
      <w:r w:rsidR="00F91FE5" w:rsidRPr="00F24C20">
        <w:rPr>
          <w:b/>
          <w:bCs/>
        </w:rPr>
        <w:t>S</w:t>
      </w:r>
      <w:r w:rsidRPr="00F24C20">
        <w:rPr>
          <w:b/>
          <w:bCs/>
        </w:rPr>
        <w:t xml:space="preserve">MENT OF </w:t>
      </w:r>
      <w:r w:rsidR="00F91FE5" w:rsidRPr="00F24C20">
        <w:rPr>
          <w:b/>
          <w:bCs/>
        </w:rPr>
        <w:t xml:space="preserve">INTERFERENCE BETWEEN </w:t>
      </w:r>
      <w:r w:rsidRPr="00F24C20">
        <w:rPr>
          <w:b/>
          <w:bCs/>
        </w:rPr>
        <w:t xml:space="preserve">IMT </w:t>
      </w:r>
      <w:r w:rsidR="00F91FE5" w:rsidRPr="00F24C20">
        <w:rPr>
          <w:b/>
          <w:bCs/>
        </w:rPr>
        <w:t>AND</w:t>
      </w:r>
      <w:r w:rsidRPr="00F24C20">
        <w:rPr>
          <w:b/>
          <w:bCs/>
        </w:rPr>
        <w:t xml:space="preserve"> </w:t>
      </w:r>
      <w:r w:rsidR="008663FC" w:rsidRPr="00F24C20">
        <w:rPr>
          <w:b/>
          <w:bCs/>
        </w:rPr>
        <w:t xml:space="preserve">RADIO </w:t>
      </w:r>
      <w:r w:rsidRPr="00F24C20">
        <w:rPr>
          <w:b/>
          <w:bCs/>
        </w:rPr>
        <w:t>ALTIMETERS</w:t>
      </w:r>
    </w:p>
    <w:p w14:paraId="56DF184E" w14:textId="77777777" w:rsidR="009A1DE0" w:rsidRDefault="009A1DE0" w:rsidP="0093279C">
      <w:pPr>
        <w:rPr>
          <w:b/>
          <w:bCs/>
        </w:rPr>
      </w:pPr>
    </w:p>
    <w:p w14:paraId="52D27E3F" w14:textId="442D104F" w:rsidR="00183B89" w:rsidRDefault="00CF288D" w:rsidP="00EF013C">
      <w:pPr>
        <w:rPr>
          <w:sz w:val="24"/>
          <w:szCs w:val="24"/>
          <w:lang w:val="en-US"/>
        </w:rPr>
      </w:pPr>
      <w:r>
        <w:rPr>
          <w:sz w:val="24"/>
          <w:szCs w:val="24"/>
          <w:lang w:val="en-US"/>
        </w:rPr>
        <w:t xml:space="preserve">ICAO </w:t>
      </w:r>
      <w:r w:rsidRPr="00EF013C">
        <w:rPr>
          <w:sz w:val="24"/>
          <w:szCs w:val="24"/>
          <w:lang w:val="en-US"/>
        </w:rPr>
        <w:t xml:space="preserve">endorses the importance of the use of the radio altimeter for flight operations (both by the pilot and automated systems) and the need to protect it from harmful interference </w:t>
      </w:r>
      <w:r w:rsidR="00453D3A">
        <w:rPr>
          <w:sz w:val="24"/>
          <w:szCs w:val="24"/>
          <w:lang w:val="en-US"/>
        </w:rPr>
        <w:t>to maintain its</w:t>
      </w:r>
      <w:r w:rsidRPr="00EF013C">
        <w:rPr>
          <w:sz w:val="24"/>
          <w:szCs w:val="24"/>
          <w:lang w:val="en-US"/>
        </w:rPr>
        <w:t xml:space="preserve"> function.</w:t>
      </w:r>
      <w:r>
        <w:rPr>
          <w:sz w:val="24"/>
          <w:szCs w:val="24"/>
          <w:lang w:val="en-US"/>
        </w:rPr>
        <w:t xml:space="preserve">  </w:t>
      </w:r>
      <w:r w:rsidR="0034298A">
        <w:rPr>
          <w:sz w:val="24"/>
          <w:szCs w:val="24"/>
          <w:lang w:val="en-US"/>
        </w:rPr>
        <w:t>After consultation</w:t>
      </w:r>
      <w:r w:rsidR="0092405F">
        <w:rPr>
          <w:sz w:val="24"/>
          <w:szCs w:val="24"/>
          <w:lang w:val="en-US"/>
        </w:rPr>
        <w:t xml:space="preserve"> with</w:t>
      </w:r>
      <w:r w:rsidR="0034298A">
        <w:rPr>
          <w:sz w:val="24"/>
          <w:szCs w:val="24"/>
          <w:lang w:val="en-US"/>
        </w:rPr>
        <w:t xml:space="preserve"> </w:t>
      </w:r>
      <w:r w:rsidR="00115ECE">
        <w:rPr>
          <w:sz w:val="24"/>
          <w:szCs w:val="24"/>
          <w:lang w:val="en-US"/>
        </w:rPr>
        <w:t>its</w:t>
      </w:r>
      <w:r w:rsidR="0034298A">
        <w:rPr>
          <w:sz w:val="24"/>
          <w:szCs w:val="24"/>
          <w:lang w:val="en-US"/>
        </w:rPr>
        <w:t xml:space="preserve"> f</w:t>
      </w:r>
      <w:r w:rsidR="0034298A" w:rsidRPr="0034298A">
        <w:rPr>
          <w:sz w:val="24"/>
          <w:szCs w:val="24"/>
          <w:lang w:val="en-US"/>
        </w:rPr>
        <w:t xml:space="preserve">light </w:t>
      </w:r>
      <w:r w:rsidR="0034298A">
        <w:rPr>
          <w:sz w:val="24"/>
          <w:szCs w:val="24"/>
          <w:lang w:val="en-US"/>
        </w:rPr>
        <w:t>o</w:t>
      </w:r>
      <w:r w:rsidR="0034298A" w:rsidRPr="0034298A">
        <w:rPr>
          <w:sz w:val="24"/>
          <w:szCs w:val="24"/>
          <w:lang w:val="en-US"/>
        </w:rPr>
        <w:t>perations experts</w:t>
      </w:r>
      <w:r w:rsidR="000C058B">
        <w:rPr>
          <w:rStyle w:val="FootnoteReference"/>
          <w:sz w:val="24"/>
          <w:szCs w:val="24"/>
          <w:lang w:val="en-US"/>
        </w:rPr>
        <w:footnoteReference w:id="3"/>
      </w:r>
      <w:r w:rsidR="00614067">
        <w:rPr>
          <w:sz w:val="24"/>
          <w:szCs w:val="24"/>
          <w:lang w:val="en-US"/>
        </w:rPr>
        <w:t>,</w:t>
      </w:r>
      <w:r w:rsidR="0034298A" w:rsidRPr="0034298A" w:rsidDel="00CE2A3A">
        <w:rPr>
          <w:sz w:val="24"/>
          <w:szCs w:val="24"/>
          <w:lang w:val="en-US"/>
        </w:rPr>
        <w:t xml:space="preserve"> </w:t>
      </w:r>
      <w:r w:rsidR="001F1983" w:rsidRPr="00400C4D">
        <w:rPr>
          <w:sz w:val="24"/>
          <w:szCs w:val="24"/>
          <w:lang w:val="en-US"/>
        </w:rPr>
        <w:t>ICAO strongly recommends that any ITU-R studies consider operational scenarios based on the minimum separation distance (MSD) of 35 ft (11 m) between terrestrial transmitters and flying aircraft as stated in the previous ICAO LS to the ITU-R</w:t>
      </w:r>
      <w:r>
        <w:rPr>
          <w:sz w:val="24"/>
          <w:szCs w:val="24"/>
          <w:lang w:val="en-US"/>
        </w:rPr>
        <w:t xml:space="preserve"> (</w:t>
      </w:r>
      <w:r w:rsidR="00572503">
        <w:rPr>
          <w:sz w:val="24"/>
          <w:szCs w:val="24"/>
          <w:lang w:val="en-US"/>
        </w:rPr>
        <w:t>Docs</w:t>
      </w:r>
      <w:proofErr w:type="gramStart"/>
      <w:r w:rsidR="00572503">
        <w:rPr>
          <w:sz w:val="24"/>
          <w:szCs w:val="24"/>
          <w:lang w:val="en-US"/>
        </w:rPr>
        <w:t xml:space="preserve">. </w:t>
      </w:r>
      <w:proofErr w:type="gramEnd"/>
      <w:r w:rsidR="005B3B67" w:rsidRPr="00723A04">
        <w:rPr>
          <w:sz w:val="24"/>
          <w:szCs w:val="24"/>
          <w:highlight w:val="yellow"/>
          <w:lang w:val="en-US"/>
        </w:rPr>
        <w:t>5B/</w:t>
      </w:r>
      <w:r w:rsidR="00723A04" w:rsidRPr="00723A04">
        <w:rPr>
          <w:sz w:val="24"/>
          <w:szCs w:val="24"/>
          <w:highlight w:val="yellow"/>
          <w:lang w:val="en-US"/>
        </w:rPr>
        <w:t>128</w:t>
      </w:r>
      <w:r w:rsidR="005B3B67">
        <w:rPr>
          <w:sz w:val="24"/>
          <w:szCs w:val="24"/>
          <w:lang w:val="en-US"/>
        </w:rPr>
        <w:t xml:space="preserve"> and </w:t>
      </w:r>
      <w:r w:rsidR="005B3B67" w:rsidRPr="00723A04">
        <w:rPr>
          <w:sz w:val="24"/>
          <w:szCs w:val="24"/>
          <w:highlight w:val="yellow"/>
          <w:lang w:val="en-US"/>
        </w:rPr>
        <w:t>5D/X</w:t>
      </w:r>
      <w:r w:rsidR="005B3B67" w:rsidRPr="000352D3">
        <w:rPr>
          <w:sz w:val="24"/>
          <w:szCs w:val="24"/>
          <w:highlight w:val="yellow"/>
          <w:lang w:val="en-US"/>
        </w:rPr>
        <w:t>XX</w:t>
      </w:r>
      <w:r w:rsidR="005B3B67">
        <w:rPr>
          <w:sz w:val="24"/>
          <w:szCs w:val="24"/>
          <w:lang w:val="en-US"/>
        </w:rPr>
        <w:t>)</w:t>
      </w:r>
      <w:r w:rsidR="001F1983" w:rsidRPr="00400C4D">
        <w:rPr>
          <w:sz w:val="24"/>
          <w:szCs w:val="24"/>
          <w:lang w:val="en-US"/>
        </w:rPr>
        <w:t xml:space="preserve">. </w:t>
      </w:r>
      <w:r w:rsidR="001F1983">
        <w:rPr>
          <w:sz w:val="24"/>
          <w:szCs w:val="24"/>
          <w:lang w:val="en-US"/>
        </w:rPr>
        <w:t xml:space="preserve"> </w:t>
      </w:r>
    </w:p>
    <w:p w14:paraId="336E4B63" w14:textId="77777777" w:rsidR="00183B89" w:rsidRDefault="00183B89" w:rsidP="00EF013C">
      <w:pPr>
        <w:rPr>
          <w:sz w:val="24"/>
          <w:szCs w:val="24"/>
          <w:lang w:val="en-US"/>
        </w:rPr>
      </w:pPr>
    </w:p>
    <w:p w14:paraId="49D7EF51" w14:textId="2A4B86D7" w:rsidR="0074232E" w:rsidRPr="00EF013C" w:rsidRDefault="005F2E3B" w:rsidP="00EF013C">
      <w:pPr>
        <w:rPr>
          <w:sz w:val="24"/>
          <w:szCs w:val="24"/>
          <w:lang w:val="en-US"/>
        </w:rPr>
      </w:pPr>
      <w:r>
        <w:rPr>
          <w:sz w:val="24"/>
          <w:szCs w:val="24"/>
          <w:lang w:val="en-US"/>
        </w:rPr>
        <w:t xml:space="preserve">The following are </w:t>
      </w:r>
      <w:r w:rsidR="00F92F80">
        <w:rPr>
          <w:sz w:val="24"/>
          <w:szCs w:val="24"/>
          <w:lang w:val="en-US"/>
        </w:rPr>
        <w:t xml:space="preserve">ICAO </w:t>
      </w:r>
      <w:r w:rsidR="008002B1">
        <w:rPr>
          <w:sz w:val="24"/>
          <w:szCs w:val="24"/>
          <w:lang w:val="en-US"/>
        </w:rPr>
        <w:t xml:space="preserve">operational </w:t>
      </w:r>
      <w:r w:rsidR="00234E3C">
        <w:rPr>
          <w:sz w:val="24"/>
          <w:szCs w:val="24"/>
          <w:lang w:val="en-US"/>
        </w:rPr>
        <w:t>require</w:t>
      </w:r>
      <w:r>
        <w:rPr>
          <w:sz w:val="24"/>
          <w:szCs w:val="24"/>
          <w:lang w:val="en-US"/>
        </w:rPr>
        <w:t>ments used to develop the MSD:</w:t>
      </w:r>
      <w:r w:rsidR="00F92F80">
        <w:rPr>
          <w:sz w:val="24"/>
          <w:szCs w:val="24"/>
          <w:lang w:val="en-US"/>
        </w:rPr>
        <w:t xml:space="preserve">  </w:t>
      </w:r>
    </w:p>
    <w:p w14:paraId="34EA4F1E" w14:textId="77777777" w:rsidR="00EF013C" w:rsidRPr="00EF013C" w:rsidRDefault="00EF013C" w:rsidP="00EF013C">
      <w:pPr>
        <w:numPr>
          <w:ilvl w:val="0"/>
          <w:numId w:val="8"/>
        </w:numPr>
        <w:rPr>
          <w:sz w:val="24"/>
          <w:szCs w:val="24"/>
          <w:lang w:val="en-US"/>
        </w:rPr>
      </w:pPr>
      <w:r w:rsidRPr="00EF013C">
        <w:rPr>
          <w:sz w:val="24"/>
          <w:szCs w:val="24"/>
          <w:lang w:val="en-US"/>
        </w:rPr>
        <w:t>The radio altimeter and supported systems need to fully function throughout the volume of airspace where they are used for any safety or flight critical purpose. An easy way to cover this is to protect those systems throughout the entire service volume (everywhere an altitude output is required).</w:t>
      </w:r>
    </w:p>
    <w:p w14:paraId="78D4B13D" w14:textId="77777777" w:rsidR="00EF013C" w:rsidRPr="00EF013C" w:rsidRDefault="00EF013C" w:rsidP="00EF013C">
      <w:pPr>
        <w:numPr>
          <w:ilvl w:val="0"/>
          <w:numId w:val="8"/>
        </w:numPr>
        <w:rPr>
          <w:sz w:val="24"/>
          <w:szCs w:val="24"/>
          <w:lang w:val="en-US"/>
        </w:rPr>
      </w:pPr>
      <w:r w:rsidRPr="00EF013C">
        <w:rPr>
          <w:sz w:val="24"/>
          <w:szCs w:val="24"/>
          <w:lang w:val="en-US"/>
        </w:rPr>
        <w:t>Intended functions of the radio altimeter and supported systems include, but are not limited to:</w:t>
      </w:r>
    </w:p>
    <w:p w14:paraId="12A07616" w14:textId="77777777" w:rsidR="00EF013C" w:rsidRPr="00EF013C" w:rsidRDefault="00EF013C" w:rsidP="00EF013C">
      <w:pPr>
        <w:numPr>
          <w:ilvl w:val="1"/>
          <w:numId w:val="8"/>
        </w:numPr>
        <w:rPr>
          <w:sz w:val="24"/>
          <w:szCs w:val="24"/>
          <w:lang w:val="en-US"/>
        </w:rPr>
      </w:pPr>
      <w:r w:rsidRPr="00EF013C">
        <w:rPr>
          <w:sz w:val="24"/>
          <w:szCs w:val="24"/>
          <w:lang w:val="en-US"/>
        </w:rPr>
        <w:t xml:space="preserve">pilot use during windshear recovery </w:t>
      </w:r>
      <w:proofErr w:type="spellStart"/>
      <w:proofErr w:type="gramStart"/>
      <w:r w:rsidRPr="00EF013C">
        <w:rPr>
          <w:sz w:val="24"/>
          <w:szCs w:val="24"/>
          <w:lang w:val="en-US"/>
        </w:rPr>
        <w:t>manoeuvres</w:t>
      </w:r>
      <w:proofErr w:type="spellEnd"/>
      <w:r w:rsidRPr="00EF013C">
        <w:rPr>
          <w:sz w:val="24"/>
          <w:szCs w:val="24"/>
          <w:lang w:val="en-US"/>
        </w:rPr>
        <w:t>;</w:t>
      </w:r>
      <w:proofErr w:type="gramEnd"/>
    </w:p>
    <w:p w14:paraId="30DEE676" w14:textId="116466A8" w:rsidR="00EF013C" w:rsidRPr="00EF013C" w:rsidRDefault="00E377BF" w:rsidP="00EF013C">
      <w:pPr>
        <w:numPr>
          <w:ilvl w:val="1"/>
          <w:numId w:val="8"/>
        </w:numPr>
        <w:rPr>
          <w:sz w:val="24"/>
          <w:szCs w:val="24"/>
          <w:lang w:val="en-US"/>
        </w:rPr>
      </w:pPr>
      <w:r>
        <w:rPr>
          <w:sz w:val="24"/>
          <w:szCs w:val="24"/>
          <w:lang w:val="en-US"/>
        </w:rPr>
        <w:t xml:space="preserve">(Helicopter) Terrain Alerting and Warning </w:t>
      </w:r>
      <w:proofErr w:type="gramStart"/>
      <w:r>
        <w:rPr>
          <w:sz w:val="24"/>
          <w:szCs w:val="24"/>
          <w:lang w:val="en-US"/>
        </w:rPr>
        <w:t>System (</w:t>
      </w:r>
      <w:r w:rsidR="00EF013C" w:rsidRPr="00EF013C">
        <w:rPr>
          <w:sz w:val="24"/>
          <w:szCs w:val="24"/>
          <w:lang w:val="en-US"/>
        </w:rPr>
        <w:t>(</w:t>
      </w:r>
      <w:proofErr w:type="gramEnd"/>
      <w:r w:rsidR="00EF013C" w:rsidRPr="00EF013C">
        <w:rPr>
          <w:sz w:val="24"/>
          <w:szCs w:val="24"/>
          <w:lang w:val="en-US"/>
        </w:rPr>
        <w:t>H)TAWS</w:t>
      </w:r>
      <w:proofErr w:type="gramStart"/>
      <w:r>
        <w:rPr>
          <w:sz w:val="24"/>
          <w:szCs w:val="24"/>
          <w:lang w:val="en-US"/>
        </w:rPr>
        <w:t>)</w:t>
      </w:r>
      <w:r w:rsidR="00EF013C" w:rsidRPr="00EF013C">
        <w:rPr>
          <w:sz w:val="24"/>
          <w:szCs w:val="24"/>
          <w:lang w:val="en-US"/>
        </w:rPr>
        <w:t>;</w:t>
      </w:r>
      <w:proofErr w:type="gramEnd"/>
    </w:p>
    <w:p w14:paraId="723C06BE" w14:textId="77777777" w:rsidR="00EF013C" w:rsidRPr="00EF013C" w:rsidRDefault="00EF013C" w:rsidP="00EF013C">
      <w:pPr>
        <w:numPr>
          <w:ilvl w:val="1"/>
          <w:numId w:val="8"/>
        </w:numPr>
        <w:rPr>
          <w:sz w:val="24"/>
          <w:szCs w:val="24"/>
          <w:lang w:val="en-US"/>
        </w:rPr>
      </w:pPr>
      <w:r w:rsidRPr="00EF013C">
        <w:rPr>
          <w:sz w:val="24"/>
          <w:szCs w:val="24"/>
          <w:lang w:val="en-US"/>
        </w:rPr>
        <w:t>automation functionality (including the increased interdependency of systems in advanced modern aircraft</w:t>
      </w:r>
      <w:proofErr w:type="gramStart"/>
      <w:r w:rsidRPr="00EF013C">
        <w:rPr>
          <w:sz w:val="24"/>
          <w:szCs w:val="24"/>
          <w:lang w:val="en-US"/>
        </w:rPr>
        <w:t>);</w:t>
      </w:r>
      <w:proofErr w:type="gramEnd"/>
    </w:p>
    <w:p w14:paraId="03DBAAFA" w14:textId="77777777" w:rsidR="00EF013C" w:rsidRPr="00EF013C" w:rsidRDefault="00EF013C" w:rsidP="00EF013C">
      <w:pPr>
        <w:numPr>
          <w:ilvl w:val="1"/>
          <w:numId w:val="8"/>
        </w:numPr>
        <w:rPr>
          <w:sz w:val="24"/>
          <w:szCs w:val="24"/>
          <w:lang w:val="en-US"/>
        </w:rPr>
      </w:pPr>
      <w:r w:rsidRPr="00EF013C">
        <w:rPr>
          <w:sz w:val="24"/>
          <w:szCs w:val="24"/>
          <w:lang w:val="en-US"/>
        </w:rPr>
        <w:t>conducting specific procedures, especially for helicopters; and</w:t>
      </w:r>
    </w:p>
    <w:p w14:paraId="1D3AE75A" w14:textId="77777777" w:rsidR="00EF013C" w:rsidRPr="00EF013C" w:rsidRDefault="00EF013C" w:rsidP="00EF013C">
      <w:pPr>
        <w:numPr>
          <w:ilvl w:val="1"/>
          <w:numId w:val="8"/>
        </w:numPr>
        <w:rPr>
          <w:sz w:val="24"/>
          <w:szCs w:val="24"/>
          <w:lang w:val="en-US"/>
        </w:rPr>
      </w:pPr>
      <w:r w:rsidRPr="00EF013C">
        <w:rPr>
          <w:sz w:val="24"/>
          <w:szCs w:val="24"/>
          <w:lang w:val="en-US"/>
        </w:rPr>
        <w:t>tailstrike protection</w:t>
      </w:r>
    </w:p>
    <w:p w14:paraId="77CA39D0" w14:textId="77777777" w:rsidR="00EF013C" w:rsidRPr="00EF013C" w:rsidRDefault="00EF013C" w:rsidP="00EF013C">
      <w:pPr>
        <w:numPr>
          <w:ilvl w:val="0"/>
          <w:numId w:val="8"/>
        </w:numPr>
        <w:rPr>
          <w:sz w:val="24"/>
          <w:szCs w:val="24"/>
          <w:lang w:val="en-US"/>
        </w:rPr>
      </w:pPr>
      <w:r w:rsidRPr="00EF013C">
        <w:rPr>
          <w:sz w:val="24"/>
          <w:szCs w:val="24"/>
          <w:lang w:val="en-US"/>
        </w:rPr>
        <w:t>Pilots need to have high confidence in the radio altimeter outputs.</w:t>
      </w:r>
    </w:p>
    <w:p w14:paraId="2418E3C4" w14:textId="77777777" w:rsidR="00EF013C" w:rsidRPr="00EF013C" w:rsidRDefault="00EF013C" w:rsidP="00EF013C">
      <w:pPr>
        <w:numPr>
          <w:ilvl w:val="0"/>
          <w:numId w:val="8"/>
        </w:numPr>
        <w:rPr>
          <w:sz w:val="24"/>
          <w:szCs w:val="24"/>
          <w:lang w:val="en-US"/>
        </w:rPr>
      </w:pPr>
      <w:r w:rsidRPr="00EF013C">
        <w:rPr>
          <w:sz w:val="24"/>
          <w:szCs w:val="24"/>
          <w:lang w:val="en-US"/>
        </w:rPr>
        <w:t>Pilots need continuity of the radio altimeter outputs.</w:t>
      </w:r>
    </w:p>
    <w:p w14:paraId="69E68BC6" w14:textId="77777777" w:rsidR="00EF013C" w:rsidRPr="00EF013C" w:rsidRDefault="00EF013C" w:rsidP="00EF013C">
      <w:pPr>
        <w:numPr>
          <w:ilvl w:val="0"/>
          <w:numId w:val="8"/>
        </w:numPr>
        <w:rPr>
          <w:sz w:val="24"/>
          <w:szCs w:val="24"/>
          <w:lang w:val="en-US"/>
        </w:rPr>
      </w:pPr>
      <w:r w:rsidRPr="00EF013C">
        <w:rPr>
          <w:sz w:val="24"/>
          <w:szCs w:val="24"/>
          <w:lang w:val="en-US"/>
        </w:rPr>
        <w:t>It is not enough to protect the radio altimeter only for “nominal” aircraft trajectories (such as on centerline, on glidepath, on a stabilized approach). It must be protected where it is intended to function, wherever it can conceivably be used (for example, at and above the obstacle clearance surface, on a low missed approach engine-out scenario or in a near-collision scenario). If the aircraft is not on a nominal path, the pilot should also not have to consider that the radio altimeter may malfunction or provide misleading information.</w:t>
      </w:r>
    </w:p>
    <w:p w14:paraId="4C8D2643" w14:textId="77777777" w:rsidR="00EF013C" w:rsidRPr="00EF013C" w:rsidRDefault="00EF013C" w:rsidP="00EF013C">
      <w:pPr>
        <w:numPr>
          <w:ilvl w:val="0"/>
          <w:numId w:val="8"/>
        </w:numPr>
        <w:rPr>
          <w:sz w:val="24"/>
          <w:szCs w:val="24"/>
          <w:lang w:val="en-US"/>
        </w:rPr>
      </w:pPr>
      <w:r w:rsidRPr="00EF013C">
        <w:rPr>
          <w:sz w:val="24"/>
          <w:szCs w:val="24"/>
          <w:lang w:val="en-US"/>
        </w:rPr>
        <w:t>It is critical that helicopters be considered by ITU since they generally use other areas besides runways.</w:t>
      </w:r>
    </w:p>
    <w:p w14:paraId="3AF860BA" w14:textId="77777777" w:rsidR="00EF013C" w:rsidRDefault="00EF013C" w:rsidP="00075BD5">
      <w:pPr>
        <w:rPr>
          <w:sz w:val="24"/>
          <w:szCs w:val="24"/>
          <w:lang w:val="en-US"/>
        </w:rPr>
      </w:pPr>
    </w:p>
    <w:p w14:paraId="535E7759" w14:textId="0E99AC8F" w:rsidR="00075BD5" w:rsidRPr="00075BD5" w:rsidRDefault="000618CD" w:rsidP="00075BD5">
      <w:pPr>
        <w:rPr>
          <w:i/>
          <w:iCs/>
          <w:sz w:val="24"/>
          <w:szCs w:val="24"/>
          <w:lang w:val="en-US"/>
        </w:rPr>
      </w:pPr>
      <w:r>
        <w:rPr>
          <w:sz w:val="24"/>
          <w:szCs w:val="24"/>
          <w:lang w:val="en-US"/>
        </w:rPr>
        <w:t>Th</w:t>
      </w:r>
      <w:r w:rsidR="00604774">
        <w:rPr>
          <w:sz w:val="24"/>
          <w:szCs w:val="24"/>
          <w:lang w:val="en-US"/>
        </w:rPr>
        <w:t>e MSD and its above requirements are</w:t>
      </w:r>
      <w:r>
        <w:rPr>
          <w:sz w:val="24"/>
          <w:szCs w:val="24"/>
          <w:lang w:val="en-US"/>
        </w:rPr>
        <w:t xml:space="preserve"> supported by </w:t>
      </w:r>
      <w:r w:rsidR="00075BD5" w:rsidRPr="00075BD5">
        <w:rPr>
          <w:sz w:val="24"/>
          <w:szCs w:val="24"/>
          <w:lang w:val="en-US"/>
        </w:rPr>
        <w:t xml:space="preserve">ICAO Annex 6 Part I, 5.2.8. </w:t>
      </w:r>
      <w:r>
        <w:rPr>
          <w:sz w:val="24"/>
          <w:szCs w:val="24"/>
          <w:lang w:val="en-US"/>
        </w:rPr>
        <w:t xml:space="preserve">which </w:t>
      </w:r>
      <w:r w:rsidR="00075BD5" w:rsidRPr="00075BD5">
        <w:rPr>
          <w:sz w:val="24"/>
          <w:szCs w:val="24"/>
          <w:lang w:val="en-US"/>
        </w:rPr>
        <w:t>provides general guidance for takeoff performance and states “</w:t>
      </w:r>
      <w:r w:rsidR="00075BD5" w:rsidRPr="00075BD5">
        <w:rPr>
          <w:i/>
          <w:iCs/>
          <w:sz w:val="24"/>
          <w:szCs w:val="24"/>
          <w:lang w:val="en-US"/>
        </w:rPr>
        <w:t>The aeroplane shall be able, in the event of a critical engine failing, or for other reasons, at any point in the take-off, either to discontinue the take-off and stop within the accelerate-stop distance available, or to continue the take-off and clear all obstacles along the flight path by an adequate vertical or horizontal distance…”</w:t>
      </w:r>
      <w:r w:rsidR="00881486">
        <w:rPr>
          <w:sz w:val="24"/>
          <w:szCs w:val="24"/>
          <w:lang w:val="en-US"/>
        </w:rPr>
        <w:t xml:space="preserve">  This guidance has been implemented nationally in many states </w:t>
      </w:r>
      <w:r w:rsidR="00243072">
        <w:rPr>
          <w:sz w:val="24"/>
          <w:szCs w:val="24"/>
          <w:lang w:val="en-US"/>
        </w:rPr>
        <w:t>to maintain aviation safety under all flight conditions</w:t>
      </w:r>
      <w:r w:rsidR="00F736D5">
        <w:rPr>
          <w:sz w:val="24"/>
          <w:szCs w:val="24"/>
          <w:lang w:val="en-US"/>
        </w:rPr>
        <w:t xml:space="preserve">.  For </w:t>
      </w:r>
      <w:r w:rsidR="005823BD">
        <w:rPr>
          <w:sz w:val="24"/>
          <w:szCs w:val="24"/>
          <w:lang w:val="en-US"/>
        </w:rPr>
        <w:t>example,</w:t>
      </w:r>
      <w:r w:rsidR="00F736D5">
        <w:rPr>
          <w:sz w:val="24"/>
          <w:szCs w:val="24"/>
          <w:lang w:val="en-US"/>
        </w:rPr>
        <w:t xml:space="preserve"> in a </w:t>
      </w:r>
      <w:r w:rsidR="00F736D5" w:rsidRPr="00075BD5">
        <w:rPr>
          <w:sz w:val="24"/>
          <w:szCs w:val="24"/>
          <w:lang w:val="en-US"/>
        </w:rPr>
        <w:t>near collision scenari</w:t>
      </w:r>
      <w:r w:rsidR="00F736D5">
        <w:rPr>
          <w:sz w:val="24"/>
          <w:szCs w:val="24"/>
          <w:lang w:val="en-US"/>
        </w:rPr>
        <w:t>o</w:t>
      </w:r>
      <w:r w:rsidR="00F736D5" w:rsidRPr="00075BD5">
        <w:rPr>
          <w:sz w:val="24"/>
          <w:szCs w:val="24"/>
          <w:lang w:val="en-US"/>
        </w:rPr>
        <w:t xml:space="preserve"> where an aircraft loses altitude due to a severe windshear condition</w:t>
      </w:r>
      <w:r w:rsidR="00F736D5">
        <w:rPr>
          <w:sz w:val="24"/>
          <w:szCs w:val="24"/>
          <w:lang w:val="en-US"/>
        </w:rPr>
        <w:t xml:space="preserve">, </w:t>
      </w:r>
      <w:r w:rsidR="00243072">
        <w:rPr>
          <w:sz w:val="24"/>
          <w:szCs w:val="24"/>
          <w:lang w:val="en-US"/>
        </w:rPr>
        <w:t xml:space="preserve">as </w:t>
      </w:r>
      <w:r w:rsidR="00243072" w:rsidRPr="00075BD5">
        <w:rPr>
          <w:sz w:val="24"/>
          <w:szCs w:val="24"/>
          <w:lang w:val="en-US"/>
        </w:rPr>
        <w:t xml:space="preserve">an untimely loss of </w:t>
      </w:r>
      <w:r w:rsidR="008663FC" w:rsidRPr="00075BD5">
        <w:rPr>
          <w:sz w:val="24"/>
          <w:szCs w:val="24"/>
          <w:lang w:val="en-US"/>
        </w:rPr>
        <w:t>rad</w:t>
      </w:r>
      <w:r w:rsidR="008663FC">
        <w:rPr>
          <w:sz w:val="24"/>
          <w:szCs w:val="24"/>
          <w:lang w:val="en-US"/>
        </w:rPr>
        <w:t>io</w:t>
      </w:r>
      <w:r w:rsidR="008663FC" w:rsidRPr="00075BD5">
        <w:rPr>
          <w:sz w:val="24"/>
          <w:szCs w:val="24"/>
          <w:lang w:val="en-US"/>
        </w:rPr>
        <w:t xml:space="preserve"> </w:t>
      </w:r>
      <w:r w:rsidR="00243072" w:rsidRPr="00075BD5">
        <w:rPr>
          <w:sz w:val="24"/>
          <w:szCs w:val="24"/>
          <w:lang w:val="en-US"/>
        </w:rPr>
        <w:t>altimeter function or display of misleading data would</w:t>
      </w:r>
      <w:r w:rsidR="00243072">
        <w:rPr>
          <w:sz w:val="24"/>
          <w:szCs w:val="24"/>
          <w:lang w:val="en-US"/>
        </w:rPr>
        <w:t xml:space="preserve"> </w:t>
      </w:r>
      <w:r w:rsidR="00243072" w:rsidRPr="00075BD5">
        <w:rPr>
          <w:sz w:val="24"/>
          <w:szCs w:val="24"/>
          <w:lang w:val="en-US"/>
        </w:rPr>
        <w:t>likely result in a catastrophic outcome</w:t>
      </w:r>
      <w:r w:rsidR="003974B3">
        <w:rPr>
          <w:sz w:val="24"/>
          <w:szCs w:val="24"/>
          <w:lang w:val="en-US"/>
        </w:rPr>
        <w:t xml:space="preserve"> (such as a collision with ground obstacles or terrain leading to a loss of life)</w:t>
      </w:r>
      <w:r w:rsidR="00243072" w:rsidRPr="00075BD5">
        <w:rPr>
          <w:sz w:val="24"/>
          <w:szCs w:val="24"/>
          <w:lang w:val="en-US"/>
        </w:rPr>
        <w:t xml:space="preserve">, given that this instruments output data is critical for validating the success or failure of </w:t>
      </w:r>
      <w:r w:rsidR="0011764F">
        <w:rPr>
          <w:sz w:val="24"/>
          <w:szCs w:val="24"/>
          <w:lang w:val="en-US"/>
        </w:rPr>
        <w:t>the</w:t>
      </w:r>
      <w:r w:rsidR="00243072" w:rsidRPr="00075BD5">
        <w:rPr>
          <w:sz w:val="24"/>
          <w:szCs w:val="24"/>
          <w:lang w:val="en-US"/>
        </w:rPr>
        <w:t xml:space="preserve"> </w:t>
      </w:r>
      <w:r w:rsidR="00F736D5">
        <w:rPr>
          <w:sz w:val="24"/>
          <w:szCs w:val="24"/>
          <w:lang w:val="en-US"/>
        </w:rPr>
        <w:t>flight</w:t>
      </w:r>
      <w:r w:rsidR="00243072" w:rsidRPr="00075BD5">
        <w:rPr>
          <w:sz w:val="24"/>
          <w:szCs w:val="24"/>
          <w:lang w:val="en-US"/>
        </w:rPr>
        <w:t xml:space="preserve"> control inputs during the escape maneuver. </w:t>
      </w:r>
    </w:p>
    <w:p w14:paraId="6A15762F" w14:textId="77777777" w:rsidR="00075BD5" w:rsidRPr="00075BD5" w:rsidRDefault="00075BD5" w:rsidP="00075BD5">
      <w:pPr>
        <w:rPr>
          <w:sz w:val="24"/>
          <w:szCs w:val="24"/>
          <w:lang w:val="en-US"/>
        </w:rPr>
      </w:pPr>
      <w:r w:rsidRPr="00075BD5">
        <w:rPr>
          <w:sz w:val="24"/>
          <w:szCs w:val="24"/>
          <w:lang w:val="en-US"/>
        </w:rPr>
        <w:t> </w:t>
      </w:r>
    </w:p>
    <w:p w14:paraId="59FD3C4B" w14:textId="56491497" w:rsidR="009A1DE0" w:rsidRPr="007D5ACD" w:rsidRDefault="009A1DE0" w:rsidP="0093279C">
      <w:pPr>
        <w:rPr>
          <w:b/>
          <w:bCs/>
          <w:sz w:val="24"/>
          <w:szCs w:val="24"/>
        </w:rPr>
      </w:pPr>
      <w:r w:rsidRPr="007D5ACD">
        <w:rPr>
          <w:b/>
          <w:bCs/>
          <w:sz w:val="24"/>
          <w:szCs w:val="24"/>
        </w:rPr>
        <w:t>WAIC TECHNICAL PARAMETERS</w:t>
      </w:r>
    </w:p>
    <w:p w14:paraId="5CB86866" w14:textId="77777777" w:rsidR="009A1DE0" w:rsidRPr="007D5ACD" w:rsidRDefault="009A1DE0" w:rsidP="0093279C">
      <w:pPr>
        <w:rPr>
          <w:b/>
          <w:bCs/>
          <w:sz w:val="24"/>
          <w:szCs w:val="24"/>
        </w:rPr>
      </w:pPr>
    </w:p>
    <w:p w14:paraId="06F9DC3B" w14:textId="77777777" w:rsidR="00CC6F2C" w:rsidRPr="002E793D" w:rsidRDefault="00CC6F2C" w:rsidP="00CC6F2C">
      <w:pPr>
        <w:rPr>
          <w:b/>
          <w:bCs/>
        </w:rPr>
      </w:pPr>
      <w:r w:rsidRPr="002E793D">
        <w:rPr>
          <w:b/>
          <w:bCs/>
        </w:rPr>
        <w:t>WAIC Background</w:t>
      </w:r>
    </w:p>
    <w:p w14:paraId="3A827017" w14:textId="77777777" w:rsidR="00CC6F2C" w:rsidRPr="002E793D" w:rsidRDefault="00CC6F2C" w:rsidP="00CC6F2C"/>
    <w:p w14:paraId="39130616" w14:textId="387DA37F" w:rsidR="00CC6F2C" w:rsidRPr="002E793D" w:rsidRDefault="00CC6F2C" w:rsidP="00CC6F2C">
      <w:r w:rsidRPr="002E793D">
        <w:t xml:space="preserve">WAIC systems provide safety-related wireless communication over short distances between two or more points onboard a single aircraft. They </w:t>
      </w:r>
      <w:r>
        <w:t>are</w:t>
      </w:r>
      <w:r w:rsidRPr="002E793D">
        <w:t xml:space="preserve"> installed at various locations both within and </w:t>
      </w:r>
      <w:r>
        <w:t xml:space="preserve">on the </w:t>
      </w:r>
      <w:r w:rsidRPr="002E793D">
        <w:t xml:space="preserve">outside </w:t>
      </w:r>
      <w:r>
        <w:t xml:space="preserve">of </w:t>
      </w:r>
      <w:r w:rsidRPr="002E793D">
        <w:t>the aircraft</w:t>
      </w:r>
      <w:bookmarkStart w:id="0" w:name="_Hlk181703116"/>
      <w:r w:rsidRPr="002E793D">
        <w:t>, and operate during all phases of flight, including on the ground</w:t>
      </w:r>
      <w:bookmarkEnd w:id="0"/>
      <w:r>
        <w:t xml:space="preserve"> (as described in ITU-R Report M.2283-0)</w:t>
      </w:r>
      <w:r w:rsidRPr="002E793D">
        <w:t>.  WAIC systems do not provide air-to-ground, air-to-satellite, or communications</w:t>
      </w:r>
      <w:r w:rsidR="00956A5F">
        <w:t xml:space="preserve"> between aircraft</w:t>
      </w:r>
      <w:r w:rsidRPr="002E793D">
        <w:t xml:space="preserve">. They are only used for aircraft communications related to the safety and regularity of flight, allowing greater flexibility and redundancy to the existing internal aircraft wiring. One example of </w:t>
      </w:r>
      <w:r>
        <w:t xml:space="preserve">communications provided by </w:t>
      </w:r>
      <w:r w:rsidRPr="002E793D">
        <w:t xml:space="preserve">WAIC systems is sensor information used to monitor the health of an aircraft structure and critical systems, and to communicate this information to a central onboard entity.  </w:t>
      </w:r>
    </w:p>
    <w:p w14:paraId="29DD4AC4" w14:textId="77777777" w:rsidR="00CC6F2C" w:rsidRPr="002E793D" w:rsidRDefault="00CC6F2C" w:rsidP="00CC6F2C"/>
    <w:p w14:paraId="298A13B3" w14:textId="77777777" w:rsidR="00CC6F2C" w:rsidRPr="002E793D" w:rsidRDefault="00CC6F2C" w:rsidP="00CC6F2C">
      <w:pPr>
        <w:rPr>
          <w:b/>
          <w:bCs/>
        </w:rPr>
      </w:pPr>
      <w:r w:rsidRPr="002E793D">
        <w:rPr>
          <w:b/>
          <w:bCs/>
        </w:rPr>
        <w:t>WAIC Technical Parameters</w:t>
      </w:r>
    </w:p>
    <w:p w14:paraId="31229358" w14:textId="77777777" w:rsidR="00CC6F2C" w:rsidRPr="002E793D" w:rsidRDefault="00CC6F2C" w:rsidP="00CC6F2C"/>
    <w:p w14:paraId="167B5E3A" w14:textId="1534A604" w:rsidR="00CC6F2C" w:rsidRDefault="00CC6F2C" w:rsidP="00CC6F2C">
      <w:pPr>
        <w:rPr>
          <w:bCs/>
        </w:rPr>
      </w:pPr>
      <w:r w:rsidRPr="002E793D">
        <w:rPr>
          <w:bCs/>
        </w:rPr>
        <w:t xml:space="preserve">In addition to the material provided </w:t>
      </w:r>
      <w:r w:rsidR="000352D3">
        <w:rPr>
          <w:bCs/>
        </w:rPr>
        <w:t>previous</w:t>
      </w:r>
      <w:r w:rsidR="00723A04">
        <w:rPr>
          <w:bCs/>
        </w:rPr>
        <w:t xml:space="preserve">ly to WP 5B </w:t>
      </w:r>
      <w:r w:rsidR="00572503">
        <w:rPr>
          <w:bCs/>
        </w:rPr>
        <w:t>(</w:t>
      </w:r>
      <w:r w:rsidRPr="002E793D">
        <w:rPr>
          <w:bCs/>
        </w:rPr>
        <w:t xml:space="preserve">Doc. </w:t>
      </w:r>
      <w:r w:rsidRPr="00723A04">
        <w:rPr>
          <w:bCs/>
          <w:highlight w:val="yellow"/>
        </w:rPr>
        <w:t>5B/128</w:t>
      </w:r>
      <w:r w:rsidR="00572503">
        <w:rPr>
          <w:bCs/>
        </w:rPr>
        <w:t>)</w:t>
      </w:r>
      <w:r w:rsidRPr="002E793D">
        <w:rPr>
          <w:bCs/>
        </w:rPr>
        <w:t xml:space="preserve">, ICAO has compiled the below technical details (see </w:t>
      </w:r>
      <w:r>
        <w:rPr>
          <w:bCs/>
        </w:rPr>
        <w:t>T</w:t>
      </w:r>
      <w:r w:rsidRPr="002E793D">
        <w:rPr>
          <w:bCs/>
        </w:rPr>
        <w:t xml:space="preserve">able 1) using the applicable ITU Reports and Recommendations and </w:t>
      </w:r>
      <w:r>
        <w:rPr>
          <w:bCs/>
        </w:rPr>
        <w:t xml:space="preserve">upcoming </w:t>
      </w:r>
      <w:r w:rsidRPr="002E793D">
        <w:rPr>
          <w:bCs/>
        </w:rPr>
        <w:t>ICAO Standards and Recommended Practices (</w:t>
      </w:r>
      <w:commentRangeStart w:id="1"/>
      <w:r>
        <w:rPr>
          <w:bCs/>
        </w:rPr>
        <w:t xml:space="preserve">in the final stages of ICAO approval and expected for applicability in </w:t>
      </w:r>
      <w:r w:rsidR="00911E4F">
        <w:rPr>
          <w:bCs/>
        </w:rPr>
        <w:t xml:space="preserve">Nov </w:t>
      </w:r>
      <w:r>
        <w:rPr>
          <w:bCs/>
        </w:rPr>
        <w:t>2025</w:t>
      </w:r>
      <w:commentRangeEnd w:id="1"/>
      <w:r w:rsidR="00750FD5">
        <w:rPr>
          <w:rStyle w:val="CommentReference"/>
        </w:rPr>
        <w:commentReference w:id="1"/>
      </w:r>
      <w:r w:rsidRPr="002E793D">
        <w:rPr>
          <w:bCs/>
        </w:rPr>
        <w:t xml:space="preserve">), regarding the operational and technical characteristics that would apply </w:t>
      </w:r>
      <w:r>
        <w:rPr>
          <w:bCs/>
        </w:rPr>
        <w:t>to</w:t>
      </w:r>
      <w:r w:rsidRPr="002E793D">
        <w:rPr>
          <w:bCs/>
        </w:rPr>
        <w:t xml:space="preserve"> WAIC systems.</w:t>
      </w:r>
    </w:p>
    <w:p w14:paraId="15DAA6F2" w14:textId="77777777" w:rsidR="00CC6F2C" w:rsidRDefault="00CC6F2C" w:rsidP="00CC6F2C">
      <w:pPr>
        <w:rPr>
          <w:bCs/>
        </w:rPr>
      </w:pPr>
    </w:p>
    <w:p w14:paraId="00435D85" w14:textId="77777777" w:rsidR="00CC6F2C" w:rsidRDefault="00CC6F2C" w:rsidP="00CC6F2C">
      <w:pPr>
        <w:rPr>
          <w:bCs/>
        </w:rPr>
      </w:pPr>
      <w:r w:rsidRPr="00877305">
        <w:rPr>
          <w:bCs/>
        </w:rPr>
        <w:t>The technical characteristics presented in Table 1 should be utilized for conducting sharing studies, based on the following assumptions:</w:t>
      </w:r>
    </w:p>
    <w:p w14:paraId="3367755C" w14:textId="77777777" w:rsidR="00CC6F2C" w:rsidRDefault="00CC6F2C" w:rsidP="00CC6F2C">
      <w:pPr>
        <w:rPr>
          <w:bCs/>
          <w:highlight w:val="yellow"/>
        </w:rPr>
      </w:pPr>
    </w:p>
    <w:p w14:paraId="230E0D30" w14:textId="77777777" w:rsidR="00CC6F2C" w:rsidRPr="00877305" w:rsidRDefault="00CC6F2C" w:rsidP="00CC6F2C">
      <w:pPr>
        <w:pStyle w:val="ListParagraph"/>
        <w:numPr>
          <w:ilvl w:val="0"/>
          <w:numId w:val="9"/>
        </w:numPr>
        <w:rPr>
          <w:bCs/>
        </w:rPr>
      </w:pPr>
      <w:r w:rsidRPr="00877305">
        <w:rPr>
          <w:bCs/>
        </w:rPr>
        <w:t xml:space="preserve">Emitter abstraction: The </w:t>
      </w:r>
      <w:r>
        <w:rPr>
          <w:bCs/>
        </w:rPr>
        <w:t xml:space="preserve">aggregate </w:t>
      </w:r>
      <w:r w:rsidRPr="00877305">
        <w:rPr>
          <w:bCs/>
        </w:rPr>
        <w:t xml:space="preserve">emissions from all WAIC emitters onboard an aircraft (“Max. transmission power” in Table 1 below) can be represented by a single omnidirectional point source located at the geometrical center of the aircraft. This abstraction has been used in sharing studies contained in Report ITU-R M.2319 and is the basis for the definition of the maximum permissible </w:t>
      </w:r>
      <w:proofErr w:type="spellStart"/>
      <w:r w:rsidRPr="00877305">
        <w:rPr>
          <w:bCs/>
        </w:rPr>
        <w:t>e.i.r.p</w:t>
      </w:r>
      <w:proofErr w:type="spellEnd"/>
      <w:r w:rsidRPr="00877305">
        <w:rPr>
          <w:bCs/>
        </w:rPr>
        <w:t>. level of a WAIC system as contained in the ICAO SARPs text.</w:t>
      </w:r>
    </w:p>
    <w:p w14:paraId="6D1CA63A" w14:textId="77777777" w:rsidR="00CC6F2C" w:rsidRPr="00877305" w:rsidRDefault="00CC6F2C" w:rsidP="00CC6F2C">
      <w:pPr>
        <w:rPr>
          <w:bCs/>
        </w:rPr>
      </w:pPr>
    </w:p>
    <w:p w14:paraId="7F21FD52" w14:textId="77777777" w:rsidR="00CC6F2C" w:rsidRPr="00877305" w:rsidRDefault="00CC6F2C" w:rsidP="00CC6F2C">
      <w:pPr>
        <w:pStyle w:val="ListParagraph"/>
        <w:numPr>
          <w:ilvl w:val="0"/>
          <w:numId w:val="9"/>
        </w:numPr>
        <w:rPr>
          <w:bCs/>
        </w:rPr>
      </w:pPr>
      <w:r w:rsidRPr="00877305">
        <w:rPr>
          <w:bCs/>
        </w:rPr>
        <w:t>Receiver location: A receiving WAIC station, subject to potential interference caused by emissions from another radio system falling into the WAIC frequency band, is assumed to be located at a position on the aircraft that is closest to the transmit antenna of that radio system. This assumption ensures protection for WAIC receivers situated at the extremities of the aircraft, which are designed to reliably operate when exposed to a maximum interference power spectral density as contained in Table 1.</w:t>
      </w:r>
    </w:p>
    <w:p w14:paraId="5600358A" w14:textId="77777777" w:rsidR="00CC6F2C" w:rsidRPr="00877305" w:rsidRDefault="00CC6F2C" w:rsidP="00CC6F2C">
      <w:pPr>
        <w:rPr>
          <w:bCs/>
        </w:rPr>
      </w:pPr>
    </w:p>
    <w:p w14:paraId="6112C79F" w14:textId="5731C47A" w:rsidR="00CC6F2C" w:rsidRPr="00877305" w:rsidRDefault="00CC6F2C" w:rsidP="00CC6F2C">
      <w:r w:rsidRPr="00877305">
        <w:rPr>
          <w:bCs/>
        </w:rPr>
        <w:t xml:space="preserve">WP 5B is encouraged by ICAO to confirm to WP 5D the need to use this information, noting that </w:t>
      </w:r>
      <w:r w:rsidRPr="00877305">
        <w:t xml:space="preserve">these protection criteria apply to all WAIC </w:t>
      </w:r>
      <w:r>
        <w:t xml:space="preserve">emitters and </w:t>
      </w:r>
      <w:r w:rsidRPr="00877305">
        <w:t>receivers operating both within and outside the aircraft.</w:t>
      </w:r>
      <w:r w:rsidRPr="006010EF">
        <w:t xml:space="preserve"> </w:t>
      </w:r>
      <w:r>
        <w:t xml:space="preserve"> </w:t>
      </w:r>
    </w:p>
    <w:p w14:paraId="28810C75" w14:textId="77777777" w:rsidR="00CC6F2C" w:rsidRDefault="00CC6F2C" w:rsidP="00CC6F2C"/>
    <w:p w14:paraId="5054B872" w14:textId="677948ED" w:rsidR="00F24C20" w:rsidRDefault="00CC6F2C" w:rsidP="00723A04">
      <w:r>
        <w:t xml:space="preserve">It is further noted that </w:t>
      </w:r>
      <w:r w:rsidRPr="00877305">
        <w:t xml:space="preserve">coexistence between </w:t>
      </w:r>
      <w:r w:rsidR="00C2012F">
        <w:t xml:space="preserve">multiple WAIC </w:t>
      </w:r>
      <w:r w:rsidR="000C1C08">
        <w:t>systems</w:t>
      </w:r>
      <w:r w:rsidR="006472FC">
        <w:t>,</w:t>
      </w:r>
      <w:r w:rsidR="003A4611">
        <w:t xml:space="preserve"> </w:t>
      </w:r>
      <w:r w:rsidR="001A670B">
        <w:t xml:space="preserve">and also </w:t>
      </w:r>
      <w:proofErr w:type="gramStart"/>
      <w:r w:rsidR="001A670B">
        <w:t xml:space="preserve">the </w:t>
      </w:r>
      <w:r w:rsidR="003A4611">
        <w:t xml:space="preserve"> </w:t>
      </w:r>
      <w:r w:rsidR="001A670B">
        <w:t>radio</w:t>
      </w:r>
      <w:proofErr w:type="gramEnd"/>
      <w:r w:rsidR="001A670B">
        <w:t xml:space="preserve"> altimeter</w:t>
      </w:r>
      <w:r w:rsidR="006472FC">
        <w:t>,</w:t>
      </w:r>
      <w:r w:rsidR="00C2012F">
        <w:t xml:space="preserve"> </w:t>
      </w:r>
      <w:r w:rsidRPr="00877305">
        <w:t xml:space="preserve">installed on </w:t>
      </w:r>
      <w:r w:rsidR="00C2012F">
        <w:t>the same</w:t>
      </w:r>
      <w:r w:rsidRPr="00877305">
        <w:t xml:space="preserve"> aircraft is handled by the aircraft certification process and is out of scope of any sharing studies carried out by ITU-R.</w:t>
      </w:r>
      <w:r w:rsidR="00F24C20">
        <w:br w:type="page"/>
      </w:r>
    </w:p>
    <w:p w14:paraId="6BD76C7D" w14:textId="4045C99F" w:rsidR="00CC6F2C" w:rsidRPr="002E793D" w:rsidRDefault="00CC6F2C" w:rsidP="00CC6F2C">
      <w:pPr>
        <w:jc w:val="center"/>
      </w:pPr>
      <w:r w:rsidRPr="002E793D">
        <w:t>Table 1: WAIC RF-Characteristics</w:t>
      </w:r>
    </w:p>
    <w:p w14:paraId="4269EB06" w14:textId="77777777" w:rsidR="00CC6F2C" w:rsidRPr="002E793D" w:rsidRDefault="00CC6F2C" w:rsidP="00CC6F2C"/>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770"/>
        <w:gridCol w:w="1161"/>
        <w:gridCol w:w="992"/>
        <w:gridCol w:w="3953"/>
      </w:tblGrid>
      <w:tr w:rsidR="00CC6F2C" w:rsidRPr="002E793D" w14:paraId="0B4D8FF2" w14:textId="77777777" w:rsidTr="00321FA1">
        <w:trPr>
          <w:trHeight w:val="411"/>
          <w:tblHeader/>
          <w:jc w:val="center"/>
        </w:trPr>
        <w:tc>
          <w:tcPr>
            <w:tcW w:w="2459" w:type="dxa"/>
            <w:vAlign w:val="center"/>
          </w:tcPr>
          <w:p w14:paraId="746A2981" w14:textId="77777777" w:rsidR="00CC6F2C" w:rsidRPr="002E793D" w:rsidRDefault="00CC6F2C" w:rsidP="00321FA1">
            <w:pPr>
              <w:jc w:val="left"/>
              <w:rPr>
                <w:b/>
              </w:rPr>
            </w:pPr>
          </w:p>
        </w:tc>
        <w:tc>
          <w:tcPr>
            <w:tcW w:w="770" w:type="dxa"/>
            <w:vAlign w:val="center"/>
          </w:tcPr>
          <w:p w14:paraId="27C74262" w14:textId="77777777" w:rsidR="00CC6F2C" w:rsidRPr="002E793D" w:rsidRDefault="00CC6F2C" w:rsidP="00321FA1">
            <w:pPr>
              <w:jc w:val="center"/>
              <w:rPr>
                <w:b/>
              </w:rPr>
            </w:pPr>
            <w:r w:rsidRPr="002E793D">
              <w:rPr>
                <w:b/>
              </w:rPr>
              <w:t>Value</w:t>
            </w:r>
          </w:p>
        </w:tc>
        <w:tc>
          <w:tcPr>
            <w:tcW w:w="1161" w:type="dxa"/>
            <w:vAlign w:val="center"/>
          </w:tcPr>
          <w:p w14:paraId="224A81A5" w14:textId="77777777" w:rsidR="00CC6F2C" w:rsidRPr="002E793D" w:rsidRDefault="00CC6F2C" w:rsidP="00321FA1">
            <w:pPr>
              <w:jc w:val="center"/>
              <w:rPr>
                <w:b/>
              </w:rPr>
            </w:pPr>
            <w:r w:rsidRPr="002E793D">
              <w:rPr>
                <w:b/>
              </w:rPr>
              <w:t>Unit</w:t>
            </w:r>
          </w:p>
        </w:tc>
        <w:tc>
          <w:tcPr>
            <w:tcW w:w="992" w:type="dxa"/>
            <w:vAlign w:val="center"/>
          </w:tcPr>
          <w:p w14:paraId="1F5C5AD4" w14:textId="77777777" w:rsidR="00CC6F2C" w:rsidRPr="002E793D" w:rsidRDefault="00CC6F2C" w:rsidP="00321FA1">
            <w:pPr>
              <w:jc w:val="center"/>
              <w:rPr>
                <w:b/>
              </w:rPr>
            </w:pPr>
            <w:r w:rsidRPr="002E793D">
              <w:rPr>
                <w:b/>
              </w:rPr>
              <w:t>Symbol</w:t>
            </w:r>
          </w:p>
        </w:tc>
        <w:tc>
          <w:tcPr>
            <w:tcW w:w="3953" w:type="dxa"/>
            <w:vAlign w:val="center"/>
          </w:tcPr>
          <w:p w14:paraId="35154039" w14:textId="77777777" w:rsidR="00CC6F2C" w:rsidRPr="002E793D" w:rsidRDefault="00CC6F2C" w:rsidP="00321FA1">
            <w:pPr>
              <w:jc w:val="center"/>
              <w:rPr>
                <w:b/>
              </w:rPr>
            </w:pPr>
            <w:r w:rsidRPr="002E793D">
              <w:rPr>
                <w:b/>
              </w:rPr>
              <w:t>Comment</w:t>
            </w:r>
            <w:r>
              <w:rPr>
                <w:b/>
              </w:rPr>
              <w:t>/Reference</w:t>
            </w:r>
          </w:p>
        </w:tc>
      </w:tr>
      <w:tr w:rsidR="00CC6F2C" w:rsidRPr="002E793D" w14:paraId="318B6F85" w14:textId="77777777" w:rsidTr="00321FA1">
        <w:trPr>
          <w:trHeight w:val="197"/>
          <w:jc w:val="center"/>
        </w:trPr>
        <w:tc>
          <w:tcPr>
            <w:tcW w:w="2459" w:type="dxa"/>
            <w:vAlign w:val="center"/>
          </w:tcPr>
          <w:p w14:paraId="3997E419" w14:textId="77777777" w:rsidR="00CC6F2C" w:rsidRPr="002E793D" w:rsidRDefault="00CC6F2C" w:rsidP="00321FA1">
            <w:pPr>
              <w:jc w:val="left"/>
              <w:rPr>
                <w:b/>
              </w:rPr>
            </w:pPr>
            <w:r w:rsidRPr="002E793D">
              <w:rPr>
                <w:b/>
              </w:rPr>
              <w:t>Transmitter</w:t>
            </w:r>
          </w:p>
        </w:tc>
        <w:tc>
          <w:tcPr>
            <w:tcW w:w="770" w:type="dxa"/>
            <w:vAlign w:val="center"/>
          </w:tcPr>
          <w:p w14:paraId="13165ADE" w14:textId="77777777" w:rsidR="00CC6F2C" w:rsidRPr="002E793D" w:rsidRDefault="00CC6F2C" w:rsidP="00321FA1">
            <w:pPr>
              <w:jc w:val="center"/>
            </w:pPr>
          </w:p>
        </w:tc>
        <w:tc>
          <w:tcPr>
            <w:tcW w:w="1161" w:type="dxa"/>
            <w:vAlign w:val="center"/>
          </w:tcPr>
          <w:p w14:paraId="5BA8AA93" w14:textId="77777777" w:rsidR="00CC6F2C" w:rsidRPr="002E793D" w:rsidRDefault="00CC6F2C" w:rsidP="00321FA1">
            <w:pPr>
              <w:jc w:val="center"/>
            </w:pPr>
          </w:p>
        </w:tc>
        <w:tc>
          <w:tcPr>
            <w:tcW w:w="992" w:type="dxa"/>
            <w:vAlign w:val="center"/>
          </w:tcPr>
          <w:p w14:paraId="70A49E85" w14:textId="77777777" w:rsidR="00CC6F2C" w:rsidRPr="002E793D" w:rsidRDefault="00CC6F2C" w:rsidP="00321FA1">
            <w:pPr>
              <w:jc w:val="center"/>
            </w:pPr>
          </w:p>
        </w:tc>
        <w:tc>
          <w:tcPr>
            <w:tcW w:w="3953" w:type="dxa"/>
            <w:vAlign w:val="center"/>
          </w:tcPr>
          <w:p w14:paraId="76623B57" w14:textId="77777777" w:rsidR="00CC6F2C" w:rsidRPr="002E793D" w:rsidRDefault="00CC6F2C" w:rsidP="00321FA1">
            <w:pPr>
              <w:jc w:val="left"/>
            </w:pPr>
          </w:p>
        </w:tc>
      </w:tr>
      <w:tr w:rsidR="00CC6F2C" w:rsidRPr="002E793D" w14:paraId="24C49E1B" w14:textId="77777777" w:rsidTr="00321FA1">
        <w:trPr>
          <w:trHeight w:val="859"/>
          <w:jc w:val="center"/>
        </w:trPr>
        <w:tc>
          <w:tcPr>
            <w:tcW w:w="2459" w:type="dxa"/>
            <w:vAlign w:val="center"/>
          </w:tcPr>
          <w:p w14:paraId="4D41FEFB" w14:textId="77777777" w:rsidR="00CC6F2C" w:rsidRPr="002E793D" w:rsidRDefault="00CC6F2C" w:rsidP="00321FA1">
            <w:pPr>
              <w:jc w:val="left"/>
            </w:pPr>
            <w:r w:rsidRPr="002E793D">
              <w:t xml:space="preserve">Transmitter antenna gain </w:t>
            </w:r>
          </w:p>
        </w:tc>
        <w:tc>
          <w:tcPr>
            <w:tcW w:w="770" w:type="dxa"/>
            <w:vAlign w:val="center"/>
          </w:tcPr>
          <w:p w14:paraId="77DFCFD4" w14:textId="77777777" w:rsidR="00CC6F2C" w:rsidRPr="002E793D" w:rsidRDefault="00CC6F2C" w:rsidP="00321FA1">
            <w:pPr>
              <w:jc w:val="center"/>
            </w:pPr>
            <w:r w:rsidRPr="002E793D">
              <w:t>0</w:t>
            </w:r>
          </w:p>
        </w:tc>
        <w:tc>
          <w:tcPr>
            <w:tcW w:w="1161" w:type="dxa"/>
            <w:vAlign w:val="center"/>
          </w:tcPr>
          <w:p w14:paraId="6034E064" w14:textId="77777777" w:rsidR="00CC6F2C" w:rsidRPr="002E793D" w:rsidRDefault="00CC6F2C" w:rsidP="00321FA1">
            <w:pPr>
              <w:jc w:val="center"/>
            </w:pPr>
            <w:r w:rsidRPr="002E793D">
              <w:t>dBi</w:t>
            </w:r>
          </w:p>
        </w:tc>
        <w:tc>
          <w:tcPr>
            <w:tcW w:w="992" w:type="dxa"/>
            <w:vAlign w:val="center"/>
          </w:tcPr>
          <w:p w14:paraId="67913737" w14:textId="77777777" w:rsidR="00CC6F2C" w:rsidRPr="002E793D" w:rsidRDefault="00CC6F2C" w:rsidP="00321FA1">
            <w:pPr>
              <w:jc w:val="center"/>
              <w:rPr>
                <w:i/>
                <w:iCs/>
              </w:rPr>
            </w:pPr>
            <w:r w:rsidRPr="002E793D">
              <w:rPr>
                <w:i/>
                <w:iCs/>
              </w:rPr>
              <w:t>G</w:t>
            </w:r>
            <w:r w:rsidRPr="002E793D">
              <w:rPr>
                <w:vertAlign w:val="subscript"/>
              </w:rPr>
              <w:t>t</w:t>
            </w:r>
          </w:p>
        </w:tc>
        <w:tc>
          <w:tcPr>
            <w:tcW w:w="3953" w:type="dxa"/>
            <w:vAlign w:val="center"/>
          </w:tcPr>
          <w:p w14:paraId="49001F7B" w14:textId="77777777" w:rsidR="00CC6F2C" w:rsidRPr="002E793D" w:rsidRDefault="00CC6F2C" w:rsidP="00321FA1">
            <w:pPr>
              <w:pStyle w:val="CommentText"/>
              <w:jc w:val="left"/>
            </w:pPr>
            <w:r w:rsidRPr="006C1B13">
              <w:rPr>
                <w:sz w:val="22"/>
                <w:szCs w:val="22"/>
              </w:rPr>
              <w:t>from Recommendation ITU-R M.2067-0, Table 1, column: “Low data rate system”</w:t>
            </w:r>
          </w:p>
        </w:tc>
      </w:tr>
      <w:tr w:rsidR="00CC6F2C" w:rsidRPr="002E793D" w14:paraId="7519AEA2" w14:textId="77777777" w:rsidTr="00321FA1">
        <w:trPr>
          <w:trHeight w:val="197"/>
          <w:jc w:val="center"/>
        </w:trPr>
        <w:tc>
          <w:tcPr>
            <w:tcW w:w="2459" w:type="dxa"/>
            <w:vAlign w:val="center"/>
          </w:tcPr>
          <w:p w14:paraId="25F24548" w14:textId="77777777" w:rsidR="00CC6F2C" w:rsidRPr="002E793D" w:rsidRDefault="00CC6F2C" w:rsidP="00321FA1">
            <w:pPr>
              <w:jc w:val="left"/>
            </w:pPr>
            <w:r w:rsidRPr="002E793D">
              <w:t>Max. transmission power</w:t>
            </w:r>
          </w:p>
        </w:tc>
        <w:tc>
          <w:tcPr>
            <w:tcW w:w="770" w:type="dxa"/>
            <w:vAlign w:val="center"/>
          </w:tcPr>
          <w:p w14:paraId="5A589BF8" w14:textId="77777777" w:rsidR="00CC6F2C" w:rsidRPr="002E793D" w:rsidRDefault="00CC6F2C" w:rsidP="00321FA1">
            <w:pPr>
              <w:jc w:val="center"/>
            </w:pPr>
            <w:r w:rsidRPr="002E793D">
              <w:t>-20</w:t>
            </w:r>
          </w:p>
        </w:tc>
        <w:tc>
          <w:tcPr>
            <w:tcW w:w="1161" w:type="dxa"/>
            <w:vAlign w:val="center"/>
          </w:tcPr>
          <w:p w14:paraId="14645782" w14:textId="77777777" w:rsidR="00CC6F2C" w:rsidRPr="002E793D" w:rsidRDefault="00CC6F2C" w:rsidP="00321FA1">
            <w:pPr>
              <w:jc w:val="center"/>
            </w:pPr>
            <w:r w:rsidRPr="002E793D">
              <w:t>dBm (</w:t>
            </w:r>
            <w:proofErr w:type="spellStart"/>
            <w:r w:rsidRPr="002E793D">
              <w:t>e.i.r.p</w:t>
            </w:r>
            <w:proofErr w:type="spellEnd"/>
            <w:r w:rsidRPr="002E793D">
              <w:t>.)</w:t>
            </w:r>
          </w:p>
        </w:tc>
        <w:tc>
          <w:tcPr>
            <w:tcW w:w="992" w:type="dxa"/>
            <w:vAlign w:val="center"/>
          </w:tcPr>
          <w:p w14:paraId="687DC49B" w14:textId="77777777" w:rsidR="00CC6F2C" w:rsidRPr="002E793D" w:rsidRDefault="00CC6F2C" w:rsidP="00321FA1">
            <w:pPr>
              <w:jc w:val="center"/>
            </w:pPr>
            <w:r w:rsidRPr="002E793D">
              <w:rPr>
                <w:i/>
                <w:iCs/>
              </w:rPr>
              <w:t>P</w:t>
            </w:r>
            <w:r w:rsidRPr="002E793D">
              <w:rPr>
                <w:vertAlign w:val="subscript"/>
              </w:rPr>
              <w:t>t</w:t>
            </w:r>
          </w:p>
        </w:tc>
        <w:tc>
          <w:tcPr>
            <w:tcW w:w="3953" w:type="dxa"/>
            <w:vAlign w:val="center"/>
          </w:tcPr>
          <w:p w14:paraId="3BEC58DB" w14:textId="77777777" w:rsidR="00CC6F2C" w:rsidRPr="002E793D" w:rsidRDefault="00CC6F2C" w:rsidP="00321FA1">
            <w:pPr>
              <w:jc w:val="left"/>
            </w:pPr>
            <w:r w:rsidRPr="005018AD">
              <w:t>This level is the power of the total aggregate emissions of all WAIC transmitters on board an aircraft from Report ITU-R M.2319-0, Table A-1.7</w:t>
            </w:r>
            <w:r>
              <w:t>,</w:t>
            </w:r>
            <w:r w:rsidRPr="005018AD">
              <w:t xml:space="preserve"> value for angle = 0°, assuming an isotopically radiating point source in accordance with ICAO SARPs requirement. It is also assumed to be the maximum power level of an individual transmitter.</w:t>
            </w:r>
          </w:p>
        </w:tc>
      </w:tr>
      <w:tr w:rsidR="00CC6F2C" w:rsidRPr="002E793D" w14:paraId="3D89C494" w14:textId="77777777" w:rsidTr="00321FA1">
        <w:trPr>
          <w:trHeight w:val="197"/>
          <w:jc w:val="center"/>
        </w:trPr>
        <w:tc>
          <w:tcPr>
            <w:tcW w:w="2459" w:type="dxa"/>
            <w:vAlign w:val="center"/>
          </w:tcPr>
          <w:p w14:paraId="754D7E53" w14:textId="77777777" w:rsidR="00CC6F2C" w:rsidRPr="002E793D" w:rsidRDefault="00CC6F2C" w:rsidP="00321FA1">
            <w:pPr>
              <w:jc w:val="left"/>
              <w:rPr>
                <w:b/>
              </w:rPr>
            </w:pPr>
            <w:r w:rsidRPr="002E793D">
              <w:t>3 dB emission bandwidth</w:t>
            </w:r>
          </w:p>
        </w:tc>
        <w:tc>
          <w:tcPr>
            <w:tcW w:w="770" w:type="dxa"/>
            <w:vAlign w:val="center"/>
          </w:tcPr>
          <w:p w14:paraId="38F4318F" w14:textId="77777777" w:rsidR="00CC6F2C" w:rsidRPr="002E793D" w:rsidRDefault="00CC6F2C" w:rsidP="00321FA1">
            <w:pPr>
              <w:jc w:val="center"/>
            </w:pPr>
            <w:r w:rsidRPr="002E793D">
              <w:t>2.6</w:t>
            </w:r>
          </w:p>
        </w:tc>
        <w:tc>
          <w:tcPr>
            <w:tcW w:w="1161" w:type="dxa"/>
            <w:vAlign w:val="center"/>
          </w:tcPr>
          <w:p w14:paraId="0B1E1B16" w14:textId="77777777" w:rsidR="00CC6F2C" w:rsidRPr="002E793D" w:rsidRDefault="00CC6F2C" w:rsidP="00321FA1">
            <w:pPr>
              <w:jc w:val="center"/>
            </w:pPr>
            <w:r w:rsidRPr="002E793D">
              <w:t>MHz</w:t>
            </w:r>
          </w:p>
        </w:tc>
        <w:tc>
          <w:tcPr>
            <w:tcW w:w="992" w:type="dxa"/>
            <w:vAlign w:val="center"/>
          </w:tcPr>
          <w:p w14:paraId="1D01D032" w14:textId="77777777" w:rsidR="00CC6F2C" w:rsidRPr="002E793D" w:rsidRDefault="00CC6F2C" w:rsidP="00321FA1">
            <w:pPr>
              <w:jc w:val="center"/>
            </w:pPr>
            <w:proofErr w:type="spellStart"/>
            <w:r w:rsidRPr="002E793D">
              <w:rPr>
                <w:i/>
                <w:iCs/>
              </w:rPr>
              <w:t>B</w:t>
            </w:r>
            <w:r w:rsidRPr="002E793D">
              <w:rPr>
                <w:vertAlign w:val="subscript"/>
              </w:rPr>
              <w:t>t</w:t>
            </w:r>
            <w:proofErr w:type="spellEnd"/>
          </w:p>
        </w:tc>
        <w:tc>
          <w:tcPr>
            <w:tcW w:w="3953" w:type="dxa"/>
            <w:vAlign w:val="center"/>
          </w:tcPr>
          <w:p w14:paraId="699CC04A" w14:textId="77777777" w:rsidR="00CC6F2C" w:rsidRPr="006C1B13" w:rsidRDefault="00CC6F2C" w:rsidP="00321FA1">
            <w:pPr>
              <w:pStyle w:val="CommentText"/>
              <w:jc w:val="left"/>
              <w:rPr>
                <w:sz w:val="22"/>
                <w:szCs w:val="22"/>
              </w:rPr>
            </w:pPr>
            <w:r>
              <w:rPr>
                <w:sz w:val="22"/>
                <w:szCs w:val="22"/>
              </w:rPr>
              <w:t xml:space="preserve">from </w:t>
            </w:r>
            <w:r w:rsidRPr="006C1B13">
              <w:rPr>
                <w:sz w:val="22"/>
                <w:szCs w:val="22"/>
              </w:rPr>
              <w:t>Recommendation ITU-R M.2067-0, Table 1, column: “Low data rate system”</w:t>
            </w:r>
          </w:p>
        </w:tc>
      </w:tr>
      <w:tr w:rsidR="00CC6F2C" w:rsidRPr="002E793D" w14:paraId="20B9ED23" w14:textId="77777777" w:rsidTr="00321FA1">
        <w:trPr>
          <w:trHeight w:val="197"/>
          <w:jc w:val="center"/>
        </w:trPr>
        <w:tc>
          <w:tcPr>
            <w:tcW w:w="2459" w:type="dxa"/>
            <w:vAlign w:val="center"/>
          </w:tcPr>
          <w:p w14:paraId="6947389B" w14:textId="77777777" w:rsidR="00CC6F2C" w:rsidRPr="002E793D" w:rsidRDefault="00CC6F2C" w:rsidP="00321FA1">
            <w:pPr>
              <w:jc w:val="left"/>
              <w:rPr>
                <w:b/>
              </w:rPr>
            </w:pPr>
            <w:r w:rsidRPr="002E793D">
              <w:rPr>
                <w:b/>
              </w:rPr>
              <w:t>Receiver</w:t>
            </w:r>
          </w:p>
        </w:tc>
        <w:tc>
          <w:tcPr>
            <w:tcW w:w="770" w:type="dxa"/>
            <w:vAlign w:val="center"/>
          </w:tcPr>
          <w:p w14:paraId="6C538027" w14:textId="77777777" w:rsidR="00CC6F2C" w:rsidRPr="002E793D" w:rsidRDefault="00CC6F2C" w:rsidP="00321FA1">
            <w:pPr>
              <w:jc w:val="center"/>
            </w:pPr>
          </w:p>
        </w:tc>
        <w:tc>
          <w:tcPr>
            <w:tcW w:w="1161" w:type="dxa"/>
            <w:vAlign w:val="center"/>
          </w:tcPr>
          <w:p w14:paraId="5A683CF2" w14:textId="77777777" w:rsidR="00CC6F2C" w:rsidRPr="002E793D" w:rsidRDefault="00CC6F2C" w:rsidP="00321FA1">
            <w:pPr>
              <w:jc w:val="center"/>
            </w:pPr>
          </w:p>
        </w:tc>
        <w:tc>
          <w:tcPr>
            <w:tcW w:w="992" w:type="dxa"/>
            <w:vAlign w:val="center"/>
          </w:tcPr>
          <w:p w14:paraId="6BF6F597" w14:textId="77777777" w:rsidR="00CC6F2C" w:rsidRPr="002E793D" w:rsidRDefault="00CC6F2C" w:rsidP="00321FA1">
            <w:pPr>
              <w:jc w:val="center"/>
            </w:pPr>
          </w:p>
        </w:tc>
        <w:tc>
          <w:tcPr>
            <w:tcW w:w="3953" w:type="dxa"/>
            <w:vAlign w:val="center"/>
          </w:tcPr>
          <w:p w14:paraId="7C388E59" w14:textId="77777777" w:rsidR="00CC6F2C" w:rsidRPr="002E793D" w:rsidRDefault="00CC6F2C" w:rsidP="00321FA1">
            <w:pPr>
              <w:jc w:val="left"/>
            </w:pPr>
          </w:p>
        </w:tc>
      </w:tr>
      <w:tr w:rsidR="00CC6F2C" w:rsidRPr="002E793D" w14:paraId="1E63B5C5" w14:textId="77777777" w:rsidTr="00321FA1">
        <w:trPr>
          <w:trHeight w:val="197"/>
          <w:jc w:val="center"/>
        </w:trPr>
        <w:tc>
          <w:tcPr>
            <w:tcW w:w="2459" w:type="dxa"/>
            <w:vAlign w:val="center"/>
          </w:tcPr>
          <w:p w14:paraId="17CB147C" w14:textId="77777777" w:rsidR="00CC6F2C" w:rsidRPr="002E793D" w:rsidRDefault="00CC6F2C" w:rsidP="00321FA1">
            <w:pPr>
              <w:jc w:val="left"/>
            </w:pPr>
            <w:r w:rsidRPr="002E793D">
              <w:t>Receiver antenna gain</w:t>
            </w:r>
          </w:p>
        </w:tc>
        <w:tc>
          <w:tcPr>
            <w:tcW w:w="770" w:type="dxa"/>
            <w:vAlign w:val="center"/>
          </w:tcPr>
          <w:p w14:paraId="64DD986F" w14:textId="77777777" w:rsidR="00CC6F2C" w:rsidRPr="002E793D" w:rsidRDefault="00CC6F2C" w:rsidP="00321FA1">
            <w:pPr>
              <w:jc w:val="center"/>
            </w:pPr>
            <w:r w:rsidRPr="002E793D">
              <w:t>0</w:t>
            </w:r>
          </w:p>
        </w:tc>
        <w:tc>
          <w:tcPr>
            <w:tcW w:w="1161" w:type="dxa"/>
            <w:vAlign w:val="center"/>
          </w:tcPr>
          <w:p w14:paraId="242DCDCA" w14:textId="77777777" w:rsidR="00CC6F2C" w:rsidRPr="002E793D" w:rsidRDefault="00CC6F2C" w:rsidP="00321FA1">
            <w:pPr>
              <w:jc w:val="center"/>
            </w:pPr>
            <w:r w:rsidRPr="002E793D">
              <w:t>dBi</w:t>
            </w:r>
          </w:p>
        </w:tc>
        <w:tc>
          <w:tcPr>
            <w:tcW w:w="992" w:type="dxa"/>
            <w:vAlign w:val="center"/>
          </w:tcPr>
          <w:p w14:paraId="0C3C94B4" w14:textId="77777777" w:rsidR="00CC6F2C" w:rsidRPr="002E793D" w:rsidRDefault="00CC6F2C" w:rsidP="00321FA1">
            <w:pPr>
              <w:jc w:val="center"/>
            </w:pPr>
            <w:r w:rsidRPr="002E793D">
              <w:rPr>
                <w:i/>
                <w:iCs/>
              </w:rPr>
              <w:t>G</w:t>
            </w:r>
            <w:r w:rsidRPr="002E793D">
              <w:rPr>
                <w:vertAlign w:val="subscript"/>
              </w:rPr>
              <w:t>r</w:t>
            </w:r>
          </w:p>
        </w:tc>
        <w:tc>
          <w:tcPr>
            <w:tcW w:w="3953" w:type="dxa"/>
            <w:vAlign w:val="center"/>
          </w:tcPr>
          <w:p w14:paraId="0B217A76" w14:textId="77777777" w:rsidR="00CC6F2C" w:rsidRPr="002E793D" w:rsidRDefault="00CC6F2C" w:rsidP="00321FA1">
            <w:pPr>
              <w:pStyle w:val="CommentText"/>
              <w:jc w:val="left"/>
            </w:pPr>
            <w:r>
              <w:rPr>
                <w:sz w:val="22"/>
                <w:szCs w:val="22"/>
              </w:rPr>
              <w:t xml:space="preserve">from </w:t>
            </w:r>
            <w:r w:rsidRPr="006C1B13">
              <w:rPr>
                <w:sz w:val="22"/>
                <w:szCs w:val="22"/>
              </w:rPr>
              <w:t>Recommendation ITU-R M.2067-0, Table 1, column: “Low data rate system”</w:t>
            </w:r>
          </w:p>
        </w:tc>
      </w:tr>
      <w:tr w:rsidR="00CC6F2C" w:rsidRPr="002E793D" w14:paraId="1A5967C7" w14:textId="77777777" w:rsidTr="00321FA1">
        <w:trPr>
          <w:trHeight w:val="197"/>
          <w:jc w:val="center"/>
        </w:trPr>
        <w:tc>
          <w:tcPr>
            <w:tcW w:w="2459" w:type="dxa"/>
            <w:vAlign w:val="center"/>
          </w:tcPr>
          <w:p w14:paraId="7241032E" w14:textId="77777777" w:rsidR="00CC6F2C" w:rsidRPr="002E793D" w:rsidRDefault="00CC6F2C" w:rsidP="00321FA1">
            <w:pPr>
              <w:jc w:val="left"/>
            </w:pPr>
            <w:r w:rsidRPr="002E793D">
              <w:t>Receiver IF-bandwidth</w:t>
            </w:r>
          </w:p>
        </w:tc>
        <w:tc>
          <w:tcPr>
            <w:tcW w:w="770" w:type="dxa"/>
            <w:vAlign w:val="center"/>
          </w:tcPr>
          <w:p w14:paraId="4323F9E4" w14:textId="77777777" w:rsidR="00CC6F2C" w:rsidRPr="002E793D" w:rsidRDefault="00CC6F2C" w:rsidP="00321FA1">
            <w:pPr>
              <w:jc w:val="center"/>
            </w:pPr>
            <w:r w:rsidRPr="002E793D">
              <w:t>2.6</w:t>
            </w:r>
          </w:p>
        </w:tc>
        <w:tc>
          <w:tcPr>
            <w:tcW w:w="1161" w:type="dxa"/>
            <w:vAlign w:val="center"/>
          </w:tcPr>
          <w:p w14:paraId="5636752C" w14:textId="77777777" w:rsidR="00CC6F2C" w:rsidRPr="002E793D" w:rsidRDefault="00CC6F2C" w:rsidP="00321FA1">
            <w:pPr>
              <w:jc w:val="center"/>
            </w:pPr>
            <w:r w:rsidRPr="002E793D">
              <w:t>MHz</w:t>
            </w:r>
          </w:p>
        </w:tc>
        <w:tc>
          <w:tcPr>
            <w:tcW w:w="992" w:type="dxa"/>
            <w:vAlign w:val="center"/>
          </w:tcPr>
          <w:p w14:paraId="0239EE8E" w14:textId="77777777" w:rsidR="00CC6F2C" w:rsidRPr="002E793D" w:rsidRDefault="00CC6F2C" w:rsidP="00321FA1">
            <w:pPr>
              <w:jc w:val="center"/>
            </w:pPr>
            <w:r w:rsidRPr="002E793D">
              <w:rPr>
                <w:i/>
                <w:iCs/>
              </w:rPr>
              <w:t>B</w:t>
            </w:r>
            <w:r w:rsidRPr="002E793D">
              <w:rPr>
                <w:vertAlign w:val="subscript"/>
              </w:rPr>
              <w:t>r</w:t>
            </w:r>
          </w:p>
        </w:tc>
        <w:tc>
          <w:tcPr>
            <w:tcW w:w="3953" w:type="dxa"/>
            <w:vAlign w:val="center"/>
          </w:tcPr>
          <w:p w14:paraId="038181B3" w14:textId="77777777" w:rsidR="00CC6F2C" w:rsidRPr="002E793D" w:rsidRDefault="00CC6F2C" w:rsidP="00321FA1">
            <w:pPr>
              <w:jc w:val="left"/>
            </w:pPr>
            <w:r w:rsidRPr="002E793D">
              <w:t xml:space="preserve">from </w:t>
            </w:r>
            <w:r w:rsidRPr="006C1B13">
              <w:t>Recommendation ITU-R M.2067-0, Table 1, column: “Low data rate system”</w:t>
            </w:r>
          </w:p>
        </w:tc>
      </w:tr>
      <w:tr w:rsidR="00CC6F2C" w:rsidRPr="002E793D" w14:paraId="111A0F96" w14:textId="77777777" w:rsidTr="00321FA1">
        <w:trPr>
          <w:trHeight w:val="197"/>
          <w:jc w:val="center"/>
        </w:trPr>
        <w:tc>
          <w:tcPr>
            <w:tcW w:w="2459" w:type="dxa"/>
            <w:vAlign w:val="center"/>
          </w:tcPr>
          <w:p w14:paraId="72EF0D28" w14:textId="77777777" w:rsidR="00CC6F2C" w:rsidRPr="002E793D" w:rsidRDefault="00CC6F2C" w:rsidP="00321FA1">
            <w:pPr>
              <w:jc w:val="left"/>
            </w:pPr>
            <w:r w:rsidRPr="002E793D">
              <w:t>Receiver noise figure</w:t>
            </w:r>
          </w:p>
        </w:tc>
        <w:tc>
          <w:tcPr>
            <w:tcW w:w="770" w:type="dxa"/>
            <w:vAlign w:val="center"/>
          </w:tcPr>
          <w:p w14:paraId="57D89A40" w14:textId="77777777" w:rsidR="00CC6F2C" w:rsidRPr="002E793D" w:rsidRDefault="00CC6F2C" w:rsidP="00321FA1">
            <w:pPr>
              <w:jc w:val="center"/>
            </w:pPr>
            <w:r w:rsidRPr="002E793D">
              <w:t>8</w:t>
            </w:r>
          </w:p>
        </w:tc>
        <w:tc>
          <w:tcPr>
            <w:tcW w:w="1161" w:type="dxa"/>
            <w:vAlign w:val="center"/>
          </w:tcPr>
          <w:p w14:paraId="2BA25BE6" w14:textId="77777777" w:rsidR="00CC6F2C" w:rsidRPr="002E793D" w:rsidRDefault="00CC6F2C" w:rsidP="00321FA1">
            <w:pPr>
              <w:jc w:val="center"/>
            </w:pPr>
            <w:r w:rsidRPr="002E793D">
              <w:t>dB</w:t>
            </w:r>
          </w:p>
        </w:tc>
        <w:tc>
          <w:tcPr>
            <w:tcW w:w="992" w:type="dxa"/>
            <w:vAlign w:val="center"/>
          </w:tcPr>
          <w:p w14:paraId="0EAC4772" w14:textId="77777777" w:rsidR="00CC6F2C" w:rsidRPr="002E793D" w:rsidRDefault="00CC6F2C" w:rsidP="00321FA1">
            <w:pPr>
              <w:jc w:val="center"/>
              <w:rPr>
                <w:i/>
                <w:iCs/>
              </w:rPr>
            </w:pPr>
            <w:r w:rsidRPr="002E793D">
              <w:rPr>
                <w:i/>
                <w:iCs/>
              </w:rPr>
              <w:t>NF</w:t>
            </w:r>
          </w:p>
        </w:tc>
        <w:tc>
          <w:tcPr>
            <w:tcW w:w="3953" w:type="dxa"/>
            <w:vAlign w:val="center"/>
          </w:tcPr>
          <w:p w14:paraId="023D9F6F" w14:textId="77777777" w:rsidR="00CC6F2C" w:rsidRPr="002E793D" w:rsidRDefault="00CC6F2C" w:rsidP="00321FA1">
            <w:pPr>
              <w:jc w:val="left"/>
            </w:pPr>
            <w:r>
              <w:t xml:space="preserve">2dB </w:t>
            </w:r>
            <w:r w:rsidRPr="002E793D">
              <w:t xml:space="preserve">better than </w:t>
            </w:r>
            <w:r w:rsidRPr="007971C5">
              <w:t>Recommendation ITU-R M.2067-0, Table 1, column: “Low data rate system”</w:t>
            </w:r>
          </w:p>
        </w:tc>
      </w:tr>
      <w:tr w:rsidR="00CC6F2C" w:rsidRPr="002E793D" w14:paraId="19F0F78D" w14:textId="77777777" w:rsidTr="00321FA1">
        <w:trPr>
          <w:trHeight w:val="197"/>
          <w:jc w:val="center"/>
        </w:trPr>
        <w:tc>
          <w:tcPr>
            <w:tcW w:w="2459" w:type="dxa"/>
            <w:vAlign w:val="center"/>
          </w:tcPr>
          <w:p w14:paraId="2FD4B20E" w14:textId="77777777" w:rsidR="00CC6F2C" w:rsidRPr="002E793D" w:rsidRDefault="00CC6F2C" w:rsidP="00321FA1">
            <w:pPr>
              <w:jc w:val="left"/>
            </w:pPr>
            <w:r w:rsidRPr="002E793D">
              <w:t xml:space="preserve">Thermal noise </w:t>
            </w:r>
            <w:r>
              <w:t>power</w:t>
            </w:r>
            <w:r w:rsidRPr="002E793D">
              <w:t xml:space="preserve"> (</w:t>
            </w:r>
            <w:proofErr w:type="spellStart"/>
            <w:r w:rsidRPr="002E793D">
              <w:t>kTB</w:t>
            </w:r>
            <w:proofErr w:type="spellEnd"/>
            <w:r w:rsidRPr="002E793D">
              <w:t>)</w:t>
            </w:r>
          </w:p>
        </w:tc>
        <w:tc>
          <w:tcPr>
            <w:tcW w:w="770" w:type="dxa"/>
            <w:vAlign w:val="center"/>
          </w:tcPr>
          <w:p w14:paraId="0DBF9549" w14:textId="77777777" w:rsidR="00CC6F2C" w:rsidRPr="002E793D" w:rsidRDefault="00CC6F2C" w:rsidP="00321FA1">
            <w:pPr>
              <w:jc w:val="center"/>
            </w:pPr>
            <w:r w:rsidRPr="002E793D">
              <w:t>-110</w:t>
            </w:r>
          </w:p>
        </w:tc>
        <w:tc>
          <w:tcPr>
            <w:tcW w:w="1161" w:type="dxa"/>
            <w:vAlign w:val="center"/>
          </w:tcPr>
          <w:p w14:paraId="09CECEF7" w14:textId="77777777" w:rsidR="00CC6F2C" w:rsidRPr="002E793D" w:rsidRDefault="00CC6F2C" w:rsidP="00321FA1">
            <w:pPr>
              <w:jc w:val="center"/>
            </w:pPr>
            <w:r w:rsidRPr="002E793D">
              <w:t>dBm</w:t>
            </w:r>
          </w:p>
        </w:tc>
        <w:tc>
          <w:tcPr>
            <w:tcW w:w="992" w:type="dxa"/>
            <w:vAlign w:val="center"/>
          </w:tcPr>
          <w:p w14:paraId="5DE68B1B" w14:textId="77777777" w:rsidR="00CC6F2C" w:rsidRPr="002E793D" w:rsidRDefault="00CC6F2C" w:rsidP="00321FA1">
            <w:pPr>
              <w:jc w:val="center"/>
              <w:rPr>
                <w:i/>
                <w:iCs/>
              </w:rPr>
            </w:pPr>
            <w:r>
              <w:rPr>
                <w:i/>
                <w:iCs/>
              </w:rPr>
              <w:t>P</w:t>
            </w:r>
            <w:r w:rsidRPr="00F6605D">
              <w:rPr>
                <w:vertAlign w:val="subscript"/>
              </w:rPr>
              <w:t>N</w:t>
            </w:r>
          </w:p>
        </w:tc>
        <w:tc>
          <w:tcPr>
            <w:tcW w:w="3953" w:type="dxa"/>
            <w:vAlign w:val="center"/>
          </w:tcPr>
          <w:p w14:paraId="70737F8B" w14:textId="77777777" w:rsidR="00CC6F2C" w:rsidRPr="002E793D" w:rsidRDefault="00CC6F2C" w:rsidP="00321FA1">
            <w:pPr>
              <w:jc w:val="left"/>
            </w:pPr>
            <w:r w:rsidRPr="002E793D">
              <w:t>from Report ITU-R M.2283-0, Table 6</w:t>
            </w:r>
          </w:p>
        </w:tc>
      </w:tr>
      <w:tr w:rsidR="00CC6F2C" w:rsidRPr="002E793D" w14:paraId="23D86B53" w14:textId="77777777" w:rsidTr="00321FA1">
        <w:trPr>
          <w:trHeight w:val="197"/>
          <w:jc w:val="center"/>
        </w:trPr>
        <w:tc>
          <w:tcPr>
            <w:tcW w:w="2459" w:type="dxa"/>
            <w:vAlign w:val="center"/>
          </w:tcPr>
          <w:p w14:paraId="4C55A008" w14:textId="77777777" w:rsidR="00CC6F2C" w:rsidRPr="002E793D" w:rsidRDefault="00CC6F2C" w:rsidP="00321FA1">
            <w:pPr>
              <w:jc w:val="left"/>
            </w:pPr>
            <w:bookmarkStart w:id="2" w:name="_Hlk189816275"/>
            <w:r w:rsidRPr="002E793D">
              <w:t>Max. interference power spectral density</w:t>
            </w:r>
            <w:bookmarkEnd w:id="2"/>
          </w:p>
        </w:tc>
        <w:tc>
          <w:tcPr>
            <w:tcW w:w="770" w:type="dxa"/>
            <w:vAlign w:val="center"/>
          </w:tcPr>
          <w:p w14:paraId="0BE93B82" w14:textId="77777777" w:rsidR="00CC6F2C" w:rsidRPr="002E793D" w:rsidRDefault="00CC6F2C" w:rsidP="00321FA1">
            <w:pPr>
              <w:jc w:val="center"/>
            </w:pPr>
            <w:r w:rsidRPr="002E793D">
              <w:t>-120</w:t>
            </w:r>
          </w:p>
        </w:tc>
        <w:tc>
          <w:tcPr>
            <w:tcW w:w="1161" w:type="dxa"/>
            <w:vAlign w:val="center"/>
          </w:tcPr>
          <w:p w14:paraId="0D9CB396" w14:textId="77777777" w:rsidR="00CC6F2C" w:rsidRPr="002E793D" w:rsidRDefault="00CC6F2C" w:rsidP="00321FA1">
            <w:pPr>
              <w:jc w:val="center"/>
            </w:pPr>
            <w:r w:rsidRPr="002E793D">
              <w:t>dBm/MHz</w:t>
            </w:r>
          </w:p>
        </w:tc>
        <w:tc>
          <w:tcPr>
            <w:tcW w:w="992" w:type="dxa"/>
            <w:vAlign w:val="center"/>
          </w:tcPr>
          <w:p w14:paraId="4FA22E4C" w14:textId="77777777" w:rsidR="00CC6F2C" w:rsidRPr="002E793D" w:rsidRDefault="00CC6F2C" w:rsidP="00321FA1">
            <w:pPr>
              <w:jc w:val="center"/>
            </w:pPr>
            <w:r>
              <w:rPr>
                <w:i/>
                <w:iCs/>
              </w:rPr>
              <w:t>SD</w:t>
            </w:r>
            <w:r w:rsidRPr="005018AD">
              <w:rPr>
                <w:vertAlign w:val="subscript"/>
              </w:rPr>
              <w:t>I</w:t>
            </w:r>
          </w:p>
        </w:tc>
        <w:tc>
          <w:tcPr>
            <w:tcW w:w="3953" w:type="dxa"/>
            <w:vAlign w:val="center"/>
          </w:tcPr>
          <w:p w14:paraId="1BD70B47" w14:textId="77777777" w:rsidR="00CC6F2C" w:rsidRPr="002E793D" w:rsidRDefault="00CC6F2C" w:rsidP="00321FA1">
            <w:pPr>
              <w:jc w:val="left"/>
            </w:pPr>
            <w:r>
              <w:t>in accordance with ICAO SARPs requirement</w:t>
            </w:r>
          </w:p>
        </w:tc>
      </w:tr>
      <w:tr w:rsidR="00CC6F2C" w:rsidRPr="002E793D" w14:paraId="47F1F148" w14:textId="77777777" w:rsidTr="00321FA1">
        <w:trPr>
          <w:trHeight w:val="197"/>
          <w:jc w:val="center"/>
        </w:trPr>
        <w:tc>
          <w:tcPr>
            <w:tcW w:w="2459" w:type="dxa"/>
            <w:vAlign w:val="center"/>
          </w:tcPr>
          <w:p w14:paraId="409A2266" w14:textId="77777777" w:rsidR="00CC6F2C" w:rsidRPr="002E793D" w:rsidRDefault="00CC6F2C" w:rsidP="00321FA1">
            <w:pPr>
              <w:jc w:val="left"/>
            </w:pPr>
            <w:r w:rsidRPr="002E793D">
              <w:t>Max. interference power</w:t>
            </w:r>
          </w:p>
        </w:tc>
        <w:tc>
          <w:tcPr>
            <w:tcW w:w="770" w:type="dxa"/>
            <w:vAlign w:val="center"/>
          </w:tcPr>
          <w:p w14:paraId="74267553" w14:textId="77777777" w:rsidR="00CC6F2C" w:rsidRPr="002E793D" w:rsidRDefault="00CC6F2C" w:rsidP="00321FA1">
            <w:pPr>
              <w:jc w:val="center"/>
            </w:pPr>
            <w:r w:rsidRPr="002E793D">
              <w:t>-116</w:t>
            </w:r>
          </w:p>
        </w:tc>
        <w:tc>
          <w:tcPr>
            <w:tcW w:w="1161" w:type="dxa"/>
            <w:vAlign w:val="center"/>
          </w:tcPr>
          <w:p w14:paraId="026FDBEE" w14:textId="77777777" w:rsidR="00CC6F2C" w:rsidRPr="002E793D" w:rsidRDefault="00CC6F2C" w:rsidP="00321FA1">
            <w:pPr>
              <w:jc w:val="center"/>
            </w:pPr>
            <w:r w:rsidRPr="002E793D">
              <w:t>dBm</w:t>
            </w:r>
          </w:p>
        </w:tc>
        <w:tc>
          <w:tcPr>
            <w:tcW w:w="992" w:type="dxa"/>
            <w:vAlign w:val="center"/>
          </w:tcPr>
          <w:p w14:paraId="1854E6CC" w14:textId="77777777" w:rsidR="00CC6F2C" w:rsidRPr="002E793D" w:rsidRDefault="00CC6F2C" w:rsidP="00321FA1">
            <w:pPr>
              <w:jc w:val="center"/>
              <w:rPr>
                <w:i/>
                <w:iCs/>
              </w:rPr>
            </w:pPr>
            <w:r>
              <w:rPr>
                <w:i/>
                <w:iCs/>
              </w:rPr>
              <w:t>P</w:t>
            </w:r>
            <w:r w:rsidRPr="005018AD">
              <w:rPr>
                <w:vertAlign w:val="subscript"/>
              </w:rPr>
              <w:t>I</w:t>
            </w:r>
          </w:p>
        </w:tc>
        <w:tc>
          <w:tcPr>
            <w:tcW w:w="3953" w:type="dxa"/>
            <w:vAlign w:val="center"/>
          </w:tcPr>
          <w:p w14:paraId="0C26CF78" w14:textId="77777777" w:rsidR="00CC6F2C" w:rsidRPr="002E793D" w:rsidRDefault="00CC6F2C" w:rsidP="00321FA1">
            <w:pPr>
              <w:jc w:val="left"/>
            </w:pPr>
            <w:r>
              <w:rPr>
                <w:i/>
                <w:iCs/>
              </w:rPr>
              <w:t>P</w:t>
            </w:r>
            <w:r w:rsidRPr="002E486A">
              <w:rPr>
                <w:vertAlign w:val="subscript"/>
              </w:rPr>
              <w:t>I</w:t>
            </w:r>
            <w:r w:rsidRPr="002E793D">
              <w:t xml:space="preserve"> = </w:t>
            </w:r>
            <w:r w:rsidRPr="002E486A">
              <w:rPr>
                <w:i/>
                <w:iCs/>
              </w:rPr>
              <w:t>SD</w:t>
            </w:r>
            <w:r w:rsidRPr="002E486A">
              <w:rPr>
                <w:vertAlign w:val="subscript"/>
              </w:rPr>
              <w:t>I</w:t>
            </w:r>
            <w:r w:rsidRPr="002E793D">
              <w:t>+10</w:t>
            </w:r>
            <w:proofErr w:type="gramStart"/>
            <w:r w:rsidRPr="002E793D">
              <w:t>log(</w:t>
            </w:r>
            <w:proofErr w:type="gramEnd"/>
            <w:r w:rsidRPr="002E793D">
              <w:rPr>
                <w:i/>
                <w:iCs/>
              </w:rPr>
              <w:t>B</w:t>
            </w:r>
            <w:r w:rsidRPr="002E793D">
              <w:rPr>
                <w:vertAlign w:val="subscript"/>
              </w:rPr>
              <w:t>r</w:t>
            </w:r>
            <w:r w:rsidRPr="002E793D">
              <w:t>)</w:t>
            </w:r>
          </w:p>
        </w:tc>
      </w:tr>
      <w:tr w:rsidR="00CC6F2C" w:rsidRPr="002E793D" w14:paraId="1EEF26F9" w14:textId="77777777" w:rsidTr="00321FA1">
        <w:trPr>
          <w:trHeight w:val="197"/>
          <w:jc w:val="center"/>
        </w:trPr>
        <w:tc>
          <w:tcPr>
            <w:tcW w:w="2459" w:type="dxa"/>
            <w:vAlign w:val="center"/>
          </w:tcPr>
          <w:p w14:paraId="27C223F6" w14:textId="77777777" w:rsidR="00CC6F2C" w:rsidRPr="002E793D" w:rsidRDefault="00CC6F2C" w:rsidP="00321FA1">
            <w:pPr>
              <w:jc w:val="left"/>
            </w:pPr>
            <w:r w:rsidRPr="002E793D">
              <w:t>Combined noise and interference power</w:t>
            </w:r>
            <w:r>
              <w:t xml:space="preserve"> at the receiver</w:t>
            </w:r>
          </w:p>
        </w:tc>
        <w:tc>
          <w:tcPr>
            <w:tcW w:w="770" w:type="dxa"/>
            <w:vAlign w:val="center"/>
          </w:tcPr>
          <w:p w14:paraId="5DEA4ECF" w14:textId="77777777" w:rsidR="00CC6F2C" w:rsidRPr="002E793D" w:rsidRDefault="00CC6F2C" w:rsidP="00321FA1">
            <w:pPr>
              <w:jc w:val="center"/>
            </w:pPr>
            <w:r w:rsidRPr="002E793D">
              <w:t>-10</w:t>
            </w:r>
            <w:r>
              <w:t>2</w:t>
            </w:r>
          </w:p>
        </w:tc>
        <w:tc>
          <w:tcPr>
            <w:tcW w:w="1161" w:type="dxa"/>
            <w:vAlign w:val="center"/>
          </w:tcPr>
          <w:p w14:paraId="00DE4F1E" w14:textId="77777777" w:rsidR="00CC6F2C" w:rsidRPr="002E793D" w:rsidRDefault="00CC6F2C" w:rsidP="00321FA1">
            <w:pPr>
              <w:jc w:val="center"/>
            </w:pPr>
            <w:r w:rsidRPr="002E793D">
              <w:t>dBm</w:t>
            </w:r>
          </w:p>
        </w:tc>
        <w:tc>
          <w:tcPr>
            <w:tcW w:w="992" w:type="dxa"/>
            <w:vAlign w:val="center"/>
          </w:tcPr>
          <w:p w14:paraId="6B8DE54C" w14:textId="77777777" w:rsidR="00CC6F2C" w:rsidRPr="002E793D" w:rsidRDefault="00CC6F2C" w:rsidP="00321FA1">
            <w:pPr>
              <w:jc w:val="center"/>
              <w:rPr>
                <w:i/>
                <w:iCs/>
              </w:rPr>
            </w:pPr>
            <w:r>
              <w:rPr>
                <w:i/>
                <w:iCs/>
              </w:rPr>
              <w:t>P</w:t>
            </w:r>
            <w:r w:rsidRPr="003A3AC1">
              <w:rPr>
                <w:vertAlign w:val="subscript"/>
              </w:rPr>
              <w:t>N</w:t>
            </w:r>
            <w:r>
              <w:rPr>
                <w:vertAlign w:val="subscript"/>
              </w:rPr>
              <w:t>+</w:t>
            </w:r>
            <w:r w:rsidRPr="003A3AC1">
              <w:rPr>
                <w:vertAlign w:val="subscript"/>
              </w:rPr>
              <w:t>I</w:t>
            </w:r>
          </w:p>
        </w:tc>
        <w:tc>
          <w:tcPr>
            <w:tcW w:w="3953" w:type="dxa"/>
            <w:vAlign w:val="center"/>
          </w:tcPr>
          <w:p w14:paraId="3DA285AE" w14:textId="77777777" w:rsidR="00CC6F2C" w:rsidRPr="002E486A" w:rsidRDefault="004B2009" w:rsidP="00321FA1">
            <w:pPr>
              <w:jc w:val="left"/>
            </w:pPr>
            <m:oMathPara>
              <m:oMath>
                <m:sSub>
                  <m:sSubPr>
                    <m:ctrlPr>
                      <w:rPr>
                        <w:rFonts w:ascii="Cambria Math" w:hAnsi="Cambria Math"/>
                        <w:i/>
                      </w:rPr>
                    </m:ctrlPr>
                  </m:sSubPr>
                  <m:e>
                    <m:r>
                      <w:rPr>
                        <w:rFonts w:ascii="Cambria Math" w:hAnsi="Cambria Math"/>
                      </w:rPr>
                      <m:t>P</m:t>
                    </m:r>
                  </m:e>
                  <m:sub>
                    <m:r>
                      <m:rPr>
                        <m:sty m:val="p"/>
                      </m:rPr>
                      <w:rPr>
                        <w:rFonts w:ascii="Cambria Math" w:hAnsi="Cambria Math"/>
                      </w:rPr>
                      <m:t>N+I</m:t>
                    </m:r>
                  </m:sub>
                </m:sSub>
                <m:r>
                  <w:rPr>
                    <w:rFonts w:ascii="Cambria Math" w:hAnsi="Cambria Math"/>
                  </w:rPr>
                  <m:t>=10</m:t>
                </m:r>
                <m:r>
                  <m:rPr>
                    <m:sty m:val="p"/>
                  </m:rPr>
                  <w:rPr>
                    <w:rFonts w:ascii="Cambria Math" w:hAnsi="Cambria Math"/>
                  </w:rPr>
                  <m:t>log</m:t>
                </m:r>
                <m:d>
                  <m:dPr>
                    <m:ctrlPr>
                      <w:rPr>
                        <w:rFonts w:ascii="Cambria Math" w:hAnsi="Cambria Math"/>
                        <w:i/>
                      </w:rPr>
                    </m:ctrlPr>
                  </m:dPr>
                  <m:e>
                    <m:sSup>
                      <m:sSupPr>
                        <m:ctrlPr>
                          <w:rPr>
                            <w:rFonts w:ascii="Cambria Math" w:hAnsi="Cambria Math"/>
                            <w:i/>
                          </w:rPr>
                        </m:ctrlPr>
                      </m:sSupPr>
                      <m:e>
                        <m:r>
                          <w:rPr>
                            <w:rFonts w:ascii="Cambria Math" w:hAnsi="Cambria Math"/>
                          </w:rPr>
                          <m:t>10</m:t>
                        </m:r>
                      </m:e>
                      <m:sup>
                        <m:d>
                          <m:dPr>
                            <m:ctrlPr>
                              <w:rPr>
                                <w:rFonts w:ascii="Cambria Math" w:hAnsi="Cambria Math"/>
                                <w:i/>
                              </w:rPr>
                            </m:ctrlPr>
                          </m:dPr>
                          <m:e>
                            <m:d>
                              <m:dPr>
                                <m:ctrlPr>
                                  <w:rPr>
                                    <w:rFonts w:ascii="Cambria Math" w:hAnsi="Cambria Math"/>
                                    <w:i/>
                                  </w:rPr>
                                </m:ctrlPr>
                              </m:dPr>
                              <m:e>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N</m:t>
                                    </m:r>
                                  </m:sub>
                                </m:sSub>
                                <m:r>
                                  <w:rPr>
                                    <w:rFonts w:ascii="Cambria Math" w:hAnsi="Cambria Math"/>
                                  </w:rPr>
                                  <m:t>+</m:t>
                                </m:r>
                                <m:r>
                                  <w:rPr>
                                    <w:rFonts w:ascii="Cambria Math" w:hAnsi="Cambria Math"/>
                                  </w:rPr>
                                  <m:t>NF</m:t>
                                </m:r>
                              </m:e>
                            </m:d>
                            <m:r>
                              <w:rPr>
                                <w:rFonts w:ascii="Cambria Math" w:hAnsi="Cambria Math"/>
                              </w:rPr>
                              <m:t>/10</m:t>
                            </m:r>
                          </m:e>
                        </m:d>
                      </m:sup>
                    </m:sSup>
                    <m:r>
                      <w:rPr>
                        <w:rFonts w:ascii="Cambria Math" w:hAnsi="Cambria Math"/>
                      </w:rPr>
                      <m:t>+</m:t>
                    </m:r>
                    <m:sSup>
                      <m:sSupPr>
                        <m:ctrlPr>
                          <w:rPr>
                            <w:rFonts w:ascii="Cambria Math" w:hAnsi="Cambria Math"/>
                            <w:i/>
                          </w:rPr>
                        </m:ctrlPr>
                      </m:sSupPr>
                      <m:e>
                        <m:r>
                          <w:rPr>
                            <w:rFonts w:ascii="Cambria Math" w:hAnsi="Cambria Math"/>
                          </w:rPr>
                          <m:t>10</m:t>
                        </m:r>
                      </m:e>
                      <m:sup>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m:t>
                            </m:r>
                          </m:sub>
                        </m:sSub>
                        <m:r>
                          <w:rPr>
                            <w:rFonts w:ascii="Cambria Math" w:hAnsi="Cambria Math"/>
                          </w:rPr>
                          <m:t>/10</m:t>
                        </m:r>
                      </m:sup>
                    </m:sSup>
                  </m:e>
                </m:d>
              </m:oMath>
            </m:oMathPara>
          </w:p>
        </w:tc>
      </w:tr>
      <w:tr w:rsidR="00CC6F2C" w:rsidRPr="002E793D" w14:paraId="176477F2" w14:textId="77777777" w:rsidTr="00321FA1">
        <w:trPr>
          <w:trHeight w:val="197"/>
          <w:jc w:val="center"/>
        </w:trPr>
        <w:tc>
          <w:tcPr>
            <w:tcW w:w="2459" w:type="dxa"/>
            <w:vAlign w:val="center"/>
          </w:tcPr>
          <w:p w14:paraId="57B6F23A" w14:textId="77777777" w:rsidR="00CC6F2C" w:rsidRPr="002E793D" w:rsidRDefault="00CC6F2C" w:rsidP="00321FA1">
            <w:pPr>
              <w:jc w:val="left"/>
            </w:pPr>
            <w:r w:rsidRPr="002E793D">
              <w:t>Required signal-to-noise ratio</w:t>
            </w:r>
          </w:p>
        </w:tc>
        <w:tc>
          <w:tcPr>
            <w:tcW w:w="770" w:type="dxa"/>
            <w:vAlign w:val="center"/>
          </w:tcPr>
          <w:p w14:paraId="207777C2" w14:textId="77777777" w:rsidR="00CC6F2C" w:rsidRPr="002E793D" w:rsidRDefault="00CC6F2C" w:rsidP="00321FA1">
            <w:pPr>
              <w:jc w:val="center"/>
            </w:pPr>
            <w:r w:rsidRPr="002E793D">
              <w:t>9</w:t>
            </w:r>
          </w:p>
        </w:tc>
        <w:tc>
          <w:tcPr>
            <w:tcW w:w="1161" w:type="dxa"/>
            <w:vAlign w:val="center"/>
          </w:tcPr>
          <w:p w14:paraId="223A1B67" w14:textId="77777777" w:rsidR="00CC6F2C" w:rsidRPr="002E793D" w:rsidRDefault="00CC6F2C" w:rsidP="00321FA1">
            <w:pPr>
              <w:jc w:val="center"/>
            </w:pPr>
            <w:r w:rsidRPr="002E793D">
              <w:t>dB</w:t>
            </w:r>
          </w:p>
        </w:tc>
        <w:tc>
          <w:tcPr>
            <w:tcW w:w="992" w:type="dxa"/>
            <w:vAlign w:val="center"/>
          </w:tcPr>
          <w:p w14:paraId="2A3A14A9" w14:textId="77777777" w:rsidR="00CC6F2C" w:rsidRPr="002E793D" w:rsidRDefault="00CC6F2C" w:rsidP="00321FA1">
            <w:pPr>
              <w:jc w:val="center"/>
              <w:rPr>
                <w:i/>
                <w:iCs/>
              </w:rPr>
            </w:pPr>
            <w:r w:rsidRPr="002E793D">
              <w:rPr>
                <w:i/>
                <w:iCs/>
              </w:rPr>
              <w:t>SNR</w:t>
            </w:r>
          </w:p>
        </w:tc>
        <w:tc>
          <w:tcPr>
            <w:tcW w:w="3953" w:type="dxa"/>
            <w:vAlign w:val="center"/>
          </w:tcPr>
          <w:p w14:paraId="113773DC" w14:textId="77777777" w:rsidR="00CC6F2C" w:rsidRPr="002E793D" w:rsidRDefault="00CC6F2C" w:rsidP="00321FA1">
            <w:pPr>
              <w:jc w:val="left"/>
            </w:pPr>
            <w:r w:rsidRPr="002E793D">
              <w:t xml:space="preserve">from </w:t>
            </w:r>
            <w:r w:rsidRPr="00276936">
              <w:t>Recommendation ITU-R M.2067-0, Table 1, column: “Low data rate system”</w:t>
            </w:r>
          </w:p>
        </w:tc>
      </w:tr>
      <w:tr w:rsidR="00CC6F2C" w:rsidRPr="002E793D" w14:paraId="5C929FA3" w14:textId="77777777" w:rsidTr="00321FA1">
        <w:trPr>
          <w:trHeight w:val="197"/>
          <w:jc w:val="center"/>
        </w:trPr>
        <w:tc>
          <w:tcPr>
            <w:tcW w:w="2459" w:type="dxa"/>
            <w:vAlign w:val="center"/>
          </w:tcPr>
          <w:p w14:paraId="045A3B29" w14:textId="77777777" w:rsidR="00CC6F2C" w:rsidRPr="002E793D" w:rsidRDefault="00CC6F2C" w:rsidP="00321FA1">
            <w:pPr>
              <w:jc w:val="left"/>
            </w:pPr>
            <w:r w:rsidRPr="002E793D">
              <w:t>Receiver sensitivity</w:t>
            </w:r>
          </w:p>
        </w:tc>
        <w:tc>
          <w:tcPr>
            <w:tcW w:w="770" w:type="dxa"/>
            <w:vAlign w:val="center"/>
          </w:tcPr>
          <w:p w14:paraId="149C48DF" w14:textId="77777777" w:rsidR="00CC6F2C" w:rsidRPr="002E793D" w:rsidRDefault="00CC6F2C" w:rsidP="00321FA1">
            <w:pPr>
              <w:jc w:val="center"/>
            </w:pPr>
            <w:r w:rsidRPr="002E793D">
              <w:t>-</w:t>
            </w:r>
            <w:r>
              <w:t>93</w:t>
            </w:r>
          </w:p>
        </w:tc>
        <w:tc>
          <w:tcPr>
            <w:tcW w:w="1161" w:type="dxa"/>
            <w:vAlign w:val="center"/>
          </w:tcPr>
          <w:p w14:paraId="4AA45699" w14:textId="77777777" w:rsidR="00CC6F2C" w:rsidRPr="002E793D" w:rsidRDefault="00CC6F2C" w:rsidP="00321FA1">
            <w:pPr>
              <w:jc w:val="center"/>
            </w:pPr>
            <w:r w:rsidRPr="002E793D">
              <w:t>dBm</w:t>
            </w:r>
          </w:p>
        </w:tc>
        <w:tc>
          <w:tcPr>
            <w:tcW w:w="992" w:type="dxa"/>
            <w:vAlign w:val="center"/>
          </w:tcPr>
          <w:p w14:paraId="1D9AFF48" w14:textId="77777777" w:rsidR="00CC6F2C" w:rsidRPr="002E793D" w:rsidRDefault="00CC6F2C" w:rsidP="00321FA1">
            <w:pPr>
              <w:jc w:val="center"/>
            </w:pPr>
            <w:r w:rsidRPr="002E793D">
              <w:rPr>
                <w:i/>
                <w:iCs/>
              </w:rPr>
              <w:t>S</w:t>
            </w:r>
            <w:r w:rsidRPr="002E793D">
              <w:rPr>
                <w:vertAlign w:val="subscript"/>
              </w:rPr>
              <w:t>r</w:t>
            </w:r>
          </w:p>
        </w:tc>
        <w:tc>
          <w:tcPr>
            <w:tcW w:w="3953" w:type="dxa"/>
            <w:vAlign w:val="center"/>
          </w:tcPr>
          <w:p w14:paraId="5E401C82" w14:textId="77777777" w:rsidR="00CC6F2C" w:rsidRPr="002E793D" w:rsidRDefault="00CC6F2C" w:rsidP="00321FA1">
            <w:pPr>
              <w:jc w:val="left"/>
            </w:pPr>
            <w:r w:rsidRPr="002E793D">
              <w:rPr>
                <w:i/>
                <w:iCs/>
              </w:rPr>
              <w:t>S</w:t>
            </w:r>
            <w:r w:rsidRPr="002E793D">
              <w:rPr>
                <w:vertAlign w:val="subscript"/>
              </w:rPr>
              <w:t>r</w:t>
            </w:r>
            <w:r w:rsidRPr="002E793D">
              <w:t xml:space="preserve"> = </w:t>
            </w:r>
            <w:r w:rsidRPr="003A3AC1">
              <w:rPr>
                <w:i/>
                <w:iCs/>
              </w:rPr>
              <w:t>P</w:t>
            </w:r>
            <w:r w:rsidRPr="003A3AC1">
              <w:rPr>
                <w:vertAlign w:val="subscript"/>
              </w:rPr>
              <w:t>NI</w:t>
            </w:r>
            <w:r w:rsidRPr="002E793D">
              <w:t>+</w:t>
            </w:r>
            <w:r w:rsidRPr="002E793D">
              <w:rPr>
                <w:i/>
                <w:iCs/>
              </w:rPr>
              <w:t>SNR</w:t>
            </w:r>
            <w:r>
              <w:br/>
            </w:r>
            <w:r w:rsidRPr="002E793D">
              <w:t>(minimum required signal power)</w:t>
            </w:r>
          </w:p>
        </w:tc>
      </w:tr>
      <w:tr w:rsidR="00CC6F2C" w:rsidRPr="00877305" w14:paraId="7BA602DC" w14:textId="77777777" w:rsidTr="00321FA1">
        <w:trPr>
          <w:trHeight w:val="197"/>
          <w:jc w:val="center"/>
        </w:trPr>
        <w:tc>
          <w:tcPr>
            <w:tcW w:w="2459" w:type="dxa"/>
            <w:vAlign w:val="center"/>
          </w:tcPr>
          <w:p w14:paraId="00030616" w14:textId="77777777" w:rsidR="00CC6F2C" w:rsidRPr="00877305" w:rsidRDefault="00CC6F2C" w:rsidP="00321FA1">
            <w:pPr>
              <w:jc w:val="left"/>
            </w:pPr>
            <w:r w:rsidRPr="00877305">
              <w:t>Front end overload protection level</w:t>
            </w:r>
            <w:r>
              <w:t xml:space="preserve"> </w:t>
            </w:r>
            <w:r w:rsidRPr="008A1D51">
              <w:rPr>
                <w:vertAlign w:val="superscript"/>
              </w:rPr>
              <w:t>1</w:t>
            </w:r>
          </w:p>
        </w:tc>
        <w:tc>
          <w:tcPr>
            <w:tcW w:w="770" w:type="dxa"/>
            <w:vAlign w:val="center"/>
          </w:tcPr>
          <w:p w14:paraId="0F0D339E" w14:textId="77777777" w:rsidR="00CC6F2C" w:rsidRPr="00877305" w:rsidRDefault="00CC6F2C" w:rsidP="00321FA1">
            <w:pPr>
              <w:jc w:val="center"/>
            </w:pPr>
            <w:r w:rsidRPr="00877305">
              <w:t>-20</w:t>
            </w:r>
          </w:p>
        </w:tc>
        <w:tc>
          <w:tcPr>
            <w:tcW w:w="1161" w:type="dxa"/>
            <w:vAlign w:val="center"/>
          </w:tcPr>
          <w:p w14:paraId="0881DBAA" w14:textId="77777777" w:rsidR="00CC6F2C" w:rsidRPr="00877305" w:rsidRDefault="00CC6F2C" w:rsidP="00321FA1">
            <w:pPr>
              <w:jc w:val="center"/>
            </w:pPr>
            <w:r w:rsidRPr="00877305">
              <w:t>dBm</w:t>
            </w:r>
          </w:p>
        </w:tc>
        <w:tc>
          <w:tcPr>
            <w:tcW w:w="992" w:type="dxa"/>
            <w:vAlign w:val="center"/>
          </w:tcPr>
          <w:p w14:paraId="78D4D0F3" w14:textId="77777777" w:rsidR="00CC6F2C" w:rsidRPr="00877305" w:rsidRDefault="00CC6F2C" w:rsidP="00321FA1">
            <w:pPr>
              <w:jc w:val="center"/>
            </w:pPr>
          </w:p>
        </w:tc>
        <w:tc>
          <w:tcPr>
            <w:tcW w:w="3953" w:type="dxa"/>
            <w:vAlign w:val="center"/>
          </w:tcPr>
          <w:p w14:paraId="1760E7B7" w14:textId="77777777" w:rsidR="00CC6F2C" w:rsidRPr="00877305" w:rsidRDefault="00CC6F2C" w:rsidP="00321FA1">
            <w:pPr>
              <w:jc w:val="left"/>
            </w:pPr>
            <w:r w:rsidRPr="00877305">
              <w:t>10 dB better than Recommendation ITU-R M.2067-0 Table 1, column: “Low data rate system”</w:t>
            </w:r>
          </w:p>
        </w:tc>
      </w:tr>
    </w:tbl>
    <w:p w14:paraId="2AC8B8A5" w14:textId="77777777" w:rsidR="00CC6F2C" w:rsidRDefault="00CC6F2C" w:rsidP="00CC6F2C"/>
    <w:p w14:paraId="71605C31" w14:textId="77777777" w:rsidR="00CC6F2C" w:rsidRDefault="00CC6F2C" w:rsidP="00CC6F2C">
      <w:pPr>
        <w:ind w:left="142" w:hanging="142"/>
      </w:pPr>
      <w:r w:rsidRPr="008A1D51">
        <w:rPr>
          <w:vertAlign w:val="superscript"/>
        </w:rPr>
        <w:t>1</w:t>
      </w:r>
      <w:r>
        <w:t xml:space="preserve"> </w:t>
      </w:r>
      <w:r w:rsidRPr="008A1D51">
        <w:t>Incident interference power must be below –</w:t>
      </w:r>
      <w:r>
        <w:t>2</w:t>
      </w:r>
      <w:r w:rsidRPr="008A1D51">
        <w:t>0 dBm across the entire</w:t>
      </w:r>
      <w:r>
        <w:t xml:space="preserve"> AM(R)S allocated frequency band (4 200 – 4 400 MHz) </w:t>
      </w:r>
      <w:r w:rsidRPr="008A1D51">
        <w:t>to maintain sufficient linearity of operation</w:t>
      </w:r>
      <w:r>
        <w:t xml:space="preserve"> based on the note 3 of Table 1 in Recommendation ITU-R M.2067-0.</w:t>
      </w:r>
    </w:p>
    <w:p w14:paraId="032D8A84" w14:textId="77777777" w:rsidR="008D7431" w:rsidRDefault="008D7431" w:rsidP="008D7431">
      <w:pPr>
        <w:rPr>
          <w:rFonts w:eastAsiaTheme="minorHAnsi"/>
        </w:rPr>
      </w:pPr>
    </w:p>
    <w:p w14:paraId="33F915F5" w14:textId="608F57EE" w:rsidR="008D7431" w:rsidRPr="00290B31" w:rsidRDefault="008D7431" w:rsidP="008D7431">
      <w:pPr>
        <w:rPr>
          <w:rFonts w:eastAsiaTheme="minorHAnsi"/>
        </w:rPr>
      </w:pPr>
      <w:r w:rsidRPr="00290B31">
        <w:rPr>
          <w:rFonts w:eastAsiaTheme="minorHAnsi"/>
        </w:rPr>
        <w:t>The max. interference power spectral density and front-end overload protection levels in Table 1 shall both be understood as criteria for protecting the WAIC receiver from in-band interference.</w:t>
      </w:r>
    </w:p>
    <w:p w14:paraId="75CC25C7" w14:textId="77777777" w:rsidR="008D7431" w:rsidRPr="00290B31" w:rsidRDefault="008D7431" w:rsidP="008D7431">
      <w:pPr>
        <w:rPr>
          <w:rFonts w:eastAsiaTheme="minorHAnsi"/>
        </w:rPr>
      </w:pPr>
    </w:p>
    <w:p w14:paraId="33D231F7" w14:textId="77777777" w:rsidR="008D7431" w:rsidRPr="00290B31" w:rsidRDefault="008D7431" w:rsidP="008D7431">
      <w:pPr>
        <w:rPr>
          <w:rFonts w:eastAsiaTheme="minorHAnsi"/>
        </w:rPr>
      </w:pPr>
      <w:r w:rsidRPr="00290B31">
        <w:rPr>
          <w:rFonts w:eastAsiaTheme="minorHAnsi"/>
        </w:rPr>
        <w:t>In cases where the front-end overload protection level is applied in the context of analysing the impact of interference from sources having their fundamental emissions outside the frequency band 4 200 – 4 400 MHz, the following provision shall apply:</w:t>
      </w:r>
    </w:p>
    <w:p w14:paraId="18BDC43B" w14:textId="77777777" w:rsidR="00CC6F2C" w:rsidRDefault="00CC6F2C" w:rsidP="00CC6F2C">
      <w:pPr>
        <w:ind w:left="142" w:hanging="142"/>
      </w:pPr>
    </w:p>
    <w:p w14:paraId="431DCBCC" w14:textId="5C0AF700" w:rsidR="00CC6F2C" w:rsidRDefault="00CC6F2C" w:rsidP="00CC6F2C">
      <w:pPr>
        <w:rPr>
          <w:rFonts w:eastAsiaTheme="minorHAnsi"/>
        </w:rPr>
      </w:pPr>
      <w:r w:rsidRPr="006B2C8E">
        <w:rPr>
          <w:rFonts w:eastAsiaTheme="minorHAnsi"/>
        </w:rPr>
        <w:t xml:space="preserve">A WAIC radio’s receiver shall tolerate interference from sources operating outside of the frequency band 4 200 – 4 400 MHz whose total combined power as measured at the receiver input port does not exceed </w:t>
      </w:r>
      <w:r w:rsidRPr="006B2C8E">
        <w:rPr>
          <w:rFonts w:eastAsiaTheme="minorHAnsi"/>
        </w:rPr>
        <w:noBreakHyphen/>
        <w:t>20 dBm. The WAIC Receiver front-end filter shall have a linear roll-off of at least 30 dB within a frequency interval of 150 MHz starting at 4 200 MHz towards lower frequencies and at 4 400 MHz towards higher frequencies.</w:t>
      </w:r>
    </w:p>
    <w:p w14:paraId="4C512474" w14:textId="77777777" w:rsidR="00590253" w:rsidRDefault="00590253" w:rsidP="00CC6F2C">
      <w:pPr>
        <w:rPr>
          <w:rFonts w:eastAsiaTheme="minorHAnsi"/>
        </w:rPr>
      </w:pPr>
    </w:p>
    <w:p w14:paraId="1FD4B1E5" w14:textId="4A795E21" w:rsidR="00590253" w:rsidRPr="0059684D" w:rsidRDefault="00590253" w:rsidP="00CC6F2C">
      <w:pPr>
        <w:rPr>
          <w:rFonts w:eastAsiaTheme="minorHAnsi"/>
          <w:b/>
          <w:bCs/>
        </w:rPr>
      </w:pPr>
      <w:r w:rsidRPr="0059684D">
        <w:rPr>
          <w:rFonts w:eastAsiaTheme="minorHAnsi"/>
          <w:b/>
          <w:bCs/>
        </w:rPr>
        <w:t>SUMMARY</w:t>
      </w:r>
    </w:p>
    <w:p w14:paraId="4C89EBC3" w14:textId="77777777" w:rsidR="00590253" w:rsidRDefault="00590253" w:rsidP="00CC6F2C">
      <w:pPr>
        <w:rPr>
          <w:rFonts w:eastAsiaTheme="minorHAnsi"/>
        </w:rPr>
      </w:pPr>
    </w:p>
    <w:p w14:paraId="788D8A40" w14:textId="4985D9D5" w:rsidR="00590253" w:rsidRPr="006F56F8" w:rsidRDefault="00590253" w:rsidP="00CC6F2C">
      <w:r>
        <w:rPr>
          <w:rFonts w:eastAsiaTheme="minorHAnsi"/>
        </w:rPr>
        <w:t>ICAO thanks WP 5B in advance for its consideration of the above material</w:t>
      </w:r>
      <w:r w:rsidR="006B11E5">
        <w:rPr>
          <w:rFonts w:eastAsiaTheme="minorHAnsi"/>
        </w:rPr>
        <w:t xml:space="preserve"> in its engagement with WP 5D.  </w:t>
      </w:r>
      <w:r w:rsidR="00112EB1">
        <w:rPr>
          <w:rFonts w:eastAsiaTheme="minorHAnsi"/>
        </w:rPr>
        <w:t xml:space="preserve">ICAO would add that </w:t>
      </w:r>
      <w:r w:rsidR="00B95002">
        <w:rPr>
          <w:rFonts w:eastAsiaTheme="minorHAnsi"/>
        </w:rPr>
        <w:t>the above items</w:t>
      </w:r>
      <w:r w:rsidR="00112EB1">
        <w:rPr>
          <w:rFonts w:eastAsiaTheme="minorHAnsi"/>
        </w:rPr>
        <w:t xml:space="preserve"> support </w:t>
      </w:r>
      <w:r w:rsidR="00681B2D">
        <w:rPr>
          <w:rFonts w:eastAsiaTheme="minorHAnsi"/>
        </w:rPr>
        <w:t xml:space="preserve">meeting the requirements of </w:t>
      </w:r>
      <w:r w:rsidR="00112EB1">
        <w:rPr>
          <w:rFonts w:eastAsiaTheme="minorHAnsi"/>
        </w:rPr>
        <w:t>the ICAO position as previously sent to the ITU-R</w:t>
      </w:r>
      <w:r w:rsidR="00B95002">
        <w:rPr>
          <w:rFonts w:eastAsiaTheme="minorHAnsi"/>
        </w:rPr>
        <w:t xml:space="preserve"> (</w:t>
      </w:r>
      <w:r w:rsidR="00B95002" w:rsidRPr="001A55EF">
        <w:rPr>
          <w:rFonts w:eastAsiaTheme="minorHAnsi"/>
          <w:highlight w:val="yellow"/>
        </w:rPr>
        <w:t>5B/XXX</w:t>
      </w:r>
      <w:r w:rsidR="00B95002">
        <w:rPr>
          <w:rFonts w:eastAsiaTheme="minorHAnsi"/>
        </w:rPr>
        <w:t>)</w:t>
      </w:r>
      <w:r w:rsidR="00681B2D">
        <w:rPr>
          <w:rFonts w:eastAsiaTheme="minorHAnsi"/>
        </w:rPr>
        <w:t xml:space="preserve">.  </w:t>
      </w:r>
    </w:p>
    <w:p w14:paraId="60E488EF" w14:textId="77777777" w:rsidR="009A1DE0" w:rsidRDefault="009A1DE0" w:rsidP="0093279C"/>
    <w:p w14:paraId="7A1D4776" w14:textId="77777777" w:rsidR="009A1DE0" w:rsidRPr="009A1DE0" w:rsidRDefault="009A1DE0" w:rsidP="0093279C"/>
    <w:sectPr w:rsidR="009A1DE0" w:rsidRPr="009A1DE0" w:rsidSect="00F74A17">
      <w:pgSz w:w="12242" w:h="15842" w:code="1"/>
      <w:pgMar w:top="1474" w:right="1247" w:bottom="1247" w:left="1247" w:header="1009"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SMP" w:date="2025-02-26T22:22:00Z" w:initials="FSMP">
    <w:p w14:paraId="11E6FAFE" w14:textId="1B674A08" w:rsidR="00750FD5" w:rsidRDefault="00750FD5" w:rsidP="00750FD5">
      <w:pPr>
        <w:pStyle w:val="CommentText"/>
        <w:jc w:val="left"/>
      </w:pPr>
      <w:r>
        <w:rPr>
          <w:rStyle w:val="CommentReference"/>
        </w:rPr>
        <w:annotationRef/>
      </w:r>
      <w:r>
        <w:t>Marked for updates based on ICAO council approval status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E6FA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AF102F" w16cex:dateUtc="2025-02-27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6FAFE" w16cid:durableId="12AF10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A5F3" w14:textId="77777777" w:rsidR="004B2009" w:rsidRDefault="004B2009">
      <w:r>
        <w:separator/>
      </w:r>
    </w:p>
  </w:endnote>
  <w:endnote w:type="continuationSeparator" w:id="0">
    <w:p w14:paraId="73891310" w14:textId="77777777" w:rsidR="004B2009" w:rsidRDefault="004B2009">
      <w:r>
        <w:continuationSeparator/>
      </w:r>
    </w:p>
  </w:endnote>
  <w:endnote w:type="continuationNotice" w:id="1">
    <w:p w14:paraId="4E5990D2" w14:textId="77777777" w:rsidR="004B2009" w:rsidRDefault="004B2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9BDC" w14:textId="77777777" w:rsidR="004B2009" w:rsidRDefault="004B2009">
      <w:r>
        <w:separator/>
      </w:r>
    </w:p>
  </w:footnote>
  <w:footnote w:type="continuationSeparator" w:id="0">
    <w:p w14:paraId="61D457A1" w14:textId="77777777" w:rsidR="004B2009" w:rsidRDefault="004B2009">
      <w:r>
        <w:continuationSeparator/>
      </w:r>
    </w:p>
  </w:footnote>
  <w:footnote w:type="continuationNotice" w:id="1">
    <w:p w14:paraId="7357F503" w14:textId="77777777" w:rsidR="004B2009" w:rsidRDefault="004B2009"/>
  </w:footnote>
  <w:footnote w:id="2">
    <w:p w14:paraId="507CB83A" w14:textId="21B6A4B1" w:rsidR="00713FFE" w:rsidRPr="00713FFE" w:rsidRDefault="00713FFE" w:rsidP="00713FFE">
      <w:pPr>
        <w:pStyle w:val="FootnoteText"/>
      </w:pPr>
      <w:r>
        <w:rPr>
          <w:rStyle w:val="FootnoteReference"/>
        </w:rPr>
        <w:footnoteRef/>
      </w:r>
      <w:r>
        <w:t xml:space="preserve"> </w:t>
      </w:r>
      <w:r w:rsidRPr="00713FFE">
        <w:t>M.2059 Annex 3, section 3 states “</w:t>
      </w:r>
      <w:r w:rsidRPr="00713FFE">
        <w:rPr>
          <w:i/>
          <w:iCs/>
        </w:rPr>
        <w:t>Various scenarios from ground level up to 12 km should be considered in sharing studies,</w:t>
      </w:r>
      <w:r w:rsidRPr="00713FFE">
        <w:t xml:space="preserve">” and </w:t>
      </w:r>
      <w:r w:rsidRPr="00713FFE">
        <w:rPr>
          <w:i/>
          <w:iCs/>
        </w:rPr>
        <w:t xml:space="preserve">“… harmful interference needs to be avoided when the aircraft is in operation. </w:t>
      </w:r>
      <w:proofErr w:type="gramStart"/>
      <w:r w:rsidRPr="00713FFE">
        <w:rPr>
          <w:i/>
          <w:iCs/>
        </w:rPr>
        <w:t>In order to</w:t>
      </w:r>
      <w:proofErr w:type="gramEnd"/>
      <w:r w:rsidRPr="00713FFE">
        <w:rPr>
          <w:i/>
          <w:iCs/>
        </w:rPr>
        <w:t xml:space="preserve"> avoid harmful interference, the following protection criteria have to be fulfilled in flight critical operating scenarios: Desensitization … Front End Overload … False Altitudes</w:t>
      </w:r>
      <w:r w:rsidRPr="00713FFE">
        <w:t>”</w:t>
      </w:r>
    </w:p>
    <w:p w14:paraId="705CB585" w14:textId="5BB478A3" w:rsidR="00713FFE" w:rsidRPr="006B2C8E" w:rsidRDefault="00713FFE">
      <w:pPr>
        <w:pStyle w:val="FootnoteText"/>
        <w:rPr>
          <w:lang w:val="en-US"/>
        </w:rPr>
      </w:pPr>
    </w:p>
  </w:footnote>
  <w:footnote w:id="3">
    <w:p w14:paraId="091242E0" w14:textId="01A6F8DA" w:rsidR="000C058B" w:rsidRPr="006B2C8E" w:rsidRDefault="000C058B">
      <w:pPr>
        <w:pStyle w:val="FootnoteText"/>
        <w:rPr>
          <w:lang w:val="en-US"/>
        </w:rPr>
      </w:pPr>
      <w:r>
        <w:rPr>
          <w:rStyle w:val="FootnoteReference"/>
        </w:rPr>
        <w:footnoteRef/>
      </w:r>
      <w:r>
        <w:t xml:space="preserve"> </w:t>
      </w:r>
      <w:r w:rsidR="00D837D9">
        <w:t xml:space="preserve">The ICAO </w:t>
      </w:r>
      <w:r w:rsidRPr="000C058B">
        <w:t>Flight Operations Panel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4C28ED"/>
    <w:multiLevelType w:val="hybridMultilevel"/>
    <w:tmpl w:val="068A45D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6" w15:restartNumberingAfterBreak="0">
    <w:nsid w:val="7EC80887"/>
    <w:multiLevelType w:val="hybridMultilevel"/>
    <w:tmpl w:val="752CA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17063">
    <w:abstractNumId w:val="4"/>
  </w:num>
  <w:num w:numId="2" w16cid:durableId="1639070378">
    <w:abstractNumId w:val="5"/>
  </w:num>
  <w:num w:numId="3" w16cid:durableId="1158420063">
    <w:abstractNumId w:val="1"/>
  </w:num>
  <w:num w:numId="4" w16cid:durableId="1570724105">
    <w:abstractNumId w:val="0"/>
  </w:num>
  <w:num w:numId="5" w16cid:durableId="1883126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92522">
    <w:abstractNumId w:val="2"/>
  </w:num>
  <w:num w:numId="7" w16cid:durableId="748620731">
    <w:abstractNumId w:val="6"/>
  </w:num>
  <w:num w:numId="8" w16cid:durableId="665326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4019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SMP">
    <w15:presenceInfo w15:providerId="None" w15:userId="FS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582F"/>
    <w:rsid w:val="000273D2"/>
    <w:rsid w:val="00027A49"/>
    <w:rsid w:val="00034D75"/>
    <w:rsid w:val="000352D3"/>
    <w:rsid w:val="00035FA1"/>
    <w:rsid w:val="000618CD"/>
    <w:rsid w:val="00067C56"/>
    <w:rsid w:val="00074D07"/>
    <w:rsid w:val="00075BD5"/>
    <w:rsid w:val="00091AE6"/>
    <w:rsid w:val="0009326E"/>
    <w:rsid w:val="0009333B"/>
    <w:rsid w:val="000C058B"/>
    <w:rsid w:val="000C1C08"/>
    <w:rsid w:val="000D26D5"/>
    <w:rsid w:val="000E218A"/>
    <w:rsid w:val="00112EB1"/>
    <w:rsid w:val="00115ECE"/>
    <w:rsid w:val="0011764F"/>
    <w:rsid w:val="00123343"/>
    <w:rsid w:val="001566B0"/>
    <w:rsid w:val="00183B89"/>
    <w:rsid w:val="0019143D"/>
    <w:rsid w:val="001A55EF"/>
    <w:rsid w:val="001A670B"/>
    <w:rsid w:val="001C5107"/>
    <w:rsid w:val="001D4B05"/>
    <w:rsid w:val="001E434D"/>
    <w:rsid w:val="001E68DF"/>
    <w:rsid w:val="001F1983"/>
    <w:rsid w:val="00201816"/>
    <w:rsid w:val="00206F87"/>
    <w:rsid w:val="002073E0"/>
    <w:rsid w:val="0020768F"/>
    <w:rsid w:val="00216B98"/>
    <w:rsid w:val="00225E9F"/>
    <w:rsid w:val="00234E3C"/>
    <w:rsid w:val="00243072"/>
    <w:rsid w:val="00263E32"/>
    <w:rsid w:val="00273EF8"/>
    <w:rsid w:val="002771A9"/>
    <w:rsid w:val="0028041F"/>
    <w:rsid w:val="00290B31"/>
    <w:rsid w:val="00296C3E"/>
    <w:rsid w:val="002C2D0B"/>
    <w:rsid w:val="002D2E7B"/>
    <w:rsid w:val="002E406D"/>
    <w:rsid w:val="002E7BB4"/>
    <w:rsid w:val="002F53C3"/>
    <w:rsid w:val="003001CA"/>
    <w:rsid w:val="00324A7C"/>
    <w:rsid w:val="0034298A"/>
    <w:rsid w:val="003715A0"/>
    <w:rsid w:val="00380899"/>
    <w:rsid w:val="003854E3"/>
    <w:rsid w:val="003974B3"/>
    <w:rsid w:val="003A4611"/>
    <w:rsid w:val="003A5C8C"/>
    <w:rsid w:val="003C0A0C"/>
    <w:rsid w:val="003C1EA0"/>
    <w:rsid w:val="003D0235"/>
    <w:rsid w:val="003D2028"/>
    <w:rsid w:val="003D7FD8"/>
    <w:rsid w:val="003E5596"/>
    <w:rsid w:val="00400C4D"/>
    <w:rsid w:val="00415536"/>
    <w:rsid w:val="00423C6F"/>
    <w:rsid w:val="004353C4"/>
    <w:rsid w:val="00436BEC"/>
    <w:rsid w:val="00453D3A"/>
    <w:rsid w:val="00455782"/>
    <w:rsid w:val="004735BC"/>
    <w:rsid w:val="00480E8E"/>
    <w:rsid w:val="0048112D"/>
    <w:rsid w:val="0049280E"/>
    <w:rsid w:val="00492CD2"/>
    <w:rsid w:val="004B2009"/>
    <w:rsid w:val="004B54C1"/>
    <w:rsid w:val="004C525D"/>
    <w:rsid w:val="004D3765"/>
    <w:rsid w:val="004E681E"/>
    <w:rsid w:val="004E6F80"/>
    <w:rsid w:val="004F363A"/>
    <w:rsid w:val="004F7C66"/>
    <w:rsid w:val="00505F6E"/>
    <w:rsid w:val="00506C59"/>
    <w:rsid w:val="0051574F"/>
    <w:rsid w:val="00522FC8"/>
    <w:rsid w:val="00535DC2"/>
    <w:rsid w:val="00537F6F"/>
    <w:rsid w:val="00552B85"/>
    <w:rsid w:val="005656C4"/>
    <w:rsid w:val="00572503"/>
    <w:rsid w:val="005823BD"/>
    <w:rsid w:val="00585147"/>
    <w:rsid w:val="00590253"/>
    <w:rsid w:val="005903AF"/>
    <w:rsid w:val="005938D9"/>
    <w:rsid w:val="0059684D"/>
    <w:rsid w:val="005A2567"/>
    <w:rsid w:val="005B3B67"/>
    <w:rsid w:val="005D2A70"/>
    <w:rsid w:val="005D6BBD"/>
    <w:rsid w:val="005F081A"/>
    <w:rsid w:val="005F2E3B"/>
    <w:rsid w:val="005F535B"/>
    <w:rsid w:val="00604774"/>
    <w:rsid w:val="0061234E"/>
    <w:rsid w:val="00614067"/>
    <w:rsid w:val="006245B3"/>
    <w:rsid w:val="00625E2A"/>
    <w:rsid w:val="006422C1"/>
    <w:rsid w:val="006472FC"/>
    <w:rsid w:val="00664C07"/>
    <w:rsid w:val="00681B2D"/>
    <w:rsid w:val="00692701"/>
    <w:rsid w:val="0069408B"/>
    <w:rsid w:val="006A0717"/>
    <w:rsid w:val="006A444C"/>
    <w:rsid w:val="006B11E5"/>
    <w:rsid w:val="006B2C8E"/>
    <w:rsid w:val="006F21F2"/>
    <w:rsid w:val="00713FFE"/>
    <w:rsid w:val="00723A04"/>
    <w:rsid w:val="00725205"/>
    <w:rsid w:val="00731BF7"/>
    <w:rsid w:val="0074232E"/>
    <w:rsid w:val="00750FD5"/>
    <w:rsid w:val="00760654"/>
    <w:rsid w:val="00770160"/>
    <w:rsid w:val="00785CEB"/>
    <w:rsid w:val="00796019"/>
    <w:rsid w:val="007B5E7F"/>
    <w:rsid w:val="007D5ACD"/>
    <w:rsid w:val="007E35D8"/>
    <w:rsid w:val="007E6A06"/>
    <w:rsid w:val="008002B1"/>
    <w:rsid w:val="00806EB9"/>
    <w:rsid w:val="008208A0"/>
    <w:rsid w:val="00831846"/>
    <w:rsid w:val="00860FB4"/>
    <w:rsid w:val="008663FC"/>
    <w:rsid w:val="00881486"/>
    <w:rsid w:val="00884D00"/>
    <w:rsid w:val="00885035"/>
    <w:rsid w:val="00890E23"/>
    <w:rsid w:val="00896451"/>
    <w:rsid w:val="008B3B80"/>
    <w:rsid w:val="008B54C4"/>
    <w:rsid w:val="008C750F"/>
    <w:rsid w:val="008D3895"/>
    <w:rsid w:val="008D4C23"/>
    <w:rsid w:val="008D7431"/>
    <w:rsid w:val="008F6A08"/>
    <w:rsid w:val="00900EC6"/>
    <w:rsid w:val="0090204A"/>
    <w:rsid w:val="00911E4F"/>
    <w:rsid w:val="00920B80"/>
    <w:rsid w:val="00920C27"/>
    <w:rsid w:val="0092405F"/>
    <w:rsid w:val="00932443"/>
    <w:rsid w:val="0093279C"/>
    <w:rsid w:val="009366D9"/>
    <w:rsid w:val="00936D3F"/>
    <w:rsid w:val="009444E2"/>
    <w:rsid w:val="00956A5F"/>
    <w:rsid w:val="009602EE"/>
    <w:rsid w:val="009A1DE0"/>
    <w:rsid w:val="009A3BB6"/>
    <w:rsid w:val="009C206E"/>
    <w:rsid w:val="009D2F01"/>
    <w:rsid w:val="009F0E6B"/>
    <w:rsid w:val="009F77A1"/>
    <w:rsid w:val="00A03CFF"/>
    <w:rsid w:val="00A12CBA"/>
    <w:rsid w:val="00A232A8"/>
    <w:rsid w:val="00A864C1"/>
    <w:rsid w:val="00AA602E"/>
    <w:rsid w:val="00AA7B30"/>
    <w:rsid w:val="00AC3460"/>
    <w:rsid w:val="00AD7C27"/>
    <w:rsid w:val="00AF2FDC"/>
    <w:rsid w:val="00B07CC5"/>
    <w:rsid w:val="00B24605"/>
    <w:rsid w:val="00B42CAB"/>
    <w:rsid w:val="00B95002"/>
    <w:rsid w:val="00B95AA6"/>
    <w:rsid w:val="00BA6F75"/>
    <w:rsid w:val="00BB7722"/>
    <w:rsid w:val="00BC5391"/>
    <w:rsid w:val="00BE7C57"/>
    <w:rsid w:val="00C2012F"/>
    <w:rsid w:val="00C2128E"/>
    <w:rsid w:val="00C2608A"/>
    <w:rsid w:val="00C32F4A"/>
    <w:rsid w:val="00C63C18"/>
    <w:rsid w:val="00CA6CF0"/>
    <w:rsid w:val="00CC2D93"/>
    <w:rsid w:val="00CC6F2C"/>
    <w:rsid w:val="00CE2A3A"/>
    <w:rsid w:val="00CF288D"/>
    <w:rsid w:val="00CF72A2"/>
    <w:rsid w:val="00D22255"/>
    <w:rsid w:val="00D433B4"/>
    <w:rsid w:val="00D506CE"/>
    <w:rsid w:val="00D70520"/>
    <w:rsid w:val="00D762F6"/>
    <w:rsid w:val="00D8375B"/>
    <w:rsid w:val="00D837D9"/>
    <w:rsid w:val="00D94FD3"/>
    <w:rsid w:val="00DA33CB"/>
    <w:rsid w:val="00DA654F"/>
    <w:rsid w:val="00DD6DAE"/>
    <w:rsid w:val="00DF76D3"/>
    <w:rsid w:val="00E010A1"/>
    <w:rsid w:val="00E043A1"/>
    <w:rsid w:val="00E134B3"/>
    <w:rsid w:val="00E33635"/>
    <w:rsid w:val="00E377BF"/>
    <w:rsid w:val="00E4509B"/>
    <w:rsid w:val="00E53C8D"/>
    <w:rsid w:val="00E5621A"/>
    <w:rsid w:val="00E71157"/>
    <w:rsid w:val="00E7263C"/>
    <w:rsid w:val="00E77340"/>
    <w:rsid w:val="00E87930"/>
    <w:rsid w:val="00E905A6"/>
    <w:rsid w:val="00E91DF2"/>
    <w:rsid w:val="00E93D15"/>
    <w:rsid w:val="00E963B3"/>
    <w:rsid w:val="00E97B4E"/>
    <w:rsid w:val="00EB1EAC"/>
    <w:rsid w:val="00EC0F87"/>
    <w:rsid w:val="00ED3D4D"/>
    <w:rsid w:val="00ED433A"/>
    <w:rsid w:val="00ED4969"/>
    <w:rsid w:val="00EE16CA"/>
    <w:rsid w:val="00EF013C"/>
    <w:rsid w:val="00F00015"/>
    <w:rsid w:val="00F24C20"/>
    <w:rsid w:val="00F36032"/>
    <w:rsid w:val="00F54DC6"/>
    <w:rsid w:val="00F56F90"/>
    <w:rsid w:val="00F736D5"/>
    <w:rsid w:val="00F74A17"/>
    <w:rsid w:val="00F76B37"/>
    <w:rsid w:val="00F84DC1"/>
    <w:rsid w:val="00F91FE5"/>
    <w:rsid w:val="00F92F80"/>
    <w:rsid w:val="00F975FD"/>
    <w:rsid w:val="00FA622B"/>
    <w:rsid w:val="00FA6515"/>
    <w:rsid w:val="00FC12F6"/>
    <w:rsid w:val="00FC389A"/>
    <w:rsid w:val="00FE02A1"/>
    <w:rsid w:val="00FF1252"/>
    <w:rsid w:val="00FF12E5"/>
    <w:rsid w:val="00FF33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B51B7"/>
  <w15:chartTrackingRefBased/>
  <w15:docId w15:val="{92A5BF5F-8180-4691-90E0-8CAEDDEB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unhideWhenUsed/>
    <w:qFormat/>
    <w:rsid w:val="0093279C"/>
    <w:rPr>
      <w:color w:val="467886" w:themeColor="hyperlink"/>
      <w:u w:val="single"/>
    </w:rPr>
  </w:style>
  <w:style w:type="character" w:styleId="CommentReference">
    <w:name w:val="annotation reference"/>
    <w:basedOn w:val="DefaultParagraphFont"/>
    <w:rsid w:val="00436BEC"/>
    <w:rPr>
      <w:sz w:val="16"/>
      <w:szCs w:val="16"/>
    </w:rPr>
  </w:style>
  <w:style w:type="paragraph" w:styleId="CommentText">
    <w:name w:val="annotation text"/>
    <w:basedOn w:val="Normal"/>
    <w:link w:val="CommentTextChar"/>
    <w:rsid w:val="00436BEC"/>
    <w:rPr>
      <w:sz w:val="20"/>
    </w:rPr>
  </w:style>
  <w:style w:type="character" w:customStyle="1" w:styleId="CommentTextChar">
    <w:name w:val="Comment Text Char"/>
    <w:basedOn w:val="DefaultParagraphFont"/>
    <w:link w:val="CommentText"/>
    <w:rsid w:val="00436BEC"/>
    <w:rPr>
      <w:lang w:val="en-GB"/>
    </w:rPr>
  </w:style>
  <w:style w:type="paragraph" w:styleId="CommentSubject">
    <w:name w:val="annotation subject"/>
    <w:basedOn w:val="CommentText"/>
    <w:next w:val="CommentText"/>
    <w:link w:val="CommentSubjectChar"/>
    <w:rsid w:val="00436BEC"/>
    <w:rPr>
      <w:b/>
      <w:bCs/>
    </w:rPr>
  </w:style>
  <w:style w:type="character" w:customStyle="1" w:styleId="CommentSubjectChar">
    <w:name w:val="Comment Subject Char"/>
    <w:basedOn w:val="CommentTextChar"/>
    <w:link w:val="CommentSubject"/>
    <w:rsid w:val="00436BEC"/>
    <w:rPr>
      <w:b/>
      <w:bCs/>
      <w:lang w:val="en-GB"/>
    </w:rPr>
  </w:style>
  <w:style w:type="character" w:styleId="UnresolvedMention">
    <w:name w:val="Unresolved Mention"/>
    <w:basedOn w:val="DefaultParagraphFont"/>
    <w:uiPriority w:val="99"/>
    <w:semiHidden/>
    <w:unhideWhenUsed/>
    <w:rsid w:val="00E93D15"/>
    <w:rPr>
      <w:color w:val="605E5C"/>
      <w:shd w:val="clear" w:color="auto" w:fill="E1DFDD"/>
    </w:rPr>
  </w:style>
  <w:style w:type="paragraph" w:styleId="ListParagraph">
    <w:name w:val="List Paragraph"/>
    <w:basedOn w:val="Normal"/>
    <w:uiPriority w:val="34"/>
    <w:qFormat/>
    <w:rsid w:val="00CC6F2C"/>
    <w:pPr>
      <w:ind w:left="720"/>
      <w:contextualSpacing/>
    </w:pPr>
    <w:rPr>
      <w:lang w:val="en-US"/>
    </w:rPr>
  </w:style>
  <w:style w:type="paragraph" w:styleId="Revision">
    <w:name w:val="Revision"/>
    <w:hidden/>
    <w:uiPriority w:val="99"/>
    <w:semiHidden/>
    <w:rsid w:val="005F081A"/>
    <w:rPr>
      <w:sz w:val="22"/>
      <w:lang w:val="en-GB"/>
    </w:rPr>
  </w:style>
  <w:style w:type="paragraph" w:styleId="FootnoteText">
    <w:name w:val="footnote text"/>
    <w:basedOn w:val="Normal"/>
    <w:link w:val="FootnoteTextChar"/>
    <w:rsid w:val="000C058B"/>
    <w:rPr>
      <w:sz w:val="20"/>
    </w:rPr>
  </w:style>
  <w:style w:type="character" w:customStyle="1" w:styleId="FootnoteTextChar">
    <w:name w:val="Footnote Text Char"/>
    <w:basedOn w:val="DefaultParagraphFont"/>
    <w:link w:val="FootnoteText"/>
    <w:rsid w:val="000C058B"/>
    <w:rPr>
      <w:lang w:val="en-GB"/>
    </w:rPr>
  </w:style>
  <w:style w:type="character" w:styleId="FootnoteReference">
    <w:name w:val="footnote reference"/>
    <w:basedOn w:val="DefaultParagraphFont"/>
    <w:rsid w:val="000C0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4768">
      <w:bodyDiv w:val="1"/>
      <w:marLeft w:val="0"/>
      <w:marRight w:val="0"/>
      <w:marTop w:val="0"/>
      <w:marBottom w:val="0"/>
      <w:divBdr>
        <w:top w:val="none" w:sz="0" w:space="0" w:color="auto"/>
        <w:left w:val="none" w:sz="0" w:space="0" w:color="auto"/>
        <w:bottom w:val="none" w:sz="0" w:space="0" w:color="auto"/>
        <w:right w:val="none" w:sz="0" w:space="0" w:color="auto"/>
      </w:divBdr>
    </w:div>
    <w:div w:id="204216088">
      <w:bodyDiv w:val="1"/>
      <w:marLeft w:val="0"/>
      <w:marRight w:val="0"/>
      <w:marTop w:val="0"/>
      <w:marBottom w:val="0"/>
      <w:divBdr>
        <w:top w:val="none" w:sz="0" w:space="0" w:color="auto"/>
        <w:left w:val="none" w:sz="0" w:space="0" w:color="auto"/>
        <w:bottom w:val="none" w:sz="0" w:space="0" w:color="auto"/>
        <w:right w:val="none" w:sz="0" w:space="0" w:color="auto"/>
      </w:divBdr>
    </w:div>
    <w:div w:id="911741165">
      <w:bodyDiv w:val="1"/>
      <w:marLeft w:val="0"/>
      <w:marRight w:val="0"/>
      <w:marTop w:val="0"/>
      <w:marBottom w:val="0"/>
      <w:divBdr>
        <w:top w:val="none" w:sz="0" w:space="0" w:color="auto"/>
        <w:left w:val="none" w:sz="0" w:space="0" w:color="auto"/>
        <w:bottom w:val="none" w:sz="0" w:space="0" w:color="auto"/>
        <w:right w:val="none" w:sz="0" w:space="0" w:color="auto"/>
      </w:divBdr>
    </w:div>
    <w:div w:id="977223873">
      <w:bodyDiv w:val="1"/>
      <w:marLeft w:val="0"/>
      <w:marRight w:val="0"/>
      <w:marTop w:val="0"/>
      <w:marBottom w:val="0"/>
      <w:divBdr>
        <w:top w:val="none" w:sz="0" w:space="0" w:color="auto"/>
        <w:left w:val="none" w:sz="0" w:space="0" w:color="auto"/>
        <w:bottom w:val="none" w:sz="0" w:space="0" w:color="auto"/>
        <w:right w:val="none" w:sz="0" w:space="0" w:color="auto"/>
      </w:divBdr>
    </w:div>
    <w:div w:id="1176919737">
      <w:bodyDiv w:val="1"/>
      <w:marLeft w:val="0"/>
      <w:marRight w:val="0"/>
      <w:marTop w:val="0"/>
      <w:marBottom w:val="0"/>
      <w:divBdr>
        <w:top w:val="none" w:sz="0" w:space="0" w:color="auto"/>
        <w:left w:val="none" w:sz="0" w:space="0" w:color="auto"/>
        <w:bottom w:val="none" w:sz="0" w:space="0" w:color="auto"/>
        <w:right w:val="none" w:sz="0" w:space="0" w:color="auto"/>
      </w:divBdr>
    </w:div>
    <w:div w:id="1294604057">
      <w:bodyDiv w:val="1"/>
      <w:marLeft w:val="0"/>
      <w:marRight w:val="0"/>
      <w:marTop w:val="0"/>
      <w:marBottom w:val="0"/>
      <w:divBdr>
        <w:top w:val="none" w:sz="0" w:space="0" w:color="auto"/>
        <w:left w:val="none" w:sz="0" w:space="0" w:color="auto"/>
        <w:bottom w:val="none" w:sz="0" w:space="0" w:color="auto"/>
        <w:right w:val="none" w:sz="0" w:space="0" w:color="auto"/>
      </w:divBdr>
    </w:div>
    <w:div w:id="1320621551">
      <w:bodyDiv w:val="1"/>
      <w:marLeft w:val="0"/>
      <w:marRight w:val="0"/>
      <w:marTop w:val="0"/>
      <w:marBottom w:val="0"/>
      <w:divBdr>
        <w:top w:val="none" w:sz="0" w:space="0" w:color="auto"/>
        <w:left w:val="none" w:sz="0" w:space="0" w:color="auto"/>
        <w:bottom w:val="none" w:sz="0" w:space="0" w:color="auto"/>
        <w:right w:val="none" w:sz="0" w:space="0" w:color="auto"/>
      </w:divBdr>
    </w:div>
    <w:div w:id="138884292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meetingdoc.asp?lang=en&amp;parent=R23-WP5D-C-012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rec/R-REC-M.2059/en"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AC75E-88EC-4802-A40F-CE5978F7A136}">
  <ds:schemaRefs>
    <ds:schemaRef ds:uri="http://schemas.microsoft.com/sharepoint/v3/contenttype/forms"/>
  </ds:schemaRefs>
</ds:datastoreItem>
</file>

<file path=customXml/itemProps2.xml><?xml version="1.0" encoding="utf-8"?>
<ds:datastoreItem xmlns:ds="http://schemas.openxmlformats.org/officeDocument/2006/customXml" ds:itemID="{EC6720B5-3F3A-4F76-A26D-C65AB995A04B}">
  <ds:schemaRefs>
    <ds:schemaRef ds:uri="http://schemas.openxmlformats.org/officeDocument/2006/bibliography"/>
  </ds:schemaRefs>
</ds:datastoreItem>
</file>

<file path=customXml/itemProps3.xml><?xml version="1.0" encoding="utf-8"?>
<ds:datastoreItem xmlns:ds="http://schemas.openxmlformats.org/officeDocument/2006/customXml" ds:itemID="{4391C672-DD20-44F8-B5D2-1C36DFEF2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693643-3B2D-4189-9747-B09A5183D4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1805</Words>
  <Characters>10295</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Fleury</dc:creator>
  <cp:keywords/>
  <cp:lastModifiedBy>FSMP</cp:lastModifiedBy>
  <cp:revision>2</cp:revision>
  <dcterms:created xsi:type="dcterms:W3CDTF">2025-03-01T03:03:00Z</dcterms:created>
  <dcterms:modified xsi:type="dcterms:W3CDTF">2025-03-01T03:03:00Z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0x010100B372B09A9A77C4438999FF1325BEF759</vt:lpwstr>
  </property>
</Properties>
</file>