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94C4F" w14:textId="77777777" w:rsidR="00C32F4A" w:rsidRDefault="00C32F4A" w:rsidP="00C32F4A">
      <w:pPr>
        <w:jc w:val="center"/>
        <w:rPr>
          <w:b/>
        </w:rPr>
      </w:pPr>
      <w:r>
        <w:rPr>
          <w:b/>
        </w:rPr>
        <w:t>FREQUENCY SPECTRUM MANAGEMENT PANEL (FSMP)</w:t>
      </w:r>
    </w:p>
    <w:p w14:paraId="7C911B02" w14:textId="77777777" w:rsidR="00C32F4A" w:rsidRDefault="00C32F4A" w:rsidP="00C32F4A">
      <w:pPr>
        <w:tabs>
          <w:tab w:val="left" w:pos="6972"/>
        </w:tabs>
        <w:jc w:val="center"/>
        <w:rPr>
          <w:b/>
        </w:rPr>
      </w:pPr>
    </w:p>
    <w:p w14:paraId="65C6114A" w14:textId="77777777" w:rsidR="00E5621A" w:rsidRDefault="00E5621A" w:rsidP="00E5621A">
      <w:pPr>
        <w:pStyle w:val="Maintitle"/>
      </w:pPr>
      <w:r>
        <w:t>Sixteenth Working Group meeting</w:t>
      </w:r>
    </w:p>
    <w:p w14:paraId="7A92347F" w14:textId="77777777" w:rsidR="00E5621A" w:rsidRDefault="00E5621A" w:rsidP="00E5621A"/>
    <w:p w14:paraId="55F4EC90" w14:textId="77777777" w:rsidR="00E5621A" w:rsidRDefault="00E5621A" w:rsidP="00E5621A">
      <w:pPr>
        <w:jc w:val="center"/>
        <w:rPr>
          <w:b/>
          <w:bCs/>
          <w:szCs w:val="22"/>
        </w:rPr>
      </w:pPr>
      <w:bookmarkStart w:id="0" w:name="agenda_item"/>
      <w:bookmarkEnd w:id="0"/>
      <w:r>
        <w:rPr>
          <w:b/>
          <w:bCs/>
          <w:szCs w:val="22"/>
        </w:rPr>
        <w:t>Bangkok, Thailand, 15 – 24 February 2023</w:t>
      </w:r>
    </w:p>
    <w:p w14:paraId="3024370A" w14:textId="77777777" w:rsidR="00770160" w:rsidRDefault="00770160">
      <w:pPr>
        <w:tabs>
          <w:tab w:val="left" w:pos="0"/>
          <w:tab w:val="left" w:pos="1570"/>
          <w:tab w:val="left" w:pos="1857"/>
        </w:tabs>
      </w:pPr>
    </w:p>
    <w:p w14:paraId="78605598" w14:textId="77777777" w:rsidR="00770160" w:rsidRDefault="00770160">
      <w:pPr>
        <w:tabs>
          <w:tab w:val="left" w:pos="0"/>
          <w:tab w:val="left" w:pos="1570"/>
          <w:tab w:val="left" w:pos="1857"/>
        </w:tabs>
      </w:pPr>
    </w:p>
    <w:p w14:paraId="22C095B1" w14:textId="6594FFF3" w:rsidR="00770160" w:rsidRDefault="00770160">
      <w:pPr>
        <w:pStyle w:val="Agendaitemtitle"/>
        <w:rPr>
          <w:lang w:val="sv-SE"/>
        </w:rPr>
      </w:pPr>
      <w:r>
        <w:rPr>
          <w:lang w:val="sv-SE"/>
        </w:rPr>
        <w:t>Agenda Item </w:t>
      </w:r>
      <w:r w:rsidR="00422E47">
        <w:rPr>
          <w:lang w:val="sv-SE"/>
        </w:rPr>
        <w:t>4</w:t>
      </w:r>
      <w:r>
        <w:rPr>
          <w:lang w:val="sv-SE"/>
        </w:rPr>
        <w:t>:</w:t>
      </w:r>
      <w:r>
        <w:rPr>
          <w:lang w:val="sv-SE"/>
        </w:rPr>
        <w:tab/>
      </w:r>
      <w:r w:rsidR="00595EA4">
        <w:rPr>
          <w:lang w:val="sv-SE"/>
        </w:rPr>
        <w:t>Radar Altimeter</w:t>
      </w:r>
      <w:r w:rsidR="002B469F">
        <w:rPr>
          <w:lang w:val="sv-SE"/>
        </w:rPr>
        <w:t>s</w:t>
      </w:r>
    </w:p>
    <w:p w14:paraId="513B6950" w14:textId="77777777" w:rsidR="00770160" w:rsidRDefault="00770160">
      <w:pPr>
        <w:pStyle w:val="Agendaitemtitle"/>
        <w:rPr>
          <w:b w:val="0"/>
          <w:lang w:val="sv-SE"/>
        </w:rPr>
      </w:pPr>
    </w:p>
    <w:p w14:paraId="6F43FCDF" w14:textId="77777777" w:rsidR="00770160" w:rsidRDefault="00770160">
      <w:pPr>
        <w:tabs>
          <w:tab w:val="left" w:pos="6972"/>
        </w:tabs>
        <w:rPr>
          <w:b/>
          <w:lang w:val="sv-SE"/>
        </w:rPr>
      </w:pPr>
    </w:p>
    <w:p w14:paraId="711B40E5" w14:textId="52BF4398" w:rsidR="00770160" w:rsidRDefault="002B469F" w:rsidP="002B469F">
      <w:pPr>
        <w:tabs>
          <w:tab w:val="left" w:pos="6972"/>
        </w:tabs>
        <w:jc w:val="center"/>
      </w:pPr>
      <w:r>
        <w:rPr>
          <w:b/>
          <w:snapToGrid w:val="0"/>
        </w:rPr>
        <w:t xml:space="preserve">PLANNING FOR </w:t>
      </w:r>
      <w:r w:rsidRPr="002B469F">
        <w:rPr>
          <w:b/>
          <w:snapToGrid w:val="0"/>
        </w:rPr>
        <w:t xml:space="preserve">RADAR ALTIMETER SARPS </w:t>
      </w:r>
    </w:p>
    <w:p w14:paraId="3D95919E" w14:textId="77777777" w:rsidR="00770160" w:rsidRDefault="00770160">
      <w:pPr>
        <w:tabs>
          <w:tab w:val="left" w:pos="6972"/>
        </w:tabs>
      </w:pPr>
    </w:p>
    <w:p w14:paraId="2E004120" w14:textId="0D439B81" w:rsidR="00770160" w:rsidRDefault="00770160">
      <w:pPr>
        <w:jc w:val="center"/>
      </w:pPr>
      <w:r>
        <w:t>(Presented by</w:t>
      </w:r>
      <w:bookmarkStart w:id="1" w:name="presented_by"/>
      <w:bookmarkEnd w:id="1"/>
      <w:r>
        <w:t xml:space="preserve"> </w:t>
      </w:r>
      <w:r w:rsidR="001F5D7E">
        <w:t>Andrew Roy, ASRI</w:t>
      </w:r>
      <w:r>
        <w:t>)</w:t>
      </w:r>
    </w:p>
    <w:p w14:paraId="5ACF4396" w14:textId="77777777" w:rsidR="00770160" w:rsidRDefault="00770160"/>
    <w:p w14:paraId="5C60BEF6"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15B432F8" w14:textId="77777777">
        <w:trPr>
          <w:cantSplit/>
          <w:trHeight w:hRule="exact" w:val="480"/>
          <w:jc w:val="center"/>
        </w:trPr>
        <w:tc>
          <w:tcPr>
            <w:tcW w:w="7200" w:type="dxa"/>
            <w:vAlign w:val="center"/>
          </w:tcPr>
          <w:p w14:paraId="068ACBAC" w14:textId="77777777" w:rsidR="00770160" w:rsidRDefault="00770160">
            <w:pPr>
              <w:jc w:val="center"/>
              <w:rPr>
                <w:sz w:val="24"/>
                <w:lang w:val="en-US"/>
              </w:rPr>
            </w:pPr>
            <w:r>
              <w:rPr>
                <w:b/>
              </w:rPr>
              <w:t>SUMMARY</w:t>
            </w:r>
          </w:p>
        </w:tc>
      </w:tr>
      <w:tr w:rsidR="00770160" w14:paraId="45EBCCC5" w14:textId="77777777">
        <w:trPr>
          <w:cantSplit/>
          <w:jc w:val="center"/>
        </w:trPr>
        <w:tc>
          <w:tcPr>
            <w:tcW w:w="7200" w:type="dxa"/>
          </w:tcPr>
          <w:p w14:paraId="3D141163" w14:textId="44AFDB5C" w:rsidR="008E26D9" w:rsidRDefault="00D24AB5">
            <w:pPr>
              <w:rPr>
                <w:lang w:val="en-US"/>
              </w:rPr>
            </w:pPr>
            <w:r>
              <w:rPr>
                <w:lang w:val="en-US"/>
              </w:rPr>
              <w:t xml:space="preserve">This document provides an initial framework and plan to begin the development of ICAO SARPs for the radar altimeters.  </w:t>
            </w:r>
            <w:r w:rsidR="00F01E95">
              <w:rPr>
                <w:lang w:val="en-US"/>
              </w:rPr>
              <w:t xml:space="preserve">It also considers </w:t>
            </w:r>
            <w:r w:rsidR="00C36AE2">
              <w:rPr>
                <w:lang w:val="en-US"/>
              </w:rPr>
              <w:t xml:space="preserve">how </w:t>
            </w:r>
            <w:r w:rsidR="00F01E95">
              <w:rPr>
                <w:lang w:val="en-US"/>
              </w:rPr>
              <w:t>the process relates to the RTCA/Eurocae work</w:t>
            </w:r>
            <w:r w:rsidR="00C36AE2">
              <w:rPr>
                <w:lang w:val="en-US"/>
              </w:rPr>
              <w:t xml:space="preserve"> and the ITU-R</w:t>
            </w:r>
            <w:r w:rsidR="000F301B">
              <w:rPr>
                <w:lang w:val="en-US"/>
              </w:rPr>
              <w:t>.</w:t>
            </w:r>
          </w:p>
        </w:tc>
      </w:tr>
    </w:tbl>
    <w:p w14:paraId="021B7830" w14:textId="77777777" w:rsidR="00770160" w:rsidRDefault="00770160"/>
    <w:p w14:paraId="72DE7C03" w14:textId="77777777" w:rsidR="00770160" w:rsidRDefault="00770160"/>
    <w:p w14:paraId="5C48703C" w14:textId="77777777" w:rsidR="00770160" w:rsidRDefault="00770160">
      <w:pPr>
        <w:pStyle w:val="1Heading"/>
      </w:pPr>
      <w:r>
        <w:t>INTRODUCTION</w:t>
      </w:r>
    </w:p>
    <w:p w14:paraId="620682FD" w14:textId="25A61E7D" w:rsidR="00770160" w:rsidRDefault="00C36AE2">
      <w:pPr>
        <w:pStyle w:val="2para"/>
      </w:pPr>
      <w:r>
        <w:t xml:space="preserve">With the </w:t>
      </w:r>
      <w:r w:rsidR="007C33D6">
        <w:t>ongoing</w:t>
      </w:r>
      <w:r>
        <w:t xml:space="preserve"> development </w:t>
      </w:r>
      <w:r w:rsidR="007C33D6">
        <w:t>i</w:t>
      </w:r>
      <w:r>
        <w:t>n work at RTCA and Eurocae (</w:t>
      </w:r>
      <w:r w:rsidR="007C33D6">
        <w:t xml:space="preserve">the Standards Development Organizations – SDOs) to </w:t>
      </w:r>
      <w:r w:rsidR="000F301B">
        <w:t>develop</w:t>
      </w:r>
      <w:r w:rsidR="007C33D6">
        <w:t xml:space="preserve"> new Minimum Operational </w:t>
      </w:r>
      <w:r w:rsidR="00930A2E">
        <w:t>Performance</w:t>
      </w:r>
      <w:r w:rsidR="007C33D6">
        <w:t xml:space="preserve"> Standards (MOPS) for radar altimeters, ICAO should also start considering the </w:t>
      </w:r>
      <w:r w:rsidR="000F301B">
        <w:t>content</w:t>
      </w:r>
      <w:r w:rsidR="007C33D6">
        <w:t xml:space="preserve"> of </w:t>
      </w:r>
      <w:r w:rsidR="00930A2E">
        <w:t>Annex 10</w:t>
      </w:r>
      <w:r w:rsidR="005B7502">
        <w:t>, Vol. V</w:t>
      </w:r>
      <w:r w:rsidR="001D6A6F">
        <w:t xml:space="preserve"> and the process to get a final set of</w:t>
      </w:r>
      <w:r w:rsidR="00292CD8">
        <w:t xml:space="preserve"> Radar Altimeter</w:t>
      </w:r>
      <w:r w:rsidR="001D6A6F">
        <w:t xml:space="preserve"> SARP</w:t>
      </w:r>
      <w:r w:rsidR="00244055">
        <w:t>s</w:t>
      </w:r>
      <w:r w:rsidR="001D6A6F">
        <w:t xml:space="preserve">.  </w:t>
      </w:r>
      <w:r>
        <w:rPr>
          <w:lang w:val="en-US"/>
        </w:rPr>
        <w:t xml:space="preserve">While it is dependent on the work from RTCA and Eurocae to develop the MOPS first, planning for what material may be needed from the SDOs and how it is incorporated </w:t>
      </w:r>
      <w:r w:rsidR="00292CD8">
        <w:rPr>
          <w:lang w:val="en-US"/>
        </w:rPr>
        <w:t>should</w:t>
      </w:r>
      <w:r>
        <w:rPr>
          <w:lang w:val="en-US"/>
        </w:rPr>
        <w:t xml:space="preserve"> be initiated now</w:t>
      </w:r>
      <w:r w:rsidR="00CD7E99">
        <w:rPr>
          <w:lang w:val="en-US"/>
        </w:rPr>
        <w:t xml:space="preserve"> to benefit f</w:t>
      </w:r>
      <w:r w:rsidR="006D5318">
        <w:rPr>
          <w:lang w:val="en-US"/>
        </w:rPr>
        <w:t>ro</w:t>
      </w:r>
      <w:r w:rsidR="00CD7E99">
        <w:rPr>
          <w:lang w:val="en-US"/>
        </w:rPr>
        <w:t xml:space="preserve">m concurrent activity with the SDOs.  </w:t>
      </w:r>
      <w:r w:rsidR="00FA39AD">
        <w:rPr>
          <w:lang w:val="en-US"/>
        </w:rPr>
        <w:t xml:space="preserve">This work is a direct deliverable to ICAO Job Card </w:t>
      </w:r>
      <w:r w:rsidR="005152AA" w:rsidRPr="00644C12">
        <w:rPr>
          <w:rFonts w:eastAsia="Calibri"/>
          <w:bCs/>
        </w:rPr>
        <w:t>FSMP.006.02</w:t>
      </w:r>
    </w:p>
    <w:p w14:paraId="2EDC11E8" w14:textId="0FD11D77" w:rsidR="00770160" w:rsidRDefault="003B327B">
      <w:pPr>
        <w:pStyle w:val="1Heading"/>
      </w:pPr>
      <w:r>
        <w:t>RADAR ALTIMETER SARPS FRAMEWORK</w:t>
      </w:r>
    </w:p>
    <w:p w14:paraId="4BA7BDA2" w14:textId="0EDA8CE4" w:rsidR="00770160" w:rsidRDefault="003B327B">
      <w:pPr>
        <w:pStyle w:val="2para"/>
      </w:pPr>
      <w:r>
        <w:t xml:space="preserve">Annex A provide an initial framework to start development on material for the </w:t>
      </w:r>
      <w:r w:rsidR="006D5318">
        <w:t xml:space="preserve">ICAO </w:t>
      </w:r>
      <w:r>
        <w:t>SARPS</w:t>
      </w:r>
      <w:r w:rsidR="005B7502">
        <w:t xml:space="preserve">, </w:t>
      </w:r>
      <w:r w:rsidR="00BC2309">
        <w:t xml:space="preserve">developing the placeholder in Annex 10, Vol. V previously recommended by the FSMP in </w:t>
      </w:r>
      <w:r w:rsidR="00065607">
        <w:t xml:space="preserve">the </w:t>
      </w:r>
      <w:r w:rsidR="00D95F46">
        <w:t>September</w:t>
      </w:r>
      <w:r w:rsidR="00065607">
        <w:t xml:space="preserve"> 202</w:t>
      </w:r>
      <w:r w:rsidR="00D95F46">
        <w:t>2</w:t>
      </w:r>
      <w:r w:rsidR="00065607">
        <w:t xml:space="preserve"> Panel</w:t>
      </w:r>
      <w:r>
        <w:t xml:space="preserve">.  It considers three primary areas, </w:t>
      </w:r>
      <w:r w:rsidR="003F1683">
        <w:t xml:space="preserve">operating functions, </w:t>
      </w:r>
      <w:r w:rsidR="006D5318">
        <w:t>transmitter,</w:t>
      </w:r>
      <w:r w:rsidR="003F1683">
        <w:t xml:space="preserve"> and receiver performance.  However, t</w:t>
      </w:r>
      <w:r w:rsidR="005152AA">
        <w:t>here are several details (and potentially other areas) that should be considered in the work to develop this</w:t>
      </w:r>
      <w:r w:rsidR="005359AA">
        <w:t xml:space="preserve">.  These have </w:t>
      </w:r>
      <w:r w:rsidR="00244055">
        <w:t xml:space="preserve">also </w:t>
      </w:r>
      <w:r w:rsidR="005359AA">
        <w:t xml:space="preserve">been </w:t>
      </w:r>
      <w:r w:rsidR="00244055">
        <w:t>noted</w:t>
      </w:r>
      <w:r w:rsidR="005359AA">
        <w:t xml:space="preserve"> in the Annex</w:t>
      </w:r>
      <w:r w:rsidR="00244055">
        <w:t xml:space="preserve"> to ensure completeness</w:t>
      </w:r>
      <w:r w:rsidR="00DB3DF2">
        <w:t xml:space="preserve"> for any FSMP discussion</w:t>
      </w:r>
      <w:r w:rsidR="00244055">
        <w:t xml:space="preserve">, but this does not necessarily mean they will be incorporated into any final SARPs.  </w:t>
      </w:r>
    </w:p>
    <w:p w14:paraId="1F567CD8" w14:textId="08927B5B" w:rsidR="005152AA" w:rsidRDefault="005152AA">
      <w:pPr>
        <w:pStyle w:val="2para"/>
      </w:pPr>
      <w:r w:rsidRPr="005152AA">
        <w:rPr>
          <w:b/>
          <w:bCs/>
        </w:rPr>
        <w:t>Altitude dependent performance</w:t>
      </w:r>
      <w:r>
        <w:t xml:space="preserve"> – The radar altimeter </w:t>
      </w:r>
      <w:r w:rsidR="00D30389">
        <w:t xml:space="preserve">has </w:t>
      </w:r>
      <w:r w:rsidR="00C3022D">
        <w:t xml:space="preserve">a varying sensitivity to external interference, with more susceptibility the higher the </w:t>
      </w:r>
      <w:r w:rsidR="005359AA">
        <w:t xml:space="preserve">aircraft’s </w:t>
      </w:r>
      <w:r w:rsidR="00C3022D">
        <w:t xml:space="preserve">operational altitude above ground.  This will need to be accurately reflected in any </w:t>
      </w:r>
      <w:r w:rsidR="00836FA6">
        <w:t>defined interference tolerance mask</w:t>
      </w:r>
      <w:r w:rsidR="00F63CB1">
        <w:t xml:space="preserve"> (ITM)</w:t>
      </w:r>
      <w:r w:rsidR="00836FA6">
        <w:t>,</w:t>
      </w:r>
      <w:r w:rsidR="00F63CB1">
        <w:t xml:space="preserve"> may requiring multiple </w:t>
      </w:r>
      <w:r w:rsidR="00376421">
        <w:t xml:space="preserve">ITMs </w:t>
      </w:r>
      <w:r w:rsidR="00E362A3">
        <w:t xml:space="preserve">at different altitudes </w:t>
      </w:r>
      <w:r w:rsidR="00376421">
        <w:t xml:space="preserve">to </w:t>
      </w:r>
      <w:r w:rsidR="0010236A">
        <w:t>accurately</w:t>
      </w:r>
      <w:r w:rsidR="00376421">
        <w:t xml:space="preserve"> reflect </w:t>
      </w:r>
      <w:r w:rsidR="00DB3DF2">
        <w:t xml:space="preserve">receiver </w:t>
      </w:r>
      <w:r w:rsidR="00376421">
        <w:t>performance</w:t>
      </w:r>
      <w:r w:rsidR="002869AE">
        <w:t>.</w:t>
      </w:r>
    </w:p>
    <w:p w14:paraId="574AD28A" w14:textId="43D30F72" w:rsidR="00292CD8" w:rsidRPr="00E362A3" w:rsidRDefault="00E362A3" w:rsidP="00292CD8">
      <w:pPr>
        <w:pStyle w:val="2para"/>
      </w:pPr>
      <w:r w:rsidRPr="00347A9B">
        <w:rPr>
          <w:b/>
          <w:bCs/>
        </w:rPr>
        <w:t>Antenna performance</w:t>
      </w:r>
      <w:r>
        <w:t xml:space="preserve"> – The </w:t>
      </w:r>
      <w:r w:rsidR="00F87644">
        <w:t>parameters of the radar altimeter antenna are essential to defining (or even providing additional isolation</w:t>
      </w:r>
      <w:r w:rsidR="0027010D">
        <w:t xml:space="preserve"> to</w:t>
      </w:r>
      <w:r w:rsidR="00F87644">
        <w:t xml:space="preserve">) the radar altimeters RF performance.  Yet </w:t>
      </w:r>
      <w:r w:rsidR="00347A9B">
        <w:t xml:space="preserve">formally </w:t>
      </w:r>
      <w:r w:rsidR="00F87644">
        <w:t xml:space="preserve">standardizing </w:t>
      </w:r>
      <w:r w:rsidR="001F43FD">
        <w:t xml:space="preserve">antenna </w:t>
      </w:r>
      <w:r w:rsidR="00F87644">
        <w:t xml:space="preserve">performance may be </w:t>
      </w:r>
      <w:r w:rsidR="00347A9B">
        <w:t>problematic</w:t>
      </w:r>
      <w:r w:rsidR="00F87644">
        <w:t xml:space="preserve"> </w:t>
      </w:r>
      <w:r w:rsidR="00347A9B">
        <w:t xml:space="preserve">across all aircraft and usage.  </w:t>
      </w:r>
      <w:r w:rsidR="00E0374E">
        <w:t xml:space="preserve">Achieving this balance will be difficult if any antenna performance is kept </w:t>
      </w:r>
      <w:r w:rsidR="0094372F">
        <w:t xml:space="preserve">in some form </w:t>
      </w:r>
      <w:r w:rsidR="00E0374E">
        <w:t>within the SARPs</w:t>
      </w:r>
      <w:r w:rsidR="00292CD8">
        <w:t xml:space="preserve">, but it appears to be needed in some form.  </w:t>
      </w:r>
    </w:p>
    <w:p w14:paraId="1BFA924F" w14:textId="707B9432" w:rsidR="0010236A" w:rsidRDefault="00F1482B">
      <w:pPr>
        <w:pStyle w:val="2para"/>
      </w:pPr>
      <w:r w:rsidRPr="004C58C1">
        <w:rPr>
          <w:b/>
          <w:bCs/>
        </w:rPr>
        <w:t>Implementation</w:t>
      </w:r>
      <w:r w:rsidR="0010236A" w:rsidRPr="004C58C1">
        <w:rPr>
          <w:b/>
          <w:bCs/>
        </w:rPr>
        <w:t xml:space="preserve"> </w:t>
      </w:r>
      <w:r w:rsidRPr="004C58C1">
        <w:rPr>
          <w:b/>
          <w:bCs/>
        </w:rPr>
        <w:t>timelines</w:t>
      </w:r>
      <w:r w:rsidR="0010236A" w:rsidRPr="004C58C1">
        <w:rPr>
          <w:b/>
          <w:bCs/>
        </w:rPr>
        <w:t xml:space="preserve"> of new </w:t>
      </w:r>
      <w:r w:rsidRPr="004C58C1">
        <w:rPr>
          <w:b/>
          <w:bCs/>
        </w:rPr>
        <w:t>avionics</w:t>
      </w:r>
      <w:r>
        <w:t xml:space="preserve"> – Defining and approving a new avionics performance standard does not mean that all aircraft are </w:t>
      </w:r>
      <w:r w:rsidR="004C58C1">
        <w:t xml:space="preserve">immediately meeting such performance.  Traditional avionics lifecycles can take decades for a natural replacement cycle of commercial </w:t>
      </w:r>
      <w:r w:rsidR="00D95F46">
        <w:t>aircraft;</w:t>
      </w:r>
      <w:r w:rsidR="004C58C1">
        <w:t xml:space="preserve"> therefore applicability dates will need to be considered for any </w:t>
      </w:r>
      <w:r w:rsidR="00292CD8">
        <w:t>new</w:t>
      </w:r>
      <w:r w:rsidR="004C58C1">
        <w:t xml:space="preserve"> standard</w:t>
      </w:r>
      <w:r w:rsidR="00292CD8">
        <w:t xml:space="preserve"> and how the existing avionics performance may need to be captured</w:t>
      </w:r>
      <w:r w:rsidR="0094372F">
        <w:t xml:space="preserve"> in the interim</w:t>
      </w:r>
      <w:r w:rsidR="004C58C1">
        <w:t xml:space="preserve">.  </w:t>
      </w:r>
    </w:p>
    <w:p w14:paraId="54AA5F56" w14:textId="77777777" w:rsidR="006477FD" w:rsidRPr="006477FD" w:rsidRDefault="000C114F">
      <w:pPr>
        <w:pStyle w:val="2para"/>
      </w:pPr>
      <w:r>
        <w:rPr>
          <w:b/>
          <w:bCs/>
        </w:rPr>
        <w:t>Applicable operational scenarios</w:t>
      </w:r>
    </w:p>
    <w:p w14:paraId="79CF21BB" w14:textId="78230E02" w:rsidR="004C58C1" w:rsidRDefault="00046260">
      <w:pPr>
        <w:pStyle w:val="2para"/>
      </w:pPr>
      <w:r>
        <w:t xml:space="preserve">Much of the national level work has concerned defining the </w:t>
      </w:r>
      <w:r w:rsidR="001D3236">
        <w:t>operational</w:t>
      </w:r>
      <w:r>
        <w:t xml:space="preserve"> scenarios </w:t>
      </w:r>
      <w:r w:rsidR="001D3236">
        <w:t xml:space="preserve">that the technical </w:t>
      </w:r>
      <w:r w:rsidR="00044861">
        <w:t>parameters</w:t>
      </w:r>
      <w:r w:rsidR="001D3236">
        <w:t xml:space="preserve"> can be applied to</w:t>
      </w:r>
      <w:r w:rsidR="00044861">
        <w:t xml:space="preserve">, i.e. how close can aircraft get to ground obstacles.  However, </w:t>
      </w:r>
      <w:r w:rsidR="001D3236">
        <w:t xml:space="preserve">little exists as international guidance to avoid ‘reinventing the wheel’ by each nation state when assessing radar altimeter interference in different phases of flight.  While not part of </w:t>
      </w:r>
      <w:r w:rsidR="00AD198E">
        <w:t>Annex 10, Vol. V</w:t>
      </w:r>
      <w:r w:rsidR="00044861">
        <w:t xml:space="preserve"> work</w:t>
      </w:r>
      <w:r w:rsidR="00AD198E">
        <w:t xml:space="preserve">, consideration should be given to complementary ICAO operational guidance to better assist national processes for any radar altimeter assessments (or even other </w:t>
      </w:r>
      <w:r w:rsidR="00D21B31">
        <w:t>aviation systems in similar circumstances)</w:t>
      </w:r>
      <w:r w:rsidR="002869AE">
        <w:t>.</w:t>
      </w:r>
    </w:p>
    <w:p w14:paraId="165F0E92" w14:textId="77777777" w:rsidR="008E26D9" w:rsidRPr="00422E47" w:rsidRDefault="008E26D9" w:rsidP="008E26D9">
      <w:pPr>
        <w:pStyle w:val="3para"/>
      </w:pPr>
      <w:r w:rsidRPr="00422E47">
        <w:rPr>
          <w:b/>
          <w:bCs/>
        </w:rPr>
        <w:t>Runway Safety Zones</w:t>
      </w:r>
      <w:r w:rsidRPr="00422E47">
        <w:t xml:space="preserve"> – An example of guidance that has immediate need is harmonization of the definition of Runway Safety Zones (</w:t>
      </w:r>
      <w:proofErr w:type="spellStart"/>
      <w:r w:rsidRPr="00422E47">
        <w:t>RSZs</w:t>
      </w:r>
      <w:proofErr w:type="spellEnd"/>
      <w:r w:rsidRPr="00422E47">
        <w:t xml:space="preserve">) around runways. Actions by multiple Administrations to develop rules controlling potential harmful interference from new 5G emissions to existing radio altimeters have identified a need to limit emissions in critical operational volumes around airport runways. The approaches currently proposed in several countries generally involve specifying </w:t>
      </w:r>
      <w:proofErr w:type="spellStart"/>
      <w:r w:rsidRPr="00422E47">
        <w:t>RSZs</w:t>
      </w:r>
      <w:proofErr w:type="spellEnd"/>
      <w:r w:rsidRPr="00422E47">
        <w:t xml:space="preserve"> that define an operational area or volume in which controls on 5G emissions must be imposed to effectively reduce the risk of harmful interference to acceptable levels. These definitions have proceeded on an Administration-by-Administration basis without the benefit of an aviation industry document that can provide a common definition of relevant parameters to promote a harmonized approach to establishing the conditions that will reduce the risk of harmful interference to acceptable levels for all aircraft operations at all airports.</w:t>
      </w:r>
    </w:p>
    <w:p w14:paraId="57BEB0BC" w14:textId="77777777" w:rsidR="008E26D9" w:rsidRPr="00422E47" w:rsidRDefault="008E26D9" w:rsidP="008E26D9">
      <w:pPr>
        <w:pStyle w:val="3para"/>
      </w:pPr>
      <w:r w:rsidRPr="00422E47">
        <w:t>ICAO defines Obstacle Limitation Surfaces (OLS) in Chapter 4 of Annex 14 to the Convention on International Civil Aviation in the Procedures for Air Navigation Services – Aircraft Operations (PANS-OPS). Administrations can also define similar constructs, such as the Obstacle Clearance Surfaces (OCS) specified in the United States Standard for Terminal Instrument Procedures (TERPS). These standards define operational volumes around airport runways that are intended to control physical structures located on or near airports. These existing standards, coupled with an understanding of potential wireless communications transmitter locations and emissions characteristics, can be used to evaluate the risk of harmful interference in nominal and off-nominal aircraft operations in proximity of control surfaces.</w:t>
      </w:r>
    </w:p>
    <w:p w14:paraId="498F07E5" w14:textId="77777777" w:rsidR="008E26D9" w:rsidRPr="00422E47" w:rsidRDefault="008E26D9" w:rsidP="008E26D9">
      <w:pPr>
        <w:pStyle w:val="3para"/>
      </w:pPr>
      <w:r w:rsidRPr="00422E47">
        <w:t xml:space="preserve">Given that aircraft must often operate internationally, international standards should be defined that provide a uniform means of characterizing the risk of harmful interference to radio altimeters given the </w:t>
      </w:r>
      <w:proofErr w:type="spellStart"/>
      <w:r w:rsidRPr="00422E47">
        <w:t>center</w:t>
      </w:r>
      <w:proofErr w:type="spellEnd"/>
      <w:r w:rsidRPr="00422E47">
        <w:t xml:space="preserve"> frequency, bandwidth, maximum average output power, unwanted emissions levels, and antenna characteristics of 5G transmitters. This analysis can then inform the development of internationally consistent mitigations that minimize the impact to aircraft operations while enabling the least constrained, yet still compatible, deployment of 5G services.</w:t>
      </w:r>
    </w:p>
    <w:p w14:paraId="62CF385A" w14:textId="0C782B2C" w:rsidR="008E26D9" w:rsidRPr="00422E47" w:rsidRDefault="008E26D9" w:rsidP="008E26D9">
      <w:pPr>
        <w:pStyle w:val="3para"/>
      </w:pPr>
      <w:r w:rsidRPr="00422E47">
        <w:t>Recognizing that the ICAO Flight Operations Panel (</w:t>
      </w:r>
      <w:proofErr w:type="spellStart"/>
      <w:r w:rsidRPr="00422E47">
        <w:t>FLTOPSP</w:t>
      </w:r>
      <w:proofErr w:type="spellEnd"/>
      <w:r w:rsidRPr="00422E47">
        <w:t xml:space="preserve">) is charged with developing strategy and coordinated solutions for air traffic management to ensure a harmonized global ATM operational environment, and that detailed knowledge of terminal procedures is necessary to develop recommended mitigations intended to minimize the impact of impaired radio altimeter performance due to harmful interference, it would be useful for the work of the FSMP to seek input from </w:t>
      </w:r>
      <w:proofErr w:type="spellStart"/>
      <w:r w:rsidRPr="00422E47">
        <w:t>FLTOPSP</w:t>
      </w:r>
      <w:proofErr w:type="spellEnd"/>
      <w:r w:rsidRPr="00422E47">
        <w:t xml:space="preserve"> on the potential impact to relevant flight operations that can be coordinated with the ITU-R and state spectrum and aviation regulation Administrations to develop harmonized mitigations, including the establishment of Runway Safety Zones that provide equivalent levels of risk reduction given the specific 5G emission parameters defined in each country.</w:t>
      </w:r>
      <w:r w:rsidR="002E1F9B" w:rsidRPr="00422E47">
        <w:t xml:space="preserve">  An initial response </w:t>
      </w:r>
      <w:r w:rsidR="00422E47" w:rsidRPr="00422E47">
        <w:t xml:space="preserve">and guidance </w:t>
      </w:r>
      <w:r w:rsidR="002E1F9B" w:rsidRPr="00422E47">
        <w:t xml:space="preserve">to this request </w:t>
      </w:r>
      <w:r w:rsidR="00422E47" w:rsidRPr="00422E47">
        <w:t>would be preferred by the Next FSMP WG meeting in late Aug 2023.</w:t>
      </w:r>
    </w:p>
    <w:p w14:paraId="56686C5D" w14:textId="7FDF093A" w:rsidR="001D3236" w:rsidRDefault="001D3236" w:rsidP="001D3236">
      <w:pPr>
        <w:pStyle w:val="1Heading"/>
      </w:pPr>
      <w:r>
        <w:t>PROCESS FOR IMPLEMENTATION OF NEW RADAR ALTIMETER PERFORMANCE STANDARDS</w:t>
      </w:r>
    </w:p>
    <w:p w14:paraId="6506875F" w14:textId="7444E596" w:rsidR="00376421" w:rsidRDefault="00F175DE" w:rsidP="00FA0EA6">
      <w:pPr>
        <w:pStyle w:val="2para"/>
      </w:pPr>
      <w:r>
        <w:t>Given the current work at the SDO level with an estimate of early 2024 for a published MOPS document</w:t>
      </w:r>
      <w:r w:rsidR="00967454">
        <w:t xml:space="preserve">, it is proposed that </w:t>
      </w:r>
      <w:r w:rsidR="00A146AF">
        <w:t>the ICA</w:t>
      </w:r>
      <w:r w:rsidR="00EA4110">
        <w:t>O</w:t>
      </w:r>
      <w:r w:rsidR="00726F5C">
        <w:t xml:space="preserve"> SARP</w:t>
      </w:r>
      <w:r w:rsidR="002872EE">
        <w:t>s</w:t>
      </w:r>
      <w:r w:rsidR="00726F5C">
        <w:t xml:space="preserve"> </w:t>
      </w:r>
      <w:r w:rsidR="007B40B7">
        <w:t xml:space="preserve">work be conducted concurrently with RTCA and Eurocae to ensure the necessary information is made available.  </w:t>
      </w:r>
      <w:r w:rsidR="007A0B75">
        <w:t>This would allow for a greater time to consider the parameters, while also allowing the ICAO SARP</w:t>
      </w:r>
      <w:r w:rsidR="002872EE">
        <w:t>s</w:t>
      </w:r>
      <w:r w:rsidR="007A0B75">
        <w:t xml:space="preserve"> to be quickly finalized o</w:t>
      </w:r>
      <w:r w:rsidR="007B40B7">
        <w:t xml:space="preserve">nce the MOPS has been </w:t>
      </w:r>
      <w:r w:rsidR="007A0B75">
        <w:t xml:space="preserve">approved.  Once this work is complete, it is recommended that the information be sent to the ITU-R to update ITU-R Recommendation M.2059-0 with updated characteristics.  </w:t>
      </w:r>
      <w:r w:rsidR="0090653E">
        <w:t xml:space="preserve">It is recommended the outcome of </w:t>
      </w:r>
      <w:r w:rsidR="0035728A">
        <w:t xml:space="preserve">FSMP WG/16 </w:t>
      </w:r>
      <w:r w:rsidR="0090653E">
        <w:t>discussions for Anne</w:t>
      </w:r>
      <w:r w:rsidR="0035728A">
        <w:t>x A be incorporated into a Flimsy</w:t>
      </w:r>
      <w:r w:rsidR="0090653E">
        <w:t xml:space="preserve"> </w:t>
      </w:r>
      <w:r w:rsidR="0035728A">
        <w:t xml:space="preserve">and sent to RTCA/Eurocae to update them on the ICAO SARPs work and seek contributions/updates to future meetings.  </w:t>
      </w:r>
    </w:p>
    <w:p w14:paraId="76CB3506" w14:textId="1DB8B91E" w:rsidR="00D4582A" w:rsidRDefault="00D4582A" w:rsidP="00D4582A">
      <w:pPr>
        <w:pStyle w:val="1Heading"/>
      </w:pPr>
      <w:r>
        <w:t>CONCLUSION</w:t>
      </w:r>
    </w:p>
    <w:p w14:paraId="403B87CF" w14:textId="3CC3BE47" w:rsidR="00D4582A" w:rsidRPr="00D4582A" w:rsidRDefault="00D4582A" w:rsidP="00D4582A">
      <w:pPr>
        <w:pStyle w:val="2para"/>
      </w:pPr>
      <w:r>
        <w:t>Development of suitable RF performance characteristics at the SDO, ICAO and the ITU-R level is essential to ensure future aviation systems are protected</w:t>
      </w:r>
      <w:r w:rsidR="002872EE">
        <w:t>.  The FSMP should actively solicit comments</w:t>
      </w:r>
      <w:r w:rsidR="0035728A">
        <w:t>, both from FSMP members and also SDOs,</w:t>
      </w:r>
      <w:r w:rsidR="002872EE">
        <w:t xml:space="preserve"> on the </w:t>
      </w:r>
      <w:r w:rsidR="00B4247E">
        <w:t>attached framework</w:t>
      </w:r>
      <w:r w:rsidR="002872EE">
        <w:t xml:space="preserve"> at future meetings to work towards a 2024 SARPs recommendation to the ANC</w:t>
      </w:r>
      <w:r w:rsidR="0035728A">
        <w:t>.</w:t>
      </w:r>
    </w:p>
    <w:p w14:paraId="7D22CD35" w14:textId="77777777" w:rsidR="00770160" w:rsidRDefault="00770160">
      <w:pPr>
        <w:pStyle w:val="1Heading"/>
      </w:pPr>
      <w:r>
        <w:t>ACTION BY THE MEETING</w:t>
      </w:r>
    </w:p>
    <w:p w14:paraId="3B2776E5" w14:textId="77777777" w:rsidR="00770160" w:rsidRDefault="00770160">
      <w:pPr>
        <w:pStyle w:val="2para"/>
      </w:pPr>
      <w:r>
        <w:t>The meeting is invited to:</w:t>
      </w:r>
    </w:p>
    <w:p w14:paraId="740906C8" w14:textId="77777777" w:rsidR="00770160" w:rsidRDefault="00770160">
      <w:pPr>
        <w:pStyle w:val="Listabc"/>
      </w:pPr>
      <w:r>
        <w:rPr>
          <w:lang w:val="en-GB"/>
        </w:rPr>
        <w:t>n</w:t>
      </w:r>
      <w:r>
        <w:t>ote and review the contents of this working paper;</w:t>
      </w:r>
    </w:p>
    <w:p w14:paraId="1FC48B28" w14:textId="6C2A6535" w:rsidR="0003769C" w:rsidRPr="007F6DE6" w:rsidRDefault="007F6DE6">
      <w:pPr>
        <w:pStyle w:val="Listabc"/>
        <w:rPr>
          <w:highlight w:val="yellow"/>
        </w:rPr>
      </w:pPr>
      <w:r w:rsidRPr="007F6DE6">
        <w:rPr>
          <w:highlight w:val="yellow"/>
        </w:rPr>
        <w:t xml:space="preserve">Send material in Section 2.5 to the FltOps Panel; </w:t>
      </w:r>
    </w:p>
    <w:p w14:paraId="19560D76" w14:textId="553B6C59" w:rsidR="00770160" w:rsidRDefault="00BD32D0">
      <w:pPr>
        <w:pStyle w:val="Listabc"/>
      </w:pPr>
      <w:r>
        <w:t xml:space="preserve">seek comments on scope of proposed </w:t>
      </w:r>
      <w:r w:rsidR="009E7462">
        <w:t>Annex 10 SARPs framework in Annex A</w:t>
      </w:r>
      <w:r w:rsidR="00A146AF">
        <w:t xml:space="preserve"> and incoporate these into a Flimsy</w:t>
      </w:r>
      <w:r w:rsidR="00770160">
        <w:t>;</w:t>
      </w:r>
    </w:p>
    <w:p w14:paraId="56C81D39" w14:textId="3CAFD572" w:rsidR="002D24C8" w:rsidRDefault="002D24C8">
      <w:pPr>
        <w:pStyle w:val="Listabc"/>
      </w:pPr>
      <w:r>
        <w:t xml:space="preserve">Send </w:t>
      </w:r>
      <w:r w:rsidR="00A146AF">
        <w:t>Flimsy</w:t>
      </w:r>
      <w:r>
        <w:t xml:space="preserve"> to RTCA and Eurocae to provide context on the current ICAO Annex 10 plans</w:t>
      </w:r>
      <w:r w:rsidR="00A146AF">
        <w:t xml:space="preserve"> for feedback</w:t>
      </w:r>
      <w:r>
        <w:t>; and</w:t>
      </w:r>
    </w:p>
    <w:p w14:paraId="154F2370" w14:textId="4F310834" w:rsidR="00423C6F" w:rsidRDefault="004009DE" w:rsidP="00F56F90">
      <w:pPr>
        <w:pStyle w:val="Listabc"/>
      </w:pPr>
      <w:r>
        <w:t xml:space="preserve">seek </w:t>
      </w:r>
      <w:r w:rsidR="002D24C8">
        <w:t xml:space="preserve">future </w:t>
      </w:r>
      <w:r>
        <w:t xml:space="preserve">contributions </w:t>
      </w:r>
      <w:r w:rsidR="00A965AB">
        <w:t>to the ICAO FSMP to</w:t>
      </w:r>
      <w:r w:rsidR="002D24C8">
        <w:t xml:space="preserve"> develop the </w:t>
      </w:r>
      <w:r w:rsidR="00766C47">
        <w:t>Annex 10, Vol. V</w:t>
      </w:r>
      <w:r w:rsidR="002D24C8">
        <w:t xml:space="preserve"> </w:t>
      </w:r>
      <w:r w:rsidR="005B7502">
        <w:t xml:space="preserve">additions </w:t>
      </w:r>
      <w:r w:rsidR="002D24C8">
        <w:t>in conjunction with the SDO</w:t>
      </w:r>
      <w:r w:rsidR="00A965AB">
        <w:t>s</w:t>
      </w:r>
      <w:r w:rsidR="002D24C8">
        <w:t xml:space="preserve"> </w:t>
      </w:r>
      <w:r w:rsidR="00A965AB">
        <w:t>wi</w:t>
      </w:r>
      <w:r w:rsidR="0005784B">
        <w:t xml:space="preserve">th </w:t>
      </w:r>
      <w:r w:rsidR="00A965AB">
        <w:t xml:space="preserve">a target </w:t>
      </w:r>
      <w:r w:rsidR="005B7502">
        <w:t xml:space="preserve">date of </w:t>
      </w:r>
      <w:r w:rsidR="00A965AB">
        <w:t>2024</w:t>
      </w:r>
      <w:r w:rsidR="005B7502">
        <w:t xml:space="preserve"> for the FSMP</w:t>
      </w:r>
      <w:r w:rsidR="00A965AB">
        <w:t xml:space="preserve"> </w:t>
      </w:r>
      <w:r w:rsidR="00766C47">
        <w:t>to provide a recommendation to the ANC</w:t>
      </w:r>
      <w:r w:rsidR="00770160">
        <w:t>.</w:t>
      </w:r>
    </w:p>
    <w:p w14:paraId="180F42AD" w14:textId="77777777" w:rsidR="00E5621A" w:rsidRDefault="00E5621A" w:rsidP="00423C6F">
      <w:pPr>
        <w:pStyle w:val="Listabc"/>
        <w:numPr>
          <w:ilvl w:val="0"/>
          <w:numId w:val="0"/>
        </w:numPr>
      </w:pPr>
    </w:p>
    <w:p w14:paraId="1C7DA929" w14:textId="77777777" w:rsidR="00A12CBA" w:rsidRDefault="00770160" w:rsidP="00E91DF2">
      <w:pPr>
        <w:spacing w:before="600"/>
        <w:jc w:val="center"/>
      </w:pPr>
      <w:r>
        <w:t>— END —</w:t>
      </w:r>
    </w:p>
    <w:p w14:paraId="4C050E25" w14:textId="77777777" w:rsidR="00471045" w:rsidRDefault="00471045" w:rsidP="00E91DF2">
      <w:pPr>
        <w:spacing w:before="600"/>
        <w:jc w:val="center"/>
        <w:sectPr w:rsidR="00471045">
          <w:headerReference w:type="even" r:id="rId10"/>
          <w:headerReference w:type="default" r:id="rId11"/>
          <w:footerReference w:type="even" r:id="rId12"/>
          <w:footerReference w:type="default" r:id="rId13"/>
          <w:headerReference w:type="first" r:id="rId14"/>
          <w:footerReference w:type="first" r:id="rId15"/>
          <w:pgSz w:w="12242" w:h="15842" w:code="1"/>
          <w:pgMar w:top="1627" w:right="1247" w:bottom="1440" w:left="1247" w:header="1009" w:footer="720" w:gutter="0"/>
          <w:cols w:space="720"/>
          <w:titlePg/>
        </w:sectPr>
      </w:pPr>
    </w:p>
    <w:p w14:paraId="6703BAB6" w14:textId="77777777" w:rsidR="00471045" w:rsidRDefault="00471045" w:rsidP="00471045"/>
    <w:p w14:paraId="151EB8ED" w14:textId="77777777" w:rsidR="00471045" w:rsidRDefault="00471045" w:rsidP="00471045"/>
    <w:p w14:paraId="1676403F" w14:textId="77777777" w:rsidR="00471045" w:rsidRDefault="00471045" w:rsidP="00471045"/>
    <w:p w14:paraId="518B6808" w14:textId="77777777" w:rsidR="00471045" w:rsidRDefault="00471045" w:rsidP="00471045">
      <w:pPr>
        <w:jc w:val="center"/>
        <w:rPr>
          <w:b/>
          <w:bCs/>
          <w:sz w:val="28"/>
          <w:szCs w:val="28"/>
        </w:rPr>
      </w:pPr>
      <w:r>
        <w:rPr>
          <w:b/>
          <w:bCs/>
          <w:sz w:val="28"/>
          <w:szCs w:val="28"/>
        </w:rPr>
        <w:t>CHAPTER 1.</w:t>
      </w:r>
      <w:r>
        <w:rPr>
          <w:b/>
          <w:bCs/>
          <w:sz w:val="28"/>
          <w:szCs w:val="28"/>
        </w:rPr>
        <w:tab/>
        <w:t>DEFINITIONS</w:t>
      </w:r>
    </w:p>
    <w:p w14:paraId="6C22EF1E" w14:textId="77777777" w:rsidR="00471045" w:rsidRDefault="00471045" w:rsidP="00471045">
      <w:pPr>
        <w:jc w:val="center"/>
        <w:rPr>
          <w:szCs w:val="24"/>
        </w:rPr>
      </w:pPr>
    </w:p>
    <w:p w14:paraId="133C478A" w14:textId="77777777" w:rsidR="00471045" w:rsidRDefault="00471045" w:rsidP="00471045">
      <w:pPr>
        <w:jc w:val="center"/>
        <w:rPr>
          <w:color w:val="000000"/>
        </w:rPr>
      </w:pPr>
    </w:p>
    <w:p w14:paraId="730B414B" w14:textId="48A0DDB8" w:rsidR="00165ED0" w:rsidRPr="00165ED0" w:rsidRDefault="00165ED0" w:rsidP="00165ED0">
      <w:pPr>
        <w:rPr>
          <w:bCs/>
          <w:i/>
        </w:rPr>
      </w:pPr>
      <w:r>
        <w:rPr>
          <w:bCs/>
          <w:i/>
        </w:rPr>
        <w:t>[Editor’s note:</w:t>
      </w:r>
      <w:r w:rsidR="003975AF">
        <w:rPr>
          <w:bCs/>
          <w:i/>
        </w:rPr>
        <w:t xml:space="preserve"> </w:t>
      </w:r>
      <w:r>
        <w:rPr>
          <w:bCs/>
          <w:i/>
        </w:rPr>
        <w:t xml:space="preserve">These are included from the below section text in </w:t>
      </w:r>
      <w:r w:rsidR="0079787E">
        <w:rPr>
          <w:bCs/>
          <w:i/>
        </w:rPr>
        <w:t>isolation</w:t>
      </w:r>
      <w:r>
        <w:rPr>
          <w:bCs/>
          <w:i/>
        </w:rPr>
        <w:t xml:space="preserve"> from the rest of Annex 10</w:t>
      </w:r>
      <w:r w:rsidR="0079787E">
        <w:rPr>
          <w:bCs/>
          <w:i/>
        </w:rPr>
        <w:t xml:space="preserve">.  Therefore </w:t>
      </w:r>
      <w:r w:rsidR="00680A6F">
        <w:rPr>
          <w:bCs/>
          <w:i/>
        </w:rPr>
        <w:t>development</w:t>
      </w:r>
      <w:r w:rsidR="0079787E">
        <w:rPr>
          <w:bCs/>
          <w:i/>
        </w:rPr>
        <w:t xml:space="preserve"> of the</w:t>
      </w:r>
      <w:r w:rsidR="003975AF">
        <w:rPr>
          <w:bCs/>
          <w:i/>
        </w:rPr>
        <w:t>s</w:t>
      </w:r>
      <w:r w:rsidR="0079787E">
        <w:rPr>
          <w:bCs/>
          <w:i/>
        </w:rPr>
        <w:t xml:space="preserve">e should check for </w:t>
      </w:r>
      <w:r w:rsidR="00680A6F">
        <w:rPr>
          <w:bCs/>
          <w:i/>
        </w:rPr>
        <w:t>existing</w:t>
      </w:r>
      <w:r w:rsidR="0079787E">
        <w:rPr>
          <w:bCs/>
          <w:i/>
        </w:rPr>
        <w:t xml:space="preserve"> definitions/references that may already be</w:t>
      </w:r>
      <w:r w:rsidR="00680A6F">
        <w:rPr>
          <w:bCs/>
          <w:i/>
        </w:rPr>
        <w:t xml:space="preserve"> published]</w:t>
      </w:r>
    </w:p>
    <w:p w14:paraId="7F71A271" w14:textId="77777777" w:rsidR="00471045" w:rsidRDefault="00471045" w:rsidP="00471045">
      <w:pPr>
        <w:ind w:left="360" w:hanging="360"/>
        <w:rPr>
          <w:b/>
          <w:i/>
        </w:rPr>
      </w:pPr>
    </w:p>
    <w:p w14:paraId="4571CD4D" w14:textId="3BA484F8" w:rsidR="00471045" w:rsidRDefault="003B327B" w:rsidP="00471045">
      <w:pPr>
        <w:ind w:left="360" w:hanging="360"/>
        <w:rPr>
          <w:b/>
          <w:i/>
        </w:rPr>
      </w:pPr>
      <w:r>
        <w:rPr>
          <w:b/>
          <w:i/>
        </w:rPr>
        <w:t>Radar Altimeter</w:t>
      </w:r>
      <w:r w:rsidR="00471045">
        <w:rPr>
          <w:b/>
          <w:i/>
        </w:rPr>
        <w:t xml:space="preserve"> – </w:t>
      </w:r>
    </w:p>
    <w:p w14:paraId="65F2DED5" w14:textId="77777777" w:rsidR="000F1EC0" w:rsidRDefault="000F1EC0" w:rsidP="00471045">
      <w:pPr>
        <w:ind w:left="360" w:hanging="360"/>
        <w:rPr>
          <w:b/>
          <w:i/>
        </w:rPr>
      </w:pPr>
    </w:p>
    <w:p w14:paraId="6DB5D578" w14:textId="470B306D" w:rsidR="00F63CB1" w:rsidRDefault="00F63CB1" w:rsidP="00F63CB1">
      <w:pPr>
        <w:ind w:left="360" w:hanging="360"/>
        <w:rPr>
          <w:b/>
          <w:i/>
        </w:rPr>
      </w:pPr>
      <w:r>
        <w:rPr>
          <w:b/>
          <w:i/>
        </w:rPr>
        <w:t xml:space="preserve">FDR – </w:t>
      </w:r>
    </w:p>
    <w:p w14:paraId="32791200" w14:textId="77777777" w:rsidR="00F63CB1" w:rsidRDefault="00F63CB1" w:rsidP="00F63CB1">
      <w:pPr>
        <w:ind w:left="360" w:hanging="360"/>
        <w:rPr>
          <w:b/>
          <w:i/>
        </w:rPr>
      </w:pPr>
    </w:p>
    <w:p w14:paraId="1E12B3A7" w14:textId="1A81B903" w:rsidR="000F1EC0" w:rsidRDefault="000F1EC0" w:rsidP="00471045">
      <w:pPr>
        <w:ind w:left="360" w:hanging="360"/>
        <w:rPr>
          <w:b/>
          <w:i/>
        </w:rPr>
      </w:pPr>
      <w:r>
        <w:rPr>
          <w:b/>
          <w:i/>
        </w:rPr>
        <w:t xml:space="preserve">FMCW – </w:t>
      </w:r>
    </w:p>
    <w:p w14:paraId="0388C6FA" w14:textId="77777777" w:rsidR="00F6205E" w:rsidRDefault="00F6205E" w:rsidP="00471045">
      <w:pPr>
        <w:ind w:left="360" w:hanging="360"/>
        <w:rPr>
          <w:b/>
          <w:i/>
        </w:rPr>
      </w:pPr>
    </w:p>
    <w:p w14:paraId="66280F6C" w14:textId="0D3F100D" w:rsidR="00F6205E" w:rsidRDefault="00F6205E" w:rsidP="00471045">
      <w:pPr>
        <w:ind w:left="360" w:hanging="360"/>
        <w:rPr>
          <w:b/>
          <w:i/>
        </w:rPr>
      </w:pPr>
      <w:r w:rsidRPr="00F6205E">
        <w:rPr>
          <w:b/>
          <w:i/>
        </w:rPr>
        <w:t>HMI</w:t>
      </w:r>
      <w:r>
        <w:rPr>
          <w:b/>
          <w:i/>
        </w:rPr>
        <w:t xml:space="preserve"> </w:t>
      </w:r>
      <w:r w:rsidR="00165ED0">
        <w:rPr>
          <w:b/>
          <w:i/>
        </w:rPr>
        <w:t>–</w:t>
      </w:r>
      <w:r>
        <w:rPr>
          <w:b/>
          <w:i/>
        </w:rPr>
        <w:t xml:space="preserve"> </w:t>
      </w:r>
    </w:p>
    <w:p w14:paraId="790364F8" w14:textId="77777777" w:rsidR="00165ED0" w:rsidRDefault="00165ED0" w:rsidP="00471045">
      <w:pPr>
        <w:ind w:left="360" w:hanging="360"/>
        <w:rPr>
          <w:b/>
          <w:i/>
        </w:rPr>
      </w:pPr>
    </w:p>
    <w:p w14:paraId="23D63E44" w14:textId="140C8A76" w:rsidR="00F63CB1" w:rsidRDefault="00F63CB1" w:rsidP="00471045">
      <w:pPr>
        <w:ind w:left="360" w:hanging="360"/>
        <w:rPr>
          <w:b/>
          <w:i/>
        </w:rPr>
      </w:pPr>
      <w:r>
        <w:rPr>
          <w:b/>
          <w:i/>
        </w:rPr>
        <w:t xml:space="preserve">SDO - </w:t>
      </w:r>
    </w:p>
    <w:p w14:paraId="39DDCD61" w14:textId="77777777" w:rsidR="00471045" w:rsidRDefault="00471045" w:rsidP="00471045">
      <w:pPr>
        <w:ind w:left="360" w:hanging="360"/>
        <w:rPr>
          <w:b/>
        </w:rPr>
      </w:pPr>
    </w:p>
    <w:p w14:paraId="5E714462" w14:textId="77777777" w:rsidR="00471045" w:rsidRDefault="00471045" w:rsidP="00471045">
      <w:pPr>
        <w:jc w:val="left"/>
        <w:rPr>
          <w:highlight w:val="lightGray"/>
        </w:rPr>
      </w:pP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907"/>
        <w:gridCol w:w="7663"/>
      </w:tblGrid>
      <w:tr w:rsidR="00471045" w14:paraId="54069086" w14:textId="77777777" w:rsidTr="00471045">
        <w:tc>
          <w:tcPr>
            <w:tcW w:w="1908" w:type="dxa"/>
            <w:tcBorders>
              <w:top w:val="single" w:sz="4" w:space="0" w:color="000000"/>
              <w:left w:val="single" w:sz="4" w:space="0" w:color="000000"/>
              <w:bottom w:val="single" w:sz="4" w:space="0" w:color="000000"/>
              <w:right w:val="single" w:sz="4" w:space="0" w:color="000000"/>
            </w:tcBorders>
          </w:tcPr>
          <w:p w14:paraId="3A59417D" w14:textId="77777777" w:rsidR="00471045" w:rsidRDefault="00471045">
            <w:pPr>
              <w:rPr>
                <w:b/>
              </w:rPr>
            </w:pPr>
            <w:r>
              <w:rPr>
                <w:b/>
              </w:rPr>
              <w:t>Origin:</w:t>
            </w:r>
            <w:bookmarkStart w:id="10" w:name="_heading=h.1fob9te"/>
            <w:bookmarkEnd w:id="10"/>
          </w:p>
          <w:p w14:paraId="0D3222BE" w14:textId="77777777" w:rsidR="00471045" w:rsidRDefault="00471045"/>
          <w:p w14:paraId="576B8DB1" w14:textId="77777777" w:rsidR="00471045" w:rsidRDefault="00471045">
            <w:r>
              <w:t>FSMP</w:t>
            </w:r>
          </w:p>
        </w:tc>
        <w:tc>
          <w:tcPr>
            <w:tcW w:w="7668" w:type="dxa"/>
            <w:tcBorders>
              <w:top w:val="single" w:sz="4" w:space="0" w:color="000000"/>
              <w:left w:val="single" w:sz="4" w:space="0" w:color="000000"/>
              <w:bottom w:val="single" w:sz="4" w:space="0" w:color="000000"/>
              <w:right w:val="single" w:sz="4" w:space="0" w:color="000000"/>
            </w:tcBorders>
          </w:tcPr>
          <w:p w14:paraId="5427A1C1" w14:textId="77777777" w:rsidR="00471045" w:rsidRDefault="00471045">
            <w:pPr>
              <w:rPr>
                <w:b/>
              </w:rPr>
            </w:pPr>
            <w:r>
              <w:rPr>
                <w:b/>
              </w:rPr>
              <w:t>Rationale:</w:t>
            </w:r>
          </w:p>
          <w:p w14:paraId="0F755CE1" w14:textId="77777777" w:rsidR="00471045" w:rsidRDefault="00471045"/>
          <w:p w14:paraId="2478EF91" w14:textId="548021A3" w:rsidR="00471045" w:rsidRDefault="00471045">
            <w:r>
              <w:t xml:space="preserve">The above definitions are specific to </w:t>
            </w:r>
            <w:r w:rsidR="003B327B">
              <w:t>the Radar Altimeter</w:t>
            </w:r>
            <w:r>
              <w:t xml:space="preserve"> and are being added to the definitions in Chapter 1 of Annex 10 Volume V.</w:t>
            </w:r>
          </w:p>
          <w:p w14:paraId="4E8B609F" w14:textId="77777777" w:rsidR="00471045" w:rsidRDefault="00471045"/>
        </w:tc>
      </w:tr>
    </w:tbl>
    <w:p w14:paraId="1AE33993" w14:textId="77777777" w:rsidR="00471045" w:rsidRDefault="00471045" w:rsidP="00471045">
      <w:pPr>
        <w:jc w:val="left"/>
        <w:rPr>
          <w:b/>
          <w:color w:val="000000"/>
        </w:rPr>
      </w:pPr>
      <w:r>
        <w:br w:type="page"/>
      </w:r>
      <w:bookmarkStart w:id="11" w:name="_heading=h.3znysh7"/>
      <w:bookmarkEnd w:id="11"/>
    </w:p>
    <w:p w14:paraId="1A248E87" w14:textId="77777777" w:rsidR="00471045" w:rsidRDefault="00471045" w:rsidP="00471045">
      <w:pPr>
        <w:pStyle w:val="Chapter"/>
      </w:pPr>
      <w:r>
        <w:t>CHAPTER 4.    UTILIZATION OF FREQUENCIES ABOVE 30 MHz</w:t>
      </w:r>
    </w:p>
    <w:p w14:paraId="077C8785" w14:textId="77777777" w:rsidR="00471045" w:rsidRDefault="00471045" w:rsidP="00471045">
      <w:pPr>
        <w:jc w:val="center"/>
      </w:pPr>
    </w:p>
    <w:p w14:paraId="4F67AED1" w14:textId="77777777" w:rsidR="00471045" w:rsidRDefault="00471045" w:rsidP="00471045">
      <w:pPr>
        <w:spacing w:after="240"/>
        <w:ind w:left="115" w:hanging="115"/>
        <w:jc w:val="left"/>
        <w:rPr>
          <w:b/>
          <w:color w:val="000000"/>
        </w:rPr>
      </w:pPr>
      <w:r>
        <w:rPr>
          <w:b/>
          <w:color w:val="000000"/>
        </w:rPr>
        <w:t>…</w:t>
      </w:r>
    </w:p>
    <w:p w14:paraId="57AA55ED" w14:textId="77777777" w:rsidR="00471045" w:rsidRDefault="00471045" w:rsidP="00471045">
      <w:pPr>
        <w:spacing w:after="240"/>
        <w:ind w:left="115" w:hanging="115"/>
        <w:jc w:val="left"/>
        <w:rPr>
          <w:b/>
          <w:bCs/>
        </w:rPr>
      </w:pPr>
      <w:r>
        <w:rPr>
          <w:b/>
          <w:bCs/>
        </w:rPr>
        <w:t>4.5    UTILIZATION IN THE FREQUENCY BAND 4 200 – 4 400 MHz</w:t>
      </w:r>
    </w:p>
    <w:p w14:paraId="3CAF424F" w14:textId="329A9B59" w:rsidR="00471045" w:rsidRDefault="00471045" w:rsidP="00471045">
      <w:pPr>
        <w:jc w:val="left"/>
      </w:pPr>
      <w:r>
        <w:t>4.5.1</w:t>
      </w:r>
      <w:r w:rsidR="00836FA6">
        <w:tab/>
      </w:r>
      <w:r>
        <w:rPr>
          <w:sz w:val="20"/>
        </w:rPr>
        <w:t xml:space="preserve">Utilization </w:t>
      </w:r>
      <w:r w:rsidR="00680A6F">
        <w:rPr>
          <w:sz w:val="20"/>
        </w:rPr>
        <w:t>of</w:t>
      </w:r>
      <w:r>
        <w:rPr>
          <w:sz w:val="20"/>
        </w:rPr>
        <w:t xml:space="preserve"> Radio Altimeters</w:t>
      </w:r>
      <w:r>
        <w:t xml:space="preserve">  </w:t>
      </w:r>
    </w:p>
    <w:p w14:paraId="78F3E348" w14:textId="77777777" w:rsidR="00836FA6" w:rsidRDefault="00836FA6" w:rsidP="00471045">
      <w:pPr>
        <w:jc w:val="left"/>
      </w:pPr>
    </w:p>
    <w:p w14:paraId="5AAA5C61" w14:textId="7BF5B88F" w:rsidR="00836FA6" w:rsidRPr="00C835B4" w:rsidRDefault="00836FA6" w:rsidP="00471045">
      <w:pPr>
        <w:jc w:val="left"/>
        <w:rPr>
          <w:i/>
          <w:iCs/>
        </w:rPr>
      </w:pPr>
      <w:r w:rsidRPr="00C835B4">
        <w:rPr>
          <w:i/>
          <w:iCs/>
        </w:rPr>
        <w:t>[</w:t>
      </w:r>
      <w:r w:rsidR="00614EAF" w:rsidRPr="00C835B4">
        <w:rPr>
          <w:i/>
          <w:iCs/>
        </w:rPr>
        <w:t xml:space="preserve">Editor’s </w:t>
      </w:r>
      <w:r w:rsidRPr="00C835B4">
        <w:rPr>
          <w:i/>
          <w:iCs/>
        </w:rPr>
        <w:t xml:space="preserve">Note: </w:t>
      </w:r>
      <w:r w:rsidR="00614EAF" w:rsidRPr="00C835B4">
        <w:rPr>
          <w:i/>
          <w:iCs/>
        </w:rPr>
        <w:t xml:space="preserve">Subsection </w:t>
      </w:r>
      <w:r w:rsidR="00055707">
        <w:rPr>
          <w:i/>
          <w:iCs/>
        </w:rPr>
        <w:t>may</w:t>
      </w:r>
      <w:r w:rsidRPr="00C835B4">
        <w:rPr>
          <w:i/>
          <w:iCs/>
        </w:rPr>
        <w:t xml:space="preserve"> include:</w:t>
      </w:r>
    </w:p>
    <w:p w14:paraId="35228D50" w14:textId="5E47CE34" w:rsidR="00014CB3" w:rsidRPr="00014CB3" w:rsidRDefault="00836FA6" w:rsidP="00014CB3">
      <w:pPr>
        <w:pStyle w:val="ListParagraph"/>
        <w:numPr>
          <w:ilvl w:val="0"/>
          <w:numId w:val="7"/>
        </w:numPr>
        <w:jc w:val="left"/>
        <w:rPr>
          <w:i/>
          <w:iCs/>
        </w:rPr>
      </w:pPr>
      <w:r w:rsidRPr="00C835B4">
        <w:rPr>
          <w:i/>
          <w:iCs/>
        </w:rPr>
        <w:t xml:space="preserve">Brief description of </w:t>
      </w:r>
      <w:r w:rsidR="00614EAF" w:rsidRPr="00C835B4">
        <w:rPr>
          <w:i/>
          <w:iCs/>
        </w:rPr>
        <w:t xml:space="preserve">radar altimeter </w:t>
      </w:r>
      <w:r w:rsidRPr="00C835B4">
        <w:rPr>
          <w:i/>
          <w:iCs/>
        </w:rPr>
        <w:t xml:space="preserve">operations and supported </w:t>
      </w:r>
      <w:r w:rsidR="00614EAF" w:rsidRPr="00C835B4">
        <w:rPr>
          <w:i/>
          <w:iCs/>
        </w:rPr>
        <w:t xml:space="preserve">aircraft </w:t>
      </w:r>
      <w:r w:rsidRPr="00C835B4">
        <w:rPr>
          <w:i/>
          <w:iCs/>
        </w:rPr>
        <w:t>systems</w:t>
      </w:r>
      <w:r w:rsidR="00614EAF" w:rsidRPr="00C835B4">
        <w:rPr>
          <w:i/>
          <w:iCs/>
        </w:rPr>
        <w:t>.</w:t>
      </w:r>
    </w:p>
    <w:p w14:paraId="7D7F8048" w14:textId="2C65241D" w:rsidR="00F1482B" w:rsidRDefault="00F1482B" w:rsidP="00F1482B">
      <w:pPr>
        <w:pStyle w:val="ListParagraph"/>
        <w:numPr>
          <w:ilvl w:val="0"/>
          <w:numId w:val="7"/>
        </w:numPr>
        <w:jc w:val="left"/>
        <w:rPr>
          <w:i/>
          <w:iCs/>
        </w:rPr>
      </w:pPr>
      <w:r>
        <w:rPr>
          <w:i/>
          <w:iCs/>
        </w:rPr>
        <w:t>Operational phases of flight and altitude</w:t>
      </w:r>
    </w:p>
    <w:p w14:paraId="4888F8A6" w14:textId="699A00BD" w:rsidR="000F1EC0" w:rsidRDefault="00C835B4" w:rsidP="00836FA6">
      <w:pPr>
        <w:pStyle w:val="ListParagraph"/>
        <w:numPr>
          <w:ilvl w:val="0"/>
          <w:numId w:val="7"/>
        </w:numPr>
        <w:jc w:val="left"/>
        <w:rPr>
          <w:i/>
          <w:iCs/>
        </w:rPr>
      </w:pPr>
      <w:r w:rsidRPr="00C835B4">
        <w:rPr>
          <w:i/>
          <w:iCs/>
        </w:rPr>
        <w:t xml:space="preserve">Transmitter and receiver </w:t>
      </w:r>
      <w:r w:rsidR="00055707">
        <w:rPr>
          <w:i/>
          <w:iCs/>
        </w:rPr>
        <w:t>installation configurations</w:t>
      </w:r>
    </w:p>
    <w:p w14:paraId="43E50CEA" w14:textId="77777777" w:rsidR="000F1EC0" w:rsidRDefault="000F1EC0" w:rsidP="00836FA6">
      <w:pPr>
        <w:pStyle w:val="ListParagraph"/>
        <w:numPr>
          <w:ilvl w:val="0"/>
          <w:numId w:val="7"/>
        </w:numPr>
        <w:jc w:val="left"/>
        <w:rPr>
          <w:i/>
          <w:iCs/>
        </w:rPr>
      </w:pPr>
      <w:r>
        <w:rPr>
          <w:i/>
          <w:iCs/>
        </w:rPr>
        <w:t>FMCW and Pulsed operations</w:t>
      </w:r>
    </w:p>
    <w:p w14:paraId="7CE756F5" w14:textId="77777777" w:rsidR="00F6205E" w:rsidRDefault="000F1EC0" w:rsidP="00836FA6">
      <w:pPr>
        <w:pStyle w:val="ListParagraph"/>
        <w:numPr>
          <w:ilvl w:val="0"/>
          <w:numId w:val="7"/>
        </w:numPr>
        <w:jc w:val="left"/>
        <w:rPr>
          <w:i/>
          <w:iCs/>
        </w:rPr>
      </w:pPr>
      <w:r>
        <w:rPr>
          <w:i/>
          <w:iCs/>
        </w:rPr>
        <w:t>Relationship to ITU-R and SDO work</w:t>
      </w:r>
    </w:p>
    <w:p w14:paraId="5AC3359A" w14:textId="77777777" w:rsidR="00376421" w:rsidRDefault="00F6205E" w:rsidP="00836FA6">
      <w:pPr>
        <w:pStyle w:val="ListParagraph"/>
        <w:numPr>
          <w:ilvl w:val="0"/>
          <w:numId w:val="7"/>
        </w:numPr>
        <w:jc w:val="left"/>
        <w:rPr>
          <w:i/>
          <w:iCs/>
        </w:rPr>
      </w:pPr>
      <w:r>
        <w:rPr>
          <w:i/>
          <w:iCs/>
        </w:rPr>
        <w:t>Interference fault conditions such as HMI</w:t>
      </w:r>
    </w:p>
    <w:p w14:paraId="6ABC38FA" w14:textId="00ADC380" w:rsidR="00836FA6" w:rsidRPr="00F1482B" w:rsidRDefault="00376421" w:rsidP="00F1482B">
      <w:pPr>
        <w:pStyle w:val="ListParagraph"/>
        <w:numPr>
          <w:ilvl w:val="0"/>
          <w:numId w:val="7"/>
        </w:numPr>
        <w:jc w:val="left"/>
        <w:rPr>
          <w:i/>
          <w:iCs/>
        </w:rPr>
      </w:pPr>
      <w:r>
        <w:rPr>
          <w:i/>
          <w:iCs/>
        </w:rPr>
        <w:t xml:space="preserve">Implementation </w:t>
      </w:r>
      <w:r w:rsidR="0010236A">
        <w:rPr>
          <w:i/>
          <w:iCs/>
        </w:rPr>
        <w:t>timelines and legacy equipment</w:t>
      </w:r>
      <w:r w:rsidR="00C835B4" w:rsidRPr="00F1482B">
        <w:rPr>
          <w:i/>
          <w:iCs/>
        </w:rPr>
        <w:t>]</w:t>
      </w:r>
    </w:p>
    <w:p w14:paraId="0719E754" w14:textId="77777777" w:rsidR="00F63CB1" w:rsidRPr="00C835B4" w:rsidRDefault="00F63CB1" w:rsidP="00F63CB1">
      <w:pPr>
        <w:pStyle w:val="ListParagraph"/>
        <w:jc w:val="left"/>
        <w:rPr>
          <w:i/>
          <w:iCs/>
        </w:rPr>
      </w:pP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907"/>
        <w:gridCol w:w="7663"/>
      </w:tblGrid>
      <w:tr w:rsidR="00F63CB1" w14:paraId="65BB81B8" w14:textId="77777777" w:rsidTr="00363D23">
        <w:tc>
          <w:tcPr>
            <w:tcW w:w="1908" w:type="dxa"/>
            <w:tcBorders>
              <w:top w:val="single" w:sz="4" w:space="0" w:color="000000"/>
              <w:left w:val="single" w:sz="4" w:space="0" w:color="000000"/>
              <w:bottom w:val="single" w:sz="4" w:space="0" w:color="000000"/>
              <w:right w:val="single" w:sz="4" w:space="0" w:color="000000"/>
            </w:tcBorders>
          </w:tcPr>
          <w:p w14:paraId="5DADC7DC" w14:textId="77777777" w:rsidR="00F63CB1" w:rsidRDefault="00F63CB1" w:rsidP="00363D23">
            <w:pPr>
              <w:rPr>
                <w:b/>
              </w:rPr>
            </w:pPr>
            <w:r>
              <w:rPr>
                <w:b/>
              </w:rPr>
              <w:t>Origin:</w:t>
            </w:r>
          </w:p>
          <w:p w14:paraId="6ED92DC4" w14:textId="77777777" w:rsidR="00F63CB1" w:rsidRDefault="00F63CB1" w:rsidP="00363D23"/>
          <w:p w14:paraId="1CBDB928" w14:textId="77777777" w:rsidR="00F63CB1" w:rsidRDefault="00F63CB1" w:rsidP="00363D23">
            <w:r>
              <w:t>FSMP</w:t>
            </w:r>
          </w:p>
        </w:tc>
        <w:tc>
          <w:tcPr>
            <w:tcW w:w="7668" w:type="dxa"/>
            <w:tcBorders>
              <w:top w:val="single" w:sz="4" w:space="0" w:color="000000"/>
              <w:left w:val="single" w:sz="4" w:space="0" w:color="000000"/>
              <w:bottom w:val="single" w:sz="4" w:space="0" w:color="000000"/>
              <w:right w:val="single" w:sz="4" w:space="0" w:color="000000"/>
            </w:tcBorders>
          </w:tcPr>
          <w:p w14:paraId="3574FE3C" w14:textId="77777777" w:rsidR="00F63CB1" w:rsidRDefault="00F63CB1" w:rsidP="00363D23">
            <w:pPr>
              <w:rPr>
                <w:b/>
              </w:rPr>
            </w:pPr>
            <w:r>
              <w:rPr>
                <w:b/>
              </w:rPr>
              <w:t>Rationale:</w:t>
            </w:r>
          </w:p>
          <w:p w14:paraId="644A214E" w14:textId="77777777" w:rsidR="00F63CB1" w:rsidRDefault="00F63CB1" w:rsidP="00363D23"/>
          <w:p w14:paraId="0AECA18E" w14:textId="0EC433CD" w:rsidR="00F63CB1" w:rsidRDefault="00F63CB1" w:rsidP="00363D23">
            <w:r>
              <w:t>…..</w:t>
            </w:r>
          </w:p>
          <w:p w14:paraId="32FE6D7F" w14:textId="77777777" w:rsidR="00F63CB1" w:rsidRDefault="00F63CB1" w:rsidP="00363D23"/>
        </w:tc>
      </w:tr>
    </w:tbl>
    <w:p w14:paraId="2A8FA90B" w14:textId="77777777" w:rsidR="00471045" w:rsidRDefault="00471045" w:rsidP="00471045">
      <w:pPr>
        <w:jc w:val="center"/>
      </w:pPr>
    </w:p>
    <w:p w14:paraId="29EF5572" w14:textId="77777777" w:rsidR="00F63CB1" w:rsidRDefault="00F63CB1" w:rsidP="00471045">
      <w:pPr>
        <w:jc w:val="center"/>
      </w:pPr>
    </w:p>
    <w:p w14:paraId="438B3561" w14:textId="07F999F9" w:rsidR="00471045" w:rsidRDefault="00471045" w:rsidP="00471045">
      <w:pPr>
        <w:rPr>
          <w:bCs/>
        </w:rPr>
      </w:pPr>
      <w:r>
        <w:rPr>
          <w:bCs/>
        </w:rPr>
        <w:t>4.5.2</w:t>
      </w:r>
      <w:r>
        <w:rPr>
          <w:bCs/>
        </w:rPr>
        <w:tab/>
        <w:t xml:space="preserve">RF characteristics of </w:t>
      </w:r>
      <w:r w:rsidR="00836FA6">
        <w:rPr>
          <w:bCs/>
        </w:rPr>
        <w:t>Radar Altimeters</w:t>
      </w:r>
      <w:r w:rsidR="00614EAF">
        <w:rPr>
          <w:bCs/>
        </w:rPr>
        <w:t xml:space="preserve"> </w:t>
      </w:r>
      <w:r w:rsidR="00C835B4">
        <w:rPr>
          <w:bCs/>
        </w:rPr>
        <w:t>t</w:t>
      </w:r>
      <w:r w:rsidR="00614EAF">
        <w:rPr>
          <w:bCs/>
        </w:rPr>
        <w:t>ransmitters</w:t>
      </w:r>
    </w:p>
    <w:p w14:paraId="08012841" w14:textId="77777777" w:rsidR="00614EAF" w:rsidRDefault="00614EAF" w:rsidP="00471045">
      <w:pPr>
        <w:rPr>
          <w:bCs/>
        </w:rPr>
      </w:pPr>
    </w:p>
    <w:p w14:paraId="7134E1A9" w14:textId="124D5926" w:rsidR="00C835B4" w:rsidRPr="00C835B4" w:rsidRDefault="00C835B4" w:rsidP="00C835B4">
      <w:pPr>
        <w:jc w:val="left"/>
        <w:rPr>
          <w:i/>
          <w:iCs/>
        </w:rPr>
      </w:pPr>
      <w:r w:rsidRPr="00C835B4">
        <w:rPr>
          <w:i/>
          <w:iCs/>
        </w:rPr>
        <w:t xml:space="preserve">[Editor’s Note: Subsection </w:t>
      </w:r>
      <w:r w:rsidR="00055707">
        <w:rPr>
          <w:i/>
          <w:iCs/>
        </w:rPr>
        <w:t>may</w:t>
      </w:r>
      <w:r w:rsidRPr="00C835B4">
        <w:rPr>
          <w:i/>
          <w:iCs/>
        </w:rPr>
        <w:t xml:space="preserve"> include:</w:t>
      </w:r>
    </w:p>
    <w:p w14:paraId="4AC185ED" w14:textId="77777777" w:rsidR="000F1EC0" w:rsidRDefault="00C835B4" w:rsidP="00C835B4">
      <w:pPr>
        <w:pStyle w:val="ListParagraph"/>
        <w:numPr>
          <w:ilvl w:val="0"/>
          <w:numId w:val="7"/>
        </w:numPr>
        <w:jc w:val="left"/>
        <w:rPr>
          <w:i/>
          <w:iCs/>
        </w:rPr>
      </w:pPr>
      <w:r>
        <w:rPr>
          <w:i/>
          <w:iCs/>
        </w:rPr>
        <w:t>Transmit po</w:t>
      </w:r>
      <w:r w:rsidR="000F1EC0">
        <w:rPr>
          <w:i/>
          <w:iCs/>
        </w:rPr>
        <w:t>wer</w:t>
      </w:r>
    </w:p>
    <w:p w14:paraId="14C20A15" w14:textId="3047675E" w:rsidR="00C835B4" w:rsidRDefault="000F1EC0" w:rsidP="00C835B4">
      <w:pPr>
        <w:pStyle w:val="ListParagraph"/>
        <w:numPr>
          <w:ilvl w:val="0"/>
          <w:numId w:val="7"/>
        </w:numPr>
        <w:jc w:val="left"/>
        <w:rPr>
          <w:i/>
          <w:iCs/>
        </w:rPr>
      </w:pPr>
      <w:r>
        <w:rPr>
          <w:i/>
          <w:iCs/>
        </w:rPr>
        <w:t>Emissions mask</w:t>
      </w:r>
    </w:p>
    <w:p w14:paraId="00AA097E" w14:textId="442E40BC" w:rsidR="00680A6F" w:rsidRPr="00C835B4" w:rsidRDefault="00680A6F" w:rsidP="00C835B4">
      <w:pPr>
        <w:pStyle w:val="ListParagraph"/>
        <w:numPr>
          <w:ilvl w:val="0"/>
          <w:numId w:val="7"/>
        </w:numPr>
        <w:jc w:val="left"/>
        <w:rPr>
          <w:i/>
          <w:iCs/>
        </w:rPr>
      </w:pPr>
      <w:r>
        <w:rPr>
          <w:i/>
          <w:iCs/>
        </w:rPr>
        <w:t>Necessary bandwidth</w:t>
      </w:r>
    </w:p>
    <w:p w14:paraId="7F85552D" w14:textId="77777777" w:rsidR="00376421" w:rsidRDefault="00055707" w:rsidP="00C835B4">
      <w:pPr>
        <w:pStyle w:val="ListParagraph"/>
        <w:numPr>
          <w:ilvl w:val="0"/>
          <w:numId w:val="7"/>
        </w:numPr>
        <w:jc w:val="left"/>
        <w:rPr>
          <w:i/>
          <w:iCs/>
        </w:rPr>
      </w:pPr>
      <w:r>
        <w:rPr>
          <w:i/>
          <w:iCs/>
        </w:rPr>
        <w:t>Frequency offset for multi-installations</w:t>
      </w:r>
      <w:r w:rsidR="00F6205E">
        <w:rPr>
          <w:i/>
          <w:iCs/>
        </w:rPr>
        <w:t xml:space="preserve"> on same </w:t>
      </w:r>
      <w:r w:rsidR="00014CB3">
        <w:rPr>
          <w:i/>
          <w:iCs/>
        </w:rPr>
        <w:t>aircraft</w:t>
      </w:r>
    </w:p>
    <w:p w14:paraId="73097A81" w14:textId="23A779CB" w:rsidR="00C835B4" w:rsidRPr="00C835B4" w:rsidRDefault="00376421" w:rsidP="00C835B4">
      <w:pPr>
        <w:pStyle w:val="ListParagraph"/>
        <w:numPr>
          <w:ilvl w:val="0"/>
          <w:numId w:val="7"/>
        </w:numPr>
        <w:jc w:val="left"/>
        <w:rPr>
          <w:i/>
          <w:iCs/>
        </w:rPr>
      </w:pPr>
      <w:r>
        <w:rPr>
          <w:i/>
          <w:iCs/>
        </w:rPr>
        <w:t>Date</w:t>
      </w:r>
      <w:r w:rsidR="0010236A">
        <w:rPr>
          <w:i/>
          <w:iCs/>
        </w:rPr>
        <w:t xml:space="preserve"> of applicability?</w:t>
      </w:r>
      <w:r w:rsidR="00C835B4">
        <w:rPr>
          <w:i/>
          <w:iCs/>
        </w:rPr>
        <w:t>]</w:t>
      </w:r>
    </w:p>
    <w:p w14:paraId="0B2B45B5" w14:textId="77777777" w:rsidR="00614EAF" w:rsidRDefault="00614EAF" w:rsidP="00471045">
      <w:pPr>
        <w:rPr>
          <w:bCs/>
        </w:rPr>
      </w:pP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907"/>
        <w:gridCol w:w="7663"/>
      </w:tblGrid>
      <w:tr w:rsidR="00F63CB1" w14:paraId="1436A453" w14:textId="77777777" w:rsidTr="00363D23">
        <w:tc>
          <w:tcPr>
            <w:tcW w:w="1908" w:type="dxa"/>
            <w:tcBorders>
              <w:top w:val="single" w:sz="4" w:space="0" w:color="000000"/>
              <w:left w:val="single" w:sz="4" w:space="0" w:color="000000"/>
              <w:bottom w:val="single" w:sz="4" w:space="0" w:color="000000"/>
              <w:right w:val="single" w:sz="4" w:space="0" w:color="000000"/>
            </w:tcBorders>
          </w:tcPr>
          <w:p w14:paraId="1CF8408E" w14:textId="77777777" w:rsidR="00F63CB1" w:rsidRDefault="00F63CB1" w:rsidP="00363D23">
            <w:pPr>
              <w:rPr>
                <w:b/>
              </w:rPr>
            </w:pPr>
            <w:r>
              <w:rPr>
                <w:b/>
              </w:rPr>
              <w:t>Origin:</w:t>
            </w:r>
          </w:p>
          <w:p w14:paraId="7AD14ED7" w14:textId="77777777" w:rsidR="00F63CB1" w:rsidRDefault="00F63CB1" w:rsidP="00363D23"/>
          <w:p w14:paraId="4ACA8458" w14:textId="77777777" w:rsidR="00F63CB1" w:rsidRDefault="00F63CB1" w:rsidP="00363D23">
            <w:r>
              <w:t>FSMP</w:t>
            </w:r>
          </w:p>
        </w:tc>
        <w:tc>
          <w:tcPr>
            <w:tcW w:w="7668" w:type="dxa"/>
            <w:tcBorders>
              <w:top w:val="single" w:sz="4" w:space="0" w:color="000000"/>
              <w:left w:val="single" w:sz="4" w:space="0" w:color="000000"/>
              <w:bottom w:val="single" w:sz="4" w:space="0" w:color="000000"/>
              <w:right w:val="single" w:sz="4" w:space="0" w:color="000000"/>
            </w:tcBorders>
          </w:tcPr>
          <w:p w14:paraId="5643EFB8" w14:textId="77777777" w:rsidR="00F63CB1" w:rsidRDefault="00F63CB1" w:rsidP="00363D23">
            <w:pPr>
              <w:rPr>
                <w:b/>
              </w:rPr>
            </w:pPr>
            <w:r>
              <w:rPr>
                <w:b/>
              </w:rPr>
              <w:t>Rationale:</w:t>
            </w:r>
          </w:p>
          <w:p w14:paraId="07505830" w14:textId="77777777" w:rsidR="00F63CB1" w:rsidRDefault="00F63CB1" w:rsidP="00363D23"/>
          <w:p w14:paraId="3053E3F5" w14:textId="77777777" w:rsidR="00F63CB1" w:rsidRDefault="00F63CB1" w:rsidP="00363D23">
            <w:r>
              <w:t>…..</w:t>
            </w:r>
          </w:p>
          <w:p w14:paraId="1D5D0287" w14:textId="77777777" w:rsidR="00F63CB1" w:rsidRDefault="00F63CB1" w:rsidP="00363D23"/>
        </w:tc>
      </w:tr>
    </w:tbl>
    <w:p w14:paraId="5BA7DEE2" w14:textId="77777777" w:rsidR="00C835B4" w:rsidRDefault="00C835B4" w:rsidP="00471045">
      <w:pPr>
        <w:rPr>
          <w:bCs/>
        </w:rPr>
      </w:pPr>
    </w:p>
    <w:p w14:paraId="44CF1D9C" w14:textId="18431FEE" w:rsidR="00614EAF" w:rsidRDefault="00614EAF" w:rsidP="00471045">
      <w:pPr>
        <w:rPr>
          <w:bCs/>
        </w:rPr>
      </w:pPr>
      <w:r>
        <w:rPr>
          <w:bCs/>
        </w:rPr>
        <w:t>4.5.</w:t>
      </w:r>
      <w:r w:rsidR="00C835B4">
        <w:rPr>
          <w:bCs/>
        </w:rPr>
        <w:t>3</w:t>
      </w:r>
      <w:r>
        <w:rPr>
          <w:bCs/>
        </w:rPr>
        <w:tab/>
        <w:t xml:space="preserve">RF characteristics of Radar Altimeters </w:t>
      </w:r>
      <w:r w:rsidR="00C835B4">
        <w:rPr>
          <w:bCs/>
        </w:rPr>
        <w:t>r</w:t>
      </w:r>
      <w:r>
        <w:rPr>
          <w:bCs/>
        </w:rPr>
        <w:t>eceivers</w:t>
      </w:r>
    </w:p>
    <w:p w14:paraId="127C0C1C" w14:textId="77777777" w:rsidR="00614EAF" w:rsidRDefault="00614EAF" w:rsidP="00471045">
      <w:pPr>
        <w:rPr>
          <w:bCs/>
        </w:rPr>
      </w:pPr>
    </w:p>
    <w:p w14:paraId="13816EE8" w14:textId="24A5ACAD" w:rsidR="00C835B4" w:rsidRPr="00C835B4" w:rsidRDefault="00C835B4" w:rsidP="00C835B4">
      <w:pPr>
        <w:jc w:val="left"/>
        <w:rPr>
          <w:i/>
          <w:iCs/>
        </w:rPr>
      </w:pPr>
      <w:r w:rsidRPr="00C835B4">
        <w:rPr>
          <w:i/>
          <w:iCs/>
        </w:rPr>
        <w:t xml:space="preserve">[Editor’s Note: Subsection </w:t>
      </w:r>
      <w:r w:rsidR="00B83EB4">
        <w:rPr>
          <w:i/>
          <w:iCs/>
        </w:rPr>
        <w:t>may</w:t>
      </w:r>
      <w:r w:rsidRPr="00C835B4">
        <w:rPr>
          <w:i/>
          <w:iCs/>
        </w:rPr>
        <w:t xml:space="preserve"> include:</w:t>
      </w:r>
    </w:p>
    <w:p w14:paraId="67886D75" w14:textId="47F26B60" w:rsidR="00C835B4" w:rsidRPr="00C835B4" w:rsidRDefault="000F1EC0" w:rsidP="00C835B4">
      <w:pPr>
        <w:pStyle w:val="ListParagraph"/>
        <w:numPr>
          <w:ilvl w:val="0"/>
          <w:numId w:val="7"/>
        </w:numPr>
        <w:jc w:val="left"/>
        <w:rPr>
          <w:i/>
          <w:iCs/>
        </w:rPr>
      </w:pPr>
      <w:r>
        <w:rPr>
          <w:i/>
          <w:iCs/>
        </w:rPr>
        <w:t>Receiver sensitivity</w:t>
      </w:r>
    </w:p>
    <w:p w14:paraId="3CF3504B" w14:textId="77777777" w:rsidR="00336242" w:rsidRDefault="000F1EC0" w:rsidP="00C835B4">
      <w:pPr>
        <w:pStyle w:val="ListParagraph"/>
        <w:numPr>
          <w:ilvl w:val="0"/>
          <w:numId w:val="7"/>
        </w:numPr>
        <w:jc w:val="left"/>
        <w:rPr>
          <w:i/>
          <w:iCs/>
        </w:rPr>
      </w:pPr>
      <w:r>
        <w:rPr>
          <w:i/>
          <w:iCs/>
        </w:rPr>
        <w:t>Interference tolerance mask</w:t>
      </w:r>
      <w:r w:rsidR="00B83EB4">
        <w:rPr>
          <w:i/>
          <w:iCs/>
        </w:rPr>
        <w:t>(s)</w:t>
      </w:r>
      <w:r>
        <w:rPr>
          <w:i/>
          <w:iCs/>
        </w:rPr>
        <w:t xml:space="preserve"> for out of band </w:t>
      </w:r>
      <w:r w:rsidR="00014CB3">
        <w:rPr>
          <w:i/>
          <w:iCs/>
        </w:rPr>
        <w:t xml:space="preserve">tolerance </w:t>
      </w:r>
      <w:r w:rsidR="00B83EB4">
        <w:rPr>
          <w:i/>
          <w:iCs/>
        </w:rPr>
        <w:t>+/- 500 MHz of band edge minimum</w:t>
      </w:r>
    </w:p>
    <w:p w14:paraId="77DBFDAA" w14:textId="24AE83A5" w:rsidR="00C835B4" w:rsidRPr="00C835B4" w:rsidRDefault="00336242" w:rsidP="00C835B4">
      <w:pPr>
        <w:pStyle w:val="ListParagraph"/>
        <w:numPr>
          <w:ilvl w:val="0"/>
          <w:numId w:val="7"/>
        </w:numPr>
        <w:jc w:val="left"/>
        <w:rPr>
          <w:i/>
          <w:iCs/>
        </w:rPr>
      </w:pPr>
      <w:r>
        <w:rPr>
          <w:i/>
          <w:iCs/>
        </w:rPr>
        <w:t>Additional considerations when assessing against external RF interference sources</w:t>
      </w:r>
      <w:r w:rsidR="00C835B4">
        <w:rPr>
          <w:i/>
          <w:iCs/>
        </w:rPr>
        <w:t>]</w:t>
      </w:r>
    </w:p>
    <w:p w14:paraId="011D713C" w14:textId="77777777" w:rsidR="00614EAF" w:rsidRDefault="00614EAF" w:rsidP="00471045">
      <w:pPr>
        <w:rPr>
          <w:bCs/>
        </w:rPr>
      </w:pP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907"/>
        <w:gridCol w:w="7663"/>
      </w:tblGrid>
      <w:tr w:rsidR="00F63CB1" w14:paraId="18979112" w14:textId="77777777" w:rsidTr="00363D23">
        <w:tc>
          <w:tcPr>
            <w:tcW w:w="1908" w:type="dxa"/>
            <w:tcBorders>
              <w:top w:val="single" w:sz="4" w:space="0" w:color="000000"/>
              <w:left w:val="single" w:sz="4" w:space="0" w:color="000000"/>
              <w:bottom w:val="single" w:sz="4" w:space="0" w:color="000000"/>
              <w:right w:val="single" w:sz="4" w:space="0" w:color="000000"/>
            </w:tcBorders>
          </w:tcPr>
          <w:p w14:paraId="0484F75E" w14:textId="77777777" w:rsidR="00F63CB1" w:rsidRDefault="00F63CB1" w:rsidP="00363D23">
            <w:pPr>
              <w:rPr>
                <w:b/>
              </w:rPr>
            </w:pPr>
            <w:r>
              <w:rPr>
                <w:b/>
              </w:rPr>
              <w:t>Origin:</w:t>
            </w:r>
          </w:p>
          <w:p w14:paraId="7C12872B" w14:textId="77777777" w:rsidR="00F63CB1" w:rsidRDefault="00F63CB1" w:rsidP="00363D23"/>
          <w:p w14:paraId="6DD87B66" w14:textId="77777777" w:rsidR="00F63CB1" w:rsidRDefault="00F63CB1" w:rsidP="00363D23">
            <w:r>
              <w:t>FSMP</w:t>
            </w:r>
          </w:p>
        </w:tc>
        <w:tc>
          <w:tcPr>
            <w:tcW w:w="7668" w:type="dxa"/>
            <w:tcBorders>
              <w:top w:val="single" w:sz="4" w:space="0" w:color="000000"/>
              <w:left w:val="single" w:sz="4" w:space="0" w:color="000000"/>
              <w:bottom w:val="single" w:sz="4" w:space="0" w:color="000000"/>
              <w:right w:val="single" w:sz="4" w:space="0" w:color="000000"/>
            </w:tcBorders>
          </w:tcPr>
          <w:p w14:paraId="2502DEC9" w14:textId="77777777" w:rsidR="00F63CB1" w:rsidRDefault="00F63CB1" w:rsidP="00363D23">
            <w:pPr>
              <w:rPr>
                <w:b/>
              </w:rPr>
            </w:pPr>
            <w:r>
              <w:rPr>
                <w:b/>
              </w:rPr>
              <w:t>Rationale:</w:t>
            </w:r>
          </w:p>
          <w:p w14:paraId="7A2979B1" w14:textId="77777777" w:rsidR="00F63CB1" w:rsidRDefault="00F63CB1" w:rsidP="00363D23"/>
          <w:p w14:paraId="242E6FBE" w14:textId="77777777" w:rsidR="00F63CB1" w:rsidRDefault="00F63CB1" w:rsidP="00363D23">
            <w:r>
              <w:t>…..</w:t>
            </w:r>
          </w:p>
          <w:p w14:paraId="248189FE" w14:textId="77777777" w:rsidR="00F63CB1" w:rsidRDefault="00F63CB1" w:rsidP="00363D23"/>
        </w:tc>
      </w:tr>
    </w:tbl>
    <w:p w14:paraId="2AA484BC" w14:textId="77777777" w:rsidR="00F63CB1" w:rsidRDefault="00F63CB1" w:rsidP="00471045">
      <w:pPr>
        <w:rPr>
          <w:bCs/>
        </w:rPr>
      </w:pPr>
    </w:p>
    <w:p w14:paraId="10FAF736" w14:textId="50E81432" w:rsidR="00C835B4" w:rsidRDefault="00C835B4" w:rsidP="00471045">
      <w:pPr>
        <w:rPr>
          <w:bCs/>
        </w:rPr>
      </w:pPr>
      <w:r>
        <w:rPr>
          <w:bCs/>
        </w:rPr>
        <w:t>4.5.4</w:t>
      </w:r>
      <w:r>
        <w:rPr>
          <w:bCs/>
        </w:rPr>
        <w:tab/>
        <w:t>RF characteristics of Radar Altimeters antennas</w:t>
      </w:r>
    </w:p>
    <w:p w14:paraId="1A8C1123" w14:textId="77777777" w:rsidR="000F1EC0" w:rsidRDefault="000F1EC0" w:rsidP="00471045">
      <w:pPr>
        <w:rPr>
          <w:bCs/>
        </w:rPr>
      </w:pPr>
    </w:p>
    <w:p w14:paraId="3A773831" w14:textId="7D5C07BB" w:rsidR="00B83EB4" w:rsidRPr="00C835B4" w:rsidRDefault="00B83EB4" w:rsidP="00B83EB4">
      <w:pPr>
        <w:jc w:val="left"/>
        <w:rPr>
          <w:i/>
          <w:iCs/>
        </w:rPr>
      </w:pPr>
      <w:r w:rsidRPr="00C835B4">
        <w:rPr>
          <w:i/>
          <w:iCs/>
        </w:rPr>
        <w:t xml:space="preserve">[Editor’s Note: </w:t>
      </w:r>
      <w:r w:rsidR="00336242">
        <w:rPr>
          <w:i/>
          <w:iCs/>
        </w:rPr>
        <w:t>Antenna performance may be more of a commentary than ‘shall’ language to give guidance but not standardize the antenna.</w:t>
      </w:r>
      <w:r w:rsidR="00336242" w:rsidRPr="00C835B4">
        <w:rPr>
          <w:i/>
          <w:iCs/>
        </w:rPr>
        <w:t xml:space="preserve"> </w:t>
      </w:r>
      <w:r w:rsidRPr="00C835B4">
        <w:rPr>
          <w:i/>
          <w:iCs/>
        </w:rPr>
        <w:t xml:space="preserve">Subsection </w:t>
      </w:r>
      <w:r>
        <w:rPr>
          <w:i/>
          <w:iCs/>
        </w:rPr>
        <w:t>may</w:t>
      </w:r>
      <w:r w:rsidRPr="00C835B4">
        <w:rPr>
          <w:i/>
          <w:iCs/>
        </w:rPr>
        <w:t xml:space="preserve"> include:</w:t>
      </w:r>
    </w:p>
    <w:p w14:paraId="5B950C23" w14:textId="6FE7A55C" w:rsidR="00680A6F" w:rsidRDefault="00165ED0" w:rsidP="00B83EB4">
      <w:pPr>
        <w:pStyle w:val="ListParagraph"/>
        <w:numPr>
          <w:ilvl w:val="0"/>
          <w:numId w:val="7"/>
        </w:numPr>
        <w:jc w:val="left"/>
        <w:rPr>
          <w:i/>
          <w:iCs/>
        </w:rPr>
      </w:pPr>
      <w:r>
        <w:rPr>
          <w:i/>
          <w:iCs/>
        </w:rPr>
        <w:t>Minimum</w:t>
      </w:r>
      <w:r w:rsidR="00680A6F">
        <w:rPr>
          <w:i/>
          <w:iCs/>
        </w:rPr>
        <w:t>/maximum</w:t>
      </w:r>
      <w:r>
        <w:rPr>
          <w:i/>
          <w:iCs/>
        </w:rPr>
        <w:t xml:space="preserve"> antenna pattern</w:t>
      </w:r>
    </w:p>
    <w:p w14:paraId="6AB87F56" w14:textId="68CA2D25" w:rsidR="00336242" w:rsidRDefault="00336242" w:rsidP="00680A6F">
      <w:pPr>
        <w:pStyle w:val="ListParagraph"/>
        <w:numPr>
          <w:ilvl w:val="0"/>
          <w:numId w:val="7"/>
        </w:numPr>
        <w:jc w:val="left"/>
        <w:rPr>
          <w:i/>
          <w:iCs/>
        </w:rPr>
      </w:pPr>
      <w:r>
        <w:rPr>
          <w:i/>
          <w:iCs/>
        </w:rPr>
        <w:t>Installation considerations such as cable losses</w:t>
      </w:r>
    </w:p>
    <w:p w14:paraId="117AD1D4" w14:textId="37ABE423" w:rsidR="00336242" w:rsidRPr="00336242" w:rsidRDefault="00165ED0" w:rsidP="008D34D2">
      <w:pPr>
        <w:pStyle w:val="ListParagraph"/>
        <w:numPr>
          <w:ilvl w:val="0"/>
          <w:numId w:val="7"/>
        </w:numPr>
        <w:jc w:val="left"/>
        <w:rPr>
          <w:i/>
          <w:iCs/>
        </w:rPr>
      </w:pPr>
      <w:r w:rsidRPr="00336242">
        <w:rPr>
          <w:i/>
          <w:iCs/>
        </w:rPr>
        <w:t>FDR losses</w:t>
      </w:r>
      <w:r w:rsidR="00336242" w:rsidRPr="00336242">
        <w:rPr>
          <w:i/>
          <w:iCs/>
        </w:rPr>
        <w:t>]</w:t>
      </w:r>
    </w:p>
    <w:p w14:paraId="24FEE6E4" w14:textId="6B5AA0B8" w:rsidR="00B83EB4" w:rsidRPr="00336242" w:rsidRDefault="00B83EB4" w:rsidP="00336242">
      <w:pPr>
        <w:jc w:val="left"/>
        <w:rPr>
          <w:i/>
          <w:iCs/>
        </w:rPr>
      </w:pP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907"/>
        <w:gridCol w:w="7663"/>
      </w:tblGrid>
      <w:tr w:rsidR="00F63CB1" w14:paraId="5A13478C" w14:textId="77777777" w:rsidTr="00363D23">
        <w:tc>
          <w:tcPr>
            <w:tcW w:w="1908" w:type="dxa"/>
            <w:tcBorders>
              <w:top w:val="single" w:sz="4" w:space="0" w:color="000000"/>
              <w:left w:val="single" w:sz="4" w:space="0" w:color="000000"/>
              <w:bottom w:val="single" w:sz="4" w:space="0" w:color="000000"/>
              <w:right w:val="single" w:sz="4" w:space="0" w:color="000000"/>
            </w:tcBorders>
          </w:tcPr>
          <w:p w14:paraId="584FADDB" w14:textId="77777777" w:rsidR="00F63CB1" w:rsidRDefault="00F63CB1" w:rsidP="00363D23">
            <w:pPr>
              <w:rPr>
                <w:b/>
              </w:rPr>
            </w:pPr>
            <w:r>
              <w:rPr>
                <w:b/>
              </w:rPr>
              <w:t>Origin:</w:t>
            </w:r>
          </w:p>
          <w:p w14:paraId="03CD9569" w14:textId="77777777" w:rsidR="00F63CB1" w:rsidRDefault="00F63CB1" w:rsidP="00363D23"/>
          <w:p w14:paraId="00E99160" w14:textId="77777777" w:rsidR="00F63CB1" w:rsidRDefault="00F63CB1" w:rsidP="00363D23">
            <w:r>
              <w:t>FSMP</w:t>
            </w:r>
          </w:p>
        </w:tc>
        <w:tc>
          <w:tcPr>
            <w:tcW w:w="7668" w:type="dxa"/>
            <w:tcBorders>
              <w:top w:val="single" w:sz="4" w:space="0" w:color="000000"/>
              <w:left w:val="single" w:sz="4" w:space="0" w:color="000000"/>
              <w:bottom w:val="single" w:sz="4" w:space="0" w:color="000000"/>
              <w:right w:val="single" w:sz="4" w:space="0" w:color="000000"/>
            </w:tcBorders>
          </w:tcPr>
          <w:p w14:paraId="1B7AB425" w14:textId="77777777" w:rsidR="00F63CB1" w:rsidRDefault="00F63CB1" w:rsidP="00363D23">
            <w:pPr>
              <w:rPr>
                <w:b/>
              </w:rPr>
            </w:pPr>
            <w:r>
              <w:rPr>
                <w:b/>
              </w:rPr>
              <w:t>Rationale:</w:t>
            </w:r>
          </w:p>
          <w:p w14:paraId="4D5D9F9F" w14:textId="77777777" w:rsidR="00F63CB1" w:rsidRDefault="00F63CB1" w:rsidP="00363D23"/>
          <w:p w14:paraId="1BC1743D" w14:textId="77777777" w:rsidR="00F63CB1" w:rsidRDefault="00F63CB1" w:rsidP="00363D23">
            <w:r>
              <w:t>…..</w:t>
            </w:r>
          </w:p>
          <w:p w14:paraId="6794FF4E" w14:textId="77777777" w:rsidR="00F63CB1" w:rsidRDefault="00F63CB1" w:rsidP="00363D23"/>
        </w:tc>
      </w:tr>
    </w:tbl>
    <w:p w14:paraId="09AF709D" w14:textId="77777777" w:rsidR="000F1EC0" w:rsidRDefault="000F1EC0" w:rsidP="00471045">
      <w:pPr>
        <w:rPr>
          <w:bCs/>
        </w:rPr>
      </w:pPr>
    </w:p>
    <w:sectPr w:rsidR="000F1EC0">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23513" w14:textId="77777777" w:rsidR="0051221A" w:rsidRDefault="0051221A">
      <w:r>
        <w:separator/>
      </w:r>
    </w:p>
  </w:endnote>
  <w:endnote w:type="continuationSeparator" w:id="0">
    <w:p w14:paraId="1F9C1449" w14:textId="77777777" w:rsidR="0051221A" w:rsidRDefault="00512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27681" w14:textId="77777777" w:rsidR="00724B52" w:rsidRDefault="00724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4C7A7" w14:textId="77777777" w:rsidR="00724B52" w:rsidRDefault="00724B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8CCA5" w14:textId="37732FD5" w:rsidR="00770160" w:rsidRDefault="00770160">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724B52">
      <w:rPr>
        <w:noProof/>
        <w:sz w:val="18"/>
        <w:lang w:val="fr-FR"/>
      </w:rPr>
      <w:t>6</w:t>
    </w:r>
    <w:r>
      <w:rPr>
        <w:sz w:val="18"/>
        <w:lang w:val="en-US"/>
      </w:rPr>
      <w:fldChar w:fldCharType="end"/>
    </w:r>
    <w:r>
      <w:rPr>
        <w:sz w:val="18"/>
        <w:lang w:val="fr-FR"/>
      </w:rPr>
      <w:t xml:space="preserve"> pages)</w:t>
    </w:r>
  </w:p>
  <w:p w14:paraId="21FFD59F" w14:textId="592B70C8" w:rsidR="00770160" w:rsidRDefault="00770160">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sidR="00724B52">
      <w:rPr>
        <w:noProof/>
        <w:sz w:val="18"/>
        <w:lang w:val="en-US"/>
      </w:rPr>
      <w:t>FSMP-WG16-WP26_Radar Altimeter SARPs Planning.docx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10A0A" w14:textId="77777777" w:rsidR="0051221A" w:rsidRDefault="0051221A">
      <w:r>
        <w:separator/>
      </w:r>
    </w:p>
  </w:footnote>
  <w:footnote w:type="continuationSeparator" w:id="0">
    <w:p w14:paraId="0C011D76" w14:textId="77777777" w:rsidR="0051221A" w:rsidRDefault="00512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80D0A" w14:textId="17422E6D" w:rsidR="00770160" w:rsidRDefault="000D26D5" w:rsidP="00F56F90">
    <w:pPr>
      <w:tabs>
        <w:tab w:val="center" w:pos="4876"/>
      </w:tabs>
      <w:spacing w:after="600"/>
    </w:pPr>
    <w:r>
      <w:t>FS</w:t>
    </w:r>
    <w:r w:rsidR="00725205">
      <w:t>MP</w:t>
    </w:r>
    <w:r w:rsidR="007E6A06">
      <w:t>-WG</w:t>
    </w:r>
    <w:r w:rsidR="00770160">
      <w:t>/</w:t>
    </w:r>
    <w:r w:rsidR="00C32F4A">
      <w:t>1</w:t>
    </w:r>
    <w:r w:rsidR="00E5621A">
      <w:t>6</w:t>
    </w:r>
    <w:r w:rsidR="007E6A06">
      <w:t xml:space="preserve"> </w:t>
    </w:r>
    <w:r w:rsidR="00770160">
      <w:t>WP/</w:t>
    </w:r>
    <w:r w:rsidR="00724B52">
      <w:t>26</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724B52">
      <w:rPr>
        <w:rStyle w:val="PageNumber"/>
        <w:noProof/>
      </w:rPr>
      <w:t>2</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89040" w14:textId="574E0A0F" w:rsidR="00770160" w:rsidRDefault="00770160" w:rsidP="00BC5391">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724B52">
      <w:rPr>
        <w:rStyle w:val="PageNumber"/>
        <w:noProof/>
      </w:rPr>
      <w:t>3</w:t>
    </w:r>
    <w:r>
      <w:rPr>
        <w:rStyle w:val="PageNumber"/>
      </w:rPr>
      <w:fldChar w:fldCharType="end"/>
    </w:r>
    <w:r>
      <w:rPr>
        <w:rStyle w:val="PageNumber"/>
      </w:rPr>
      <w:t xml:space="preserve"> -</w:t>
    </w:r>
    <w:r>
      <w:rPr>
        <w:rStyle w:val="PageNumber"/>
      </w:rPr>
      <w:tab/>
    </w:r>
    <w:r w:rsidR="000D26D5">
      <w:t>FS</w:t>
    </w:r>
    <w:r w:rsidR="00725205">
      <w:t>MP</w:t>
    </w:r>
    <w:r w:rsidR="007E6A06">
      <w:t>-WG/</w:t>
    </w:r>
    <w:r w:rsidR="00C32F4A">
      <w:t>1</w:t>
    </w:r>
    <w:r w:rsidR="00E5621A">
      <w:t>6</w:t>
    </w:r>
    <w:r w:rsidR="007E6A06">
      <w:t xml:space="preserve"> </w:t>
    </w:r>
    <w:r>
      <w:t>WP/</w:t>
    </w:r>
    <w:r w:rsidR="00724B52">
      <w:t>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14:paraId="28A167B7" w14:textId="77777777" w:rsidTr="00664C07">
      <w:trPr>
        <w:trHeight w:val="1790"/>
      </w:trPr>
      <w:tc>
        <w:tcPr>
          <w:tcW w:w="1915" w:type="dxa"/>
          <w:shd w:val="clear" w:color="auto" w:fill="FFFFFF"/>
        </w:tcPr>
        <w:p w14:paraId="1AE702C5" w14:textId="20E4A4B8" w:rsidR="00920C27" w:rsidRDefault="00133C4F" w:rsidP="00664C07">
          <w:bookmarkStart w:id="2" w:name="logo"/>
          <w:r w:rsidRPr="00484298">
            <w:rPr>
              <w:noProof/>
              <w:lang w:val="en-CA" w:eastAsia="zh-CN"/>
            </w:rPr>
            <w:drawing>
              <wp:inline distT="0" distB="0" distL="0" distR="0" wp14:anchorId="04E2210F" wp14:editId="623EDE57">
                <wp:extent cx="1092200" cy="863600"/>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863600"/>
                        </a:xfrm>
                        <a:prstGeom prst="rect">
                          <a:avLst/>
                        </a:prstGeom>
                        <a:noFill/>
                        <a:ln>
                          <a:noFill/>
                        </a:ln>
                      </pic:spPr>
                    </pic:pic>
                  </a:graphicData>
                </a:graphic>
              </wp:inline>
            </w:drawing>
          </w:r>
          <w:bookmarkEnd w:id="2"/>
        </w:p>
      </w:tc>
      <w:tc>
        <w:tcPr>
          <w:tcW w:w="3895" w:type="dxa"/>
          <w:shd w:val="clear" w:color="auto" w:fill="FFFFFF"/>
          <w:tcMar>
            <w:right w:w="0" w:type="dxa"/>
          </w:tcMar>
        </w:tcPr>
        <w:p w14:paraId="2B61ED59" w14:textId="630B573F" w:rsidR="00920C27" w:rsidRPr="00066AB7" w:rsidRDefault="00133C4F" w:rsidP="00664C07">
          <w:pPr>
            <w:rPr>
              <w:rFonts w:ascii="Arial" w:hAnsi="Arial" w:cs="Arial"/>
              <w:szCs w:val="22"/>
            </w:rPr>
          </w:pPr>
          <w:r w:rsidRPr="00066AB7">
            <w:rPr>
              <w:rFonts w:ascii="Arial" w:hAnsi="Arial" w:cs="Arial"/>
              <w:noProof/>
              <w:szCs w:val="22"/>
              <w:lang w:val="en-CA" w:eastAsia="zh-CN"/>
            </w:rPr>
            <mc:AlternateContent>
              <mc:Choice Requires="wps">
                <w:drawing>
                  <wp:anchor distT="0" distB="0" distL="114300" distR="114300" simplePos="0" relativeHeight="251657728" behindDoc="0" locked="0" layoutInCell="1" allowOverlap="1" wp14:anchorId="721AE20F" wp14:editId="722A7D07">
                    <wp:simplePos x="0" y="0"/>
                    <wp:positionH relativeFrom="column">
                      <wp:posOffset>12700</wp:posOffset>
                    </wp:positionH>
                    <wp:positionV relativeFrom="paragraph">
                      <wp:posOffset>342900</wp:posOffset>
                    </wp:positionV>
                    <wp:extent cx="24003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6BBDD"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"/>
                </w:pict>
              </mc:Fallback>
            </mc:AlternateContent>
          </w:r>
        </w:p>
        <w:p w14:paraId="66DB487F" w14:textId="77777777"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14:paraId="05790FD3" w14:textId="77777777" w:rsidR="00920C27" w:rsidRPr="00066AB7" w:rsidRDefault="00920C27" w:rsidP="00664C07">
          <w:pPr>
            <w:rPr>
              <w:rFonts w:ascii="Arial" w:hAnsi="Arial" w:cs="Arial"/>
              <w:szCs w:val="22"/>
            </w:rPr>
          </w:pPr>
        </w:p>
        <w:p w14:paraId="1060C368" w14:textId="77777777" w:rsidR="00920C27" w:rsidRPr="00066AB7" w:rsidRDefault="00920C27"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66"/>
          </w:tblGrid>
          <w:tr w:rsidR="00920C27" w14:paraId="7C6AA8BA" w14:textId="77777777" w:rsidTr="00664C07">
            <w:trPr>
              <w:jc w:val="right"/>
            </w:trPr>
            <w:tc>
              <w:tcPr>
                <w:tcW w:w="0" w:type="auto"/>
              </w:tcPr>
              <w:p w14:paraId="6B3537A2" w14:textId="0C6A4A0B" w:rsidR="00920C27" w:rsidRPr="00066AB7" w:rsidRDefault="000D26D5" w:rsidP="001D63C3">
                <w:pPr>
                  <w:framePr w:hSpace="180" w:wrap="around" w:vAnchor="text" w:hAnchor="text" w:y="1"/>
                  <w:suppressOverlap/>
                  <w:jc w:val="left"/>
                  <w:rPr>
                    <w:szCs w:val="22"/>
                  </w:rPr>
                </w:pPr>
                <w:bookmarkStart w:id="3" w:name="document_no"/>
                <w:r>
                  <w:rPr>
                    <w:szCs w:val="22"/>
                  </w:rPr>
                  <w:t>FS</w:t>
                </w:r>
                <w:r w:rsidR="00725205">
                  <w:rPr>
                    <w:szCs w:val="22"/>
                  </w:rPr>
                  <w:t>MP</w:t>
                </w:r>
                <w:r w:rsidR="007E6A06">
                  <w:rPr>
                    <w:szCs w:val="22"/>
                  </w:rPr>
                  <w:t>-WG</w:t>
                </w:r>
                <w:r w:rsidR="00920C27" w:rsidRPr="00066AB7">
                  <w:rPr>
                    <w:szCs w:val="22"/>
                  </w:rPr>
                  <w:t>/</w:t>
                </w:r>
                <w:r w:rsidR="00885035">
                  <w:rPr>
                    <w:szCs w:val="22"/>
                  </w:rPr>
                  <w:t>1</w:t>
                </w:r>
                <w:r w:rsidR="00E5621A">
                  <w:rPr>
                    <w:szCs w:val="22"/>
                  </w:rPr>
                  <w:t>6</w:t>
                </w:r>
                <w:r w:rsidR="007E6A06">
                  <w:rPr>
                    <w:szCs w:val="22"/>
                  </w:rPr>
                  <w:t xml:space="preserve"> </w:t>
                </w:r>
                <w:r w:rsidR="00920C27" w:rsidRPr="00066AB7">
                  <w:rPr>
                    <w:szCs w:val="22"/>
                  </w:rPr>
                  <w:t>WP/</w:t>
                </w:r>
                <w:bookmarkEnd w:id="3"/>
                <w:r w:rsidR="00724B52">
                  <w:rPr>
                    <w:szCs w:val="22"/>
                  </w:rPr>
                  <w:t>26</w:t>
                </w:r>
              </w:p>
              <w:p w14:paraId="73A42D4C" w14:textId="6AFA7341" w:rsidR="00920C27" w:rsidRPr="00066AB7" w:rsidRDefault="00885035" w:rsidP="001D63C3">
                <w:pPr>
                  <w:framePr w:hSpace="180" w:wrap="around" w:vAnchor="text" w:hAnchor="text" w:y="1"/>
                  <w:suppressOverlap/>
                  <w:jc w:val="left"/>
                  <w:rPr>
                    <w:b/>
                  </w:rPr>
                </w:pPr>
                <w:bookmarkStart w:id="4" w:name="restricted"/>
                <w:bookmarkStart w:id="5" w:name="addendum_corrigendum_appendix"/>
                <w:bookmarkStart w:id="6" w:name="revision_no"/>
                <w:bookmarkStart w:id="7" w:name="revision_date"/>
                <w:bookmarkStart w:id="8" w:name="related_to"/>
                <w:bookmarkEnd w:id="4"/>
                <w:bookmarkEnd w:id="5"/>
                <w:bookmarkEnd w:id="6"/>
                <w:bookmarkEnd w:id="7"/>
                <w:bookmarkEnd w:id="8"/>
                <w:r>
                  <w:rPr>
                    <w:sz w:val="18"/>
                    <w:szCs w:val="18"/>
                  </w:rPr>
                  <w:t>202</w:t>
                </w:r>
                <w:r w:rsidR="00E5621A">
                  <w:rPr>
                    <w:sz w:val="18"/>
                    <w:szCs w:val="18"/>
                  </w:rPr>
                  <w:t>3</w:t>
                </w:r>
                <w:r>
                  <w:rPr>
                    <w:sz w:val="18"/>
                    <w:szCs w:val="18"/>
                  </w:rPr>
                  <w:t>-0</w:t>
                </w:r>
                <w:r w:rsidR="00E5621A">
                  <w:rPr>
                    <w:sz w:val="18"/>
                    <w:szCs w:val="18"/>
                  </w:rPr>
                  <w:t>2</w:t>
                </w:r>
                <w:r>
                  <w:rPr>
                    <w:sz w:val="18"/>
                    <w:szCs w:val="18"/>
                  </w:rPr>
                  <w:t>-</w:t>
                </w:r>
                <w:bookmarkStart w:id="9" w:name="info_paper"/>
                <w:bookmarkEnd w:id="9"/>
                <w:r w:rsidR="00724B52">
                  <w:rPr>
                    <w:sz w:val="18"/>
                    <w:szCs w:val="18"/>
                  </w:rPr>
                  <w:t>07</w:t>
                </w:r>
              </w:p>
            </w:tc>
          </w:tr>
          <w:tr w:rsidR="00920C27" w14:paraId="5084616F" w14:textId="77777777" w:rsidTr="00664C07">
            <w:trPr>
              <w:jc w:val="right"/>
            </w:trPr>
            <w:tc>
              <w:tcPr>
                <w:tcW w:w="0" w:type="auto"/>
              </w:tcPr>
              <w:p w14:paraId="22D7EBF9" w14:textId="77777777" w:rsidR="00920C27" w:rsidRPr="00066AB7" w:rsidRDefault="00920C27" w:rsidP="001D63C3">
                <w:pPr>
                  <w:framePr w:hSpace="180" w:wrap="around" w:vAnchor="text" w:hAnchor="text" w:y="1"/>
                  <w:suppressOverlap/>
                  <w:jc w:val="left"/>
                  <w:rPr>
                    <w:szCs w:val="22"/>
                  </w:rPr>
                </w:pPr>
              </w:p>
            </w:tc>
          </w:tr>
        </w:tbl>
        <w:p w14:paraId="019ABF16" w14:textId="77777777"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14:paraId="590674F0" w14:textId="4455CC99" w:rsidR="00770160" w:rsidRDefault="00770160" w:rsidP="00724B52">
    <w:pPr>
      <w:pStyle w:val="3para"/>
      <w:numPr>
        <w:ilvl w:val="0"/>
        <w:numId w:val="0"/>
      </w:numPr>
      <w:tabs>
        <w:tab w:val="left" w:pos="6480"/>
      </w:tabs>
      <w:spacing w:after="0"/>
      <w:outlineLvl w:val="9"/>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2"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4" w15:restartNumberingAfterBreak="0">
    <w:nsid w:val="4F2F7BE8"/>
    <w:multiLevelType w:val="hybridMultilevel"/>
    <w:tmpl w:val="A8069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num w:numId="1" w16cid:durableId="641547889">
    <w:abstractNumId w:val="3"/>
  </w:num>
  <w:num w:numId="2" w16cid:durableId="432172977">
    <w:abstractNumId w:val="5"/>
  </w:num>
  <w:num w:numId="3" w16cid:durableId="1983460747">
    <w:abstractNumId w:val="1"/>
  </w:num>
  <w:num w:numId="4" w16cid:durableId="410539647">
    <w:abstractNumId w:val="0"/>
  </w:num>
  <w:num w:numId="5" w16cid:durableId="10441379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214154">
    <w:abstractNumId w:val="2"/>
  </w:num>
  <w:num w:numId="7" w16cid:durableId="379020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doNotDisplayPageBoundarie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160"/>
    <w:rsid w:val="00014CB3"/>
    <w:rsid w:val="0002180E"/>
    <w:rsid w:val="0002582F"/>
    <w:rsid w:val="000273D2"/>
    <w:rsid w:val="0003769C"/>
    <w:rsid w:val="00044861"/>
    <w:rsid w:val="00046260"/>
    <w:rsid w:val="00055707"/>
    <w:rsid w:val="0005784B"/>
    <w:rsid w:val="00065607"/>
    <w:rsid w:val="00067C56"/>
    <w:rsid w:val="00090665"/>
    <w:rsid w:val="000C114F"/>
    <w:rsid w:val="000D26CC"/>
    <w:rsid w:val="000D26D5"/>
    <w:rsid w:val="000E218A"/>
    <w:rsid w:val="000F1EC0"/>
    <w:rsid w:val="000F301B"/>
    <w:rsid w:val="0010236A"/>
    <w:rsid w:val="00133C4F"/>
    <w:rsid w:val="001566B0"/>
    <w:rsid w:val="00165ED0"/>
    <w:rsid w:val="001D3236"/>
    <w:rsid w:val="001D63C3"/>
    <w:rsid w:val="001D6A6F"/>
    <w:rsid w:val="001F43FD"/>
    <w:rsid w:val="001F5D7E"/>
    <w:rsid w:val="00244055"/>
    <w:rsid w:val="00245423"/>
    <w:rsid w:val="0027010D"/>
    <w:rsid w:val="002824A4"/>
    <w:rsid w:val="002869AE"/>
    <w:rsid w:val="002872EE"/>
    <w:rsid w:val="00292CD8"/>
    <w:rsid w:val="00296C3E"/>
    <w:rsid w:val="002B469F"/>
    <w:rsid w:val="002C2D0B"/>
    <w:rsid w:val="002D24C8"/>
    <w:rsid w:val="002E1F9B"/>
    <w:rsid w:val="002F53C3"/>
    <w:rsid w:val="00301E10"/>
    <w:rsid w:val="00336242"/>
    <w:rsid w:val="00347A9B"/>
    <w:rsid w:val="0035728A"/>
    <w:rsid w:val="003715A0"/>
    <w:rsid w:val="00376421"/>
    <w:rsid w:val="003975AF"/>
    <w:rsid w:val="003B327B"/>
    <w:rsid w:val="003D7FD8"/>
    <w:rsid w:val="003F1683"/>
    <w:rsid w:val="004009DE"/>
    <w:rsid w:val="00422E47"/>
    <w:rsid w:val="00423C6F"/>
    <w:rsid w:val="00471045"/>
    <w:rsid w:val="004735BC"/>
    <w:rsid w:val="0049280E"/>
    <w:rsid w:val="00492CD2"/>
    <w:rsid w:val="004C58C1"/>
    <w:rsid w:val="005020F4"/>
    <w:rsid w:val="00505F6E"/>
    <w:rsid w:val="0051221A"/>
    <w:rsid w:val="005152AA"/>
    <w:rsid w:val="0051574F"/>
    <w:rsid w:val="005359AA"/>
    <w:rsid w:val="00552B85"/>
    <w:rsid w:val="00564060"/>
    <w:rsid w:val="00565F2C"/>
    <w:rsid w:val="00595EA4"/>
    <w:rsid w:val="005B7502"/>
    <w:rsid w:val="00614EAF"/>
    <w:rsid w:val="00625E2A"/>
    <w:rsid w:val="006477FD"/>
    <w:rsid w:val="00664C07"/>
    <w:rsid w:val="00680A6F"/>
    <w:rsid w:val="006D5318"/>
    <w:rsid w:val="00724B52"/>
    <w:rsid w:val="00725205"/>
    <w:rsid w:val="00726F5C"/>
    <w:rsid w:val="00760654"/>
    <w:rsid w:val="00766C47"/>
    <w:rsid w:val="00770160"/>
    <w:rsid w:val="0079787E"/>
    <w:rsid w:val="007A0B75"/>
    <w:rsid w:val="007B40B7"/>
    <w:rsid w:val="007C33D6"/>
    <w:rsid w:val="007E2895"/>
    <w:rsid w:val="007E6A06"/>
    <w:rsid w:val="007F6DE6"/>
    <w:rsid w:val="00836FA6"/>
    <w:rsid w:val="00860FB4"/>
    <w:rsid w:val="00885035"/>
    <w:rsid w:val="00890214"/>
    <w:rsid w:val="00896451"/>
    <w:rsid w:val="008B54C4"/>
    <w:rsid w:val="008E26D9"/>
    <w:rsid w:val="0090204A"/>
    <w:rsid w:val="0090653E"/>
    <w:rsid w:val="00920B80"/>
    <w:rsid w:val="00920C27"/>
    <w:rsid w:val="00930A2E"/>
    <w:rsid w:val="0094372F"/>
    <w:rsid w:val="009602EE"/>
    <w:rsid w:val="00967454"/>
    <w:rsid w:val="009A3BB6"/>
    <w:rsid w:val="009E7462"/>
    <w:rsid w:val="00A00CFD"/>
    <w:rsid w:val="00A03CFF"/>
    <w:rsid w:val="00A12CBA"/>
    <w:rsid w:val="00A146AF"/>
    <w:rsid w:val="00A232A8"/>
    <w:rsid w:val="00A965AB"/>
    <w:rsid w:val="00AC470F"/>
    <w:rsid w:val="00AD198E"/>
    <w:rsid w:val="00AE7157"/>
    <w:rsid w:val="00B331BC"/>
    <w:rsid w:val="00B4247E"/>
    <w:rsid w:val="00B83EB4"/>
    <w:rsid w:val="00B95AA6"/>
    <w:rsid w:val="00BC2309"/>
    <w:rsid w:val="00BC5391"/>
    <w:rsid w:val="00BD32D0"/>
    <w:rsid w:val="00BE60D7"/>
    <w:rsid w:val="00C2608A"/>
    <w:rsid w:val="00C3022D"/>
    <w:rsid w:val="00C32F4A"/>
    <w:rsid w:val="00C36AE2"/>
    <w:rsid w:val="00C41F65"/>
    <w:rsid w:val="00C835B4"/>
    <w:rsid w:val="00CB6A87"/>
    <w:rsid w:val="00CD7E99"/>
    <w:rsid w:val="00CF72A2"/>
    <w:rsid w:val="00D21B31"/>
    <w:rsid w:val="00D22255"/>
    <w:rsid w:val="00D24AB5"/>
    <w:rsid w:val="00D30389"/>
    <w:rsid w:val="00D4582A"/>
    <w:rsid w:val="00D8375B"/>
    <w:rsid w:val="00D94FD3"/>
    <w:rsid w:val="00D95F46"/>
    <w:rsid w:val="00DA654F"/>
    <w:rsid w:val="00DB3DF2"/>
    <w:rsid w:val="00DF76D3"/>
    <w:rsid w:val="00E0374E"/>
    <w:rsid w:val="00E362A3"/>
    <w:rsid w:val="00E5621A"/>
    <w:rsid w:val="00E7263C"/>
    <w:rsid w:val="00E77340"/>
    <w:rsid w:val="00E91DF2"/>
    <w:rsid w:val="00EA4110"/>
    <w:rsid w:val="00EB1EAC"/>
    <w:rsid w:val="00F01E95"/>
    <w:rsid w:val="00F1482B"/>
    <w:rsid w:val="00F175DE"/>
    <w:rsid w:val="00F37DFB"/>
    <w:rsid w:val="00F56F90"/>
    <w:rsid w:val="00F6205E"/>
    <w:rsid w:val="00F63CB1"/>
    <w:rsid w:val="00F87644"/>
    <w:rsid w:val="00F975FD"/>
    <w:rsid w:val="00FA39AD"/>
    <w:rsid w:val="00FF12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0D61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2"/>
      <w:lang w:val="en-GB"/>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rsid w:val="00EB1EAC"/>
    <w:rPr>
      <w:sz w:val="18"/>
      <w:szCs w:val="18"/>
      <w:lang w:val="en-GB"/>
    </w:rPr>
  </w:style>
  <w:style w:type="character" w:styleId="Hyperlink">
    <w:name w:val="Hyperlink"/>
    <w:basedOn w:val="DefaultParagraphFont"/>
    <w:uiPriority w:val="99"/>
    <w:unhideWhenUsed/>
    <w:rsid w:val="00471045"/>
    <w:rPr>
      <w:color w:val="0563C1" w:themeColor="hyperlink"/>
      <w:u w:val="single"/>
    </w:rPr>
  </w:style>
  <w:style w:type="paragraph" w:customStyle="1" w:styleId="Chapter">
    <w:name w:val="Chapter"/>
    <w:rsid w:val="00471045"/>
    <w:pPr>
      <w:widowControl w:val="0"/>
      <w:spacing w:line="360" w:lineRule="exact"/>
      <w:jc w:val="center"/>
    </w:pPr>
    <w:rPr>
      <w:b/>
      <w:sz w:val="28"/>
      <w:szCs w:val="24"/>
    </w:rPr>
  </w:style>
  <w:style w:type="character" w:styleId="CommentReference">
    <w:name w:val="annotation reference"/>
    <w:basedOn w:val="DefaultParagraphFont"/>
    <w:unhideWhenUsed/>
    <w:rsid w:val="00471045"/>
    <w:rPr>
      <w:sz w:val="16"/>
      <w:szCs w:val="16"/>
    </w:rPr>
  </w:style>
  <w:style w:type="character" w:customStyle="1" w:styleId="msoins0">
    <w:name w:val="msoins"/>
    <w:basedOn w:val="DefaultParagraphFont"/>
    <w:rsid w:val="00471045"/>
  </w:style>
  <w:style w:type="character" w:customStyle="1" w:styleId="apple-converted-space">
    <w:name w:val="apple-converted-space"/>
    <w:basedOn w:val="DefaultParagraphFont"/>
    <w:rsid w:val="00471045"/>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lang w:val="en-GB"/>
    </w:rPr>
  </w:style>
  <w:style w:type="paragraph" w:styleId="ListParagraph">
    <w:name w:val="List Paragraph"/>
    <w:basedOn w:val="Normal"/>
    <w:uiPriority w:val="34"/>
    <w:qFormat/>
    <w:rsid w:val="00836FA6"/>
    <w:pPr>
      <w:ind w:left="720"/>
      <w:contextualSpacing/>
    </w:pPr>
  </w:style>
  <w:style w:type="paragraph" w:styleId="Revision">
    <w:name w:val="Revision"/>
    <w:hidden/>
    <w:uiPriority w:val="99"/>
    <w:semiHidden/>
    <w:rsid w:val="008E26D9"/>
    <w:rPr>
      <w:sz w:val="22"/>
      <w:lang w:val="en-GB"/>
    </w:rPr>
  </w:style>
  <w:style w:type="paragraph" w:styleId="CommentSubject">
    <w:name w:val="annotation subject"/>
    <w:basedOn w:val="CommentText"/>
    <w:next w:val="CommentText"/>
    <w:link w:val="CommentSubjectChar"/>
    <w:semiHidden/>
    <w:unhideWhenUsed/>
    <w:rsid w:val="008E26D9"/>
    <w:rPr>
      <w:b/>
      <w:bCs/>
    </w:rPr>
  </w:style>
  <w:style w:type="character" w:customStyle="1" w:styleId="CommentSubjectChar">
    <w:name w:val="Comment Subject Char"/>
    <w:basedOn w:val="CommentTextChar"/>
    <w:link w:val="CommentSubject"/>
    <w:semiHidden/>
    <w:rsid w:val="008E26D9"/>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154638">
      <w:bodyDiv w:val="1"/>
      <w:marLeft w:val="0"/>
      <w:marRight w:val="0"/>
      <w:marTop w:val="0"/>
      <w:marBottom w:val="0"/>
      <w:divBdr>
        <w:top w:val="none" w:sz="0" w:space="0" w:color="auto"/>
        <w:left w:val="none" w:sz="0" w:space="0" w:color="auto"/>
        <w:bottom w:val="none" w:sz="0" w:space="0" w:color="auto"/>
        <w:right w:val="none" w:sz="0" w:space="0" w:color="auto"/>
      </w:divBdr>
    </w:div>
    <w:div w:id="1649087119">
      <w:bodyDiv w:val="1"/>
      <w:marLeft w:val="0"/>
      <w:marRight w:val="0"/>
      <w:marTop w:val="0"/>
      <w:marBottom w:val="0"/>
      <w:divBdr>
        <w:top w:val="none" w:sz="0" w:space="0" w:color="auto"/>
        <w:left w:val="none" w:sz="0" w:space="0" w:color="auto"/>
        <w:bottom w:val="none" w:sz="0" w:space="0" w:color="auto"/>
        <w:right w:val="none" w:sz="0" w:space="0" w:color="auto"/>
      </w:divBdr>
    </w:div>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 w:id="198700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BCD087-E167-497C-A10D-FB0742E3A6D6}">
  <ds:schemaRefs>
    <ds:schemaRef ds:uri="http://schemas.microsoft.com/sharepoint/v3/contenttype/forms"/>
  </ds:schemaRefs>
</ds:datastoreItem>
</file>

<file path=customXml/itemProps2.xml><?xml version="1.0" encoding="utf-8"?>
<ds:datastoreItem xmlns:ds="http://schemas.openxmlformats.org/officeDocument/2006/customXml" ds:itemID="{6797BDA7-D63F-4759-9EEC-CBD4097C776F}"/>
</file>

<file path=customXml/itemProps3.xml><?xml version="1.0" encoding="utf-8"?>
<ds:datastoreItem xmlns:ds="http://schemas.openxmlformats.org/officeDocument/2006/customXml" ds:itemID="{F874C763-6A55-47B3-AADB-84FB76DC3AE8}">
  <ds:schemaRefs>
    <ds:schemaRef ds:uri="http://schemas.microsoft.com/office/2006/metadata/properties"/>
    <ds:schemaRef ds:uri="http://schemas.microsoft.com/office/infopath/2007/PartnerControls"/>
    <ds:schemaRef ds:uri="713d6f2d-8a98-4dfb-98ca-54a7c3d9951e"/>
    <ds:schemaRef ds:uri="3a32ac1f-2b4c-47fa-adda-3523a18d37a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1589</Words>
  <Characters>9061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2023-02-07T21:15:00Z</dcterms:created>
  <dcterms:modified xsi:type="dcterms:W3CDTF">2023-02-18T07:20:00Z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0x010100B372B09A9A77C4438999FF1325BEF759</vt:lpwstr>
  </property>
</Properties>
</file>