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7D4A" w14:textId="32767825" w:rsidR="009E70A9" w:rsidRPr="002E05E2" w:rsidRDefault="009E70A9" w:rsidP="009E70A9">
      <w:r w:rsidRPr="008424AF">
        <w:rPr>
          <w:highlight w:val="yellow"/>
        </w:rPr>
        <w:t>To support</w:t>
      </w:r>
      <w:r>
        <w:t xml:space="preserve"> </w:t>
      </w:r>
      <w:r w:rsidRPr="00BF64DC">
        <w:t>the revisions</w:t>
      </w:r>
      <w:r w:rsidRPr="008424AF">
        <w:t xml:space="preserve">, as called for by Resolutions </w:t>
      </w:r>
      <w:r w:rsidRPr="008424AF">
        <w:rPr>
          <w:b/>
          <w:bCs/>
        </w:rPr>
        <w:t>155 (Rev.WRC-19) and 171 (WRC-19)</w:t>
      </w:r>
      <w:r w:rsidR="00D946EC" w:rsidRPr="00BF64DC">
        <w:t>, p</w:t>
      </w:r>
      <w:r w:rsidR="0031231E" w:rsidRPr="00BF64DC">
        <w:t>rovided that</w:t>
      </w:r>
      <w:r w:rsidRPr="00BF64DC">
        <w:t xml:space="preserve"> the following conditions are addressed</w:t>
      </w:r>
      <w:r>
        <w:t>:</w:t>
      </w:r>
    </w:p>
    <w:p w14:paraId="57E96A34" w14:textId="77777777" w:rsidR="009E70A9" w:rsidRDefault="009E70A9" w:rsidP="009E70A9">
      <w:pPr>
        <w:rPr>
          <w:highlight w:val="lightGray"/>
        </w:rPr>
      </w:pPr>
    </w:p>
    <w:p w14:paraId="0345CF3D" w14:textId="77F9F12D" w:rsidR="00ED2028" w:rsidRPr="008424AF" w:rsidRDefault="006435A3" w:rsidP="008424AF">
      <w:pPr>
        <w:pStyle w:val="ListParagraph"/>
        <w:numPr>
          <w:ilvl w:val="0"/>
          <w:numId w:val="2"/>
        </w:numPr>
      </w:pPr>
      <w:r>
        <w:t xml:space="preserve">When revising Resolution </w:t>
      </w:r>
      <w:r w:rsidRPr="008424AF">
        <w:rPr>
          <w:b/>
          <w:bCs/>
        </w:rPr>
        <w:t>155</w:t>
      </w:r>
      <w:r>
        <w:t xml:space="preserve">, the following requirements </w:t>
      </w:r>
      <w:r w:rsidR="00F6111E">
        <w:t xml:space="preserve">should be </w:t>
      </w:r>
      <w:r w:rsidR="00F6111E" w:rsidRPr="008424AF">
        <w:rPr>
          <w:highlight w:val="yellow"/>
        </w:rPr>
        <w:t>acknowledged</w:t>
      </w:r>
      <w:r w:rsidR="006E13E9">
        <w:t>/considered</w:t>
      </w:r>
      <w:r w:rsidR="00F6111E">
        <w:t xml:space="preserve"> as being addressed under the ICAO framework:</w:t>
      </w:r>
    </w:p>
    <w:p w14:paraId="75D39412" w14:textId="4D1A6C6A" w:rsidR="009E70A9" w:rsidRPr="008424AF" w:rsidRDefault="009E70A9" w:rsidP="008424AF">
      <w:pPr>
        <w:pStyle w:val="ListParagraph"/>
        <w:numPr>
          <w:ilvl w:val="1"/>
          <w:numId w:val="1"/>
        </w:numPr>
      </w:pPr>
      <w:r w:rsidRPr="008424AF">
        <w:t>the identification of the State(s) responsible to ensure the safety-of-life required link performances in an airspace for the use of UAS CNPC is defined in the Annexes to the Convention of the International Civil Aviation Organization (ICAO</w:t>
      </w:r>
      <w:proofErr w:type="gramStart"/>
      <w:r w:rsidRPr="008424AF">
        <w:t>);</w:t>
      </w:r>
      <w:proofErr w:type="gramEnd"/>
      <w:r w:rsidRPr="008424AF">
        <w:t xml:space="preserve">  </w:t>
      </w:r>
    </w:p>
    <w:p w14:paraId="50E470D2" w14:textId="39486107" w:rsidR="009E70A9" w:rsidRPr="008424AF" w:rsidRDefault="00B3254A" w:rsidP="008424AF">
      <w:pPr>
        <w:pStyle w:val="ListParagraph"/>
        <w:widowControl w:val="0"/>
        <w:numPr>
          <w:ilvl w:val="1"/>
          <w:numId w:val="1"/>
        </w:numPr>
        <w:autoSpaceDE w:val="0"/>
        <w:autoSpaceDN w:val="0"/>
        <w:contextualSpacing w:val="0"/>
      </w:pPr>
      <w:r>
        <w:t>No.</w:t>
      </w:r>
      <w:r w:rsidRPr="008424AF">
        <w:t xml:space="preserve"> </w:t>
      </w:r>
      <w:r w:rsidR="009E70A9" w:rsidRPr="008424AF">
        <w:rPr>
          <w:b/>
        </w:rPr>
        <w:t>4.10</w:t>
      </w:r>
      <w:r w:rsidR="009E70A9" w:rsidRPr="008424AF">
        <w:t xml:space="preserve"> shall apply unless the responsible State(s), identified above, decide(s) that its application is not required.</w:t>
      </w:r>
    </w:p>
    <w:p w14:paraId="66C912E9" w14:textId="77777777" w:rsidR="009E70A9" w:rsidRPr="008424AF" w:rsidRDefault="009E70A9" w:rsidP="009E70A9">
      <w:pPr>
        <w:widowControl w:val="0"/>
        <w:autoSpaceDE w:val="0"/>
        <w:autoSpaceDN w:val="0"/>
      </w:pPr>
    </w:p>
    <w:p w14:paraId="4AE760B1" w14:textId="0E7A6218" w:rsidR="009E70A9" w:rsidRPr="008424AF" w:rsidRDefault="00D946EC" w:rsidP="008424AF">
      <w:pPr>
        <w:pStyle w:val="ListParagraph"/>
        <w:widowControl w:val="0"/>
        <w:numPr>
          <w:ilvl w:val="0"/>
          <w:numId w:val="2"/>
        </w:numPr>
        <w:autoSpaceDE w:val="0"/>
        <w:autoSpaceDN w:val="0"/>
      </w:pPr>
      <w:r w:rsidRPr="008424AF">
        <w:t>that</w:t>
      </w:r>
      <w:r w:rsidR="009E70A9" w:rsidRPr="008424AF">
        <w:t xml:space="preserve"> the regulatory framework resulting from WRC </w:t>
      </w:r>
      <w:r w:rsidR="003A4CF9" w:rsidRPr="008424AF">
        <w:t xml:space="preserve">needs to </w:t>
      </w:r>
      <w:r w:rsidR="0031231E" w:rsidRPr="008424AF">
        <w:t>en</w:t>
      </w:r>
      <w:r w:rsidR="003A4CF9" w:rsidRPr="008424AF">
        <w:t xml:space="preserve">sure </w:t>
      </w:r>
      <w:proofErr w:type="gramStart"/>
      <w:r w:rsidR="003A4CF9" w:rsidRPr="008424AF">
        <w:t xml:space="preserve">that </w:t>
      </w:r>
      <w:r w:rsidR="009E70A9" w:rsidRPr="008424AF">
        <w:t>:</w:t>
      </w:r>
      <w:proofErr w:type="gramEnd"/>
    </w:p>
    <w:p w14:paraId="29753D4B" w14:textId="35062271" w:rsidR="009E70A9" w:rsidRDefault="003A4CF9" w:rsidP="001714F8">
      <w:pPr>
        <w:pStyle w:val="ListParagraph"/>
        <w:numPr>
          <w:ilvl w:val="0"/>
          <w:numId w:val="1"/>
        </w:numPr>
        <w:autoSpaceDE w:val="0"/>
        <w:autoSpaceDN w:val="0"/>
        <w:adjustRightInd w:val="0"/>
        <w:rPr>
          <w:highlight w:val="green"/>
        </w:rPr>
      </w:pPr>
      <w:r>
        <w:rPr>
          <w:highlight w:val="green"/>
        </w:rPr>
        <w:t>a</w:t>
      </w:r>
      <w:r w:rsidR="009E70A9" w:rsidRPr="002E05E2">
        <w:rPr>
          <w:highlight w:val="green"/>
        </w:rPr>
        <w:t xml:space="preserve"> primary status </w:t>
      </w:r>
      <w:r>
        <w:rPr>
          <w:highlight w:val="green"/>
        </w:rPr>
        <w:t xml:space="preserve">is </w:t>
      </w:r>
      <w:r w:rsidR="0031231E">
        <w:rPr>
          <w:highlight w:val="green"/>
        </w:rPr>
        <w:t xml:space="preserve">clearly </w:t>
      </w:r>
      <w:r>
        <w:rPr>
          <w:highlight w:val="green"/>
        </w:rPr>
        <w:t xml:space="preserve">provided </w:t>
      </w:r>
      <w:r w:rsidR="009E70A9" w:rsidRPr="002E05E2">
        <w:rPr>
          <w:highlight w:val="green"/>
        </w:rPr>
        <w:t xml:space="preserve">for </w:t>
      </w:r>
      <w:r w:rsidR="009E70A9">
        <w:rPr>
          <w:highlight w:val="green"/>
        </w:rPr>
        <w:t xml:space="preserve">all </w:t>
      </w:r>
      <w:r w:rsidR="009E70A9" w:rsidRPr="002E05E2">
        <w:rPr>
          <w:highlight w:val="green"/>
        </w:rPr>
        <w:t xml:space="preserve">the </w:t>
      </w:r>
      <w:r w:rsidR="009E70A9">
        <w:rPr>
          <w:highlight w:val="green"/>
        </w:rPr>
        <w:t>stations</w:t>
      </w:r>
      <w:r w:rsidR="009E70A9" w:rsidRPr="002E05E2">
        <w:rPr>
          <w:highlight w:val="green"/>
        </w:rPr>
        <w:t xml:space="preserve"> </w:t>
      </w:r>
      <w:r w:rsidR="009E70A9">
        <w:rPr>
          <w:highlight w:val="green"/>
        </w:rPr>
        <w:t xml:space="preserve">providing </w:t>
      </w:r>
      <w:r w:rsidR="009E70A9" w:rsidRPr="002E05E2">
        <w:rPr>
          <w:highlight w:val="green"/>
        </w:rPr>
        <w:t xml:space="preserve">the UAS CNPC </w:t>
      </w:r>
      <w:proofErr w:type="gramStart"/>
      <w:r w:rsidR="009E70A9" w:rsidRPr="002E05E2">
        <w:rPr>
          <w:highlight w:val="green"/>
        </w:rPr>
        <w:t>link;</w:t>
      </w:r>
      <w:proofErr w:type="gramEnd"/>
    </w:p>
    <w:p w14:paraId="429F9AEF" w14:textId="0308FD02" w:rsidR="00D946EC" w:rsidRDefault="009E70A9" w:rsidP="001714F8">
      <w:pPr>
        <w:pStyle w:val="ListParagraph"/>
        <w:numPr>
          <w:ilvl w:val="0"/>
          <w:numId w:val="1"/>
        </w:numPr>
        <w:autoSpaceDE w:val="0"/>
        <w:autoSpaceDN w:val="0"/>
        <w:adjustRightInd w:val="0"/>
        <w:rPr>
          <w:highlight w:val="green"/>
        </w:rPr>
      </w:pPr>
      <w:r w:rsidRPr="00DE33A9">
        <w:rPr>
          <w:highlight w:val="green"/>
        </w:rPr>
        <w:t xml:space="preserve">inconsistencies concerning Resolutions </w:t>
      </w:r>
      <w:r w:rsidRPr="00DE33A9">
        <w:rPr>
          <w:b/>
          <w:highlight w:val="green"/>
        </w:rPr>
        <w:t xml:space="preserve">156 </w:t>
      </w:r>
      <w:r w:rsidRPr="00DE33A9">
        <w:rPr>
          <w:bCs/>
          <w:highlight w:val="green"/>
        </w:rPr>
        <w:t>and</w:t>
      </w:r>
      <w:r w:rsidRPr="00DE33A9">
        <w:rPr>
          <w:b/>
          <w:highlight w:val="green"/>
        </w:rPr>
        <w:t xml:space="preserve"> 169, </w:t>
      </w:r>
      <w:r w:rsidRPr="00DE33A9">
        <w:rPr>
          <w:highlight w:val="green"/>
        </w:rPr>
        <w:t xml:space="preserve">and any future Resolution addressing </w:t>
      </w:r>
      <w:proofErr w:type="gramStart"/>
      <w:r w:rsidRPr="00DE33A9">
        <w:rPr>
          <w:highlight w:val="green"/>
        </w:rPr>
        <w:t>non safety</w:t>
      </w:r>
      <w:proofErr w:type="gramEnd"/>
      <w:r w:rsidRPr="00DE33A9">
        <w:rPr>
          <w:highlight w:val="green"/>
        </w:rPr>
        <w:t>-of-life applications of Earth stations in motion</w:t>
      </w:r>
      <w:r w:rsidR="003A4CF9">
        <w:rPr>
          <w:highlight w:val="green"/>
        </w:rPr>
        <w:t xml:space="preserve"> are removed</w:t>
      </w:r>
      <w:r w:rsidRPr="00DE33A9">
        <w:rPr>
          <w:highlight w:val="green"/>
        </w:rPr>
        <w:t>;</w:t>
      </w:r>
    </w:p>
    <w:p w14:paraId="4FEBB499" w14:textId="6526AACE" w:rsidR="009E70A9" w:rsidRPr="008424AF" w:rsidRDefault="009E70A9" w:rsidP="008424AF">
      <w:pPr>
        <w:pStyle w:val="ListParagraph"/>
        <w:numPr>
          <w:ilvl w:val="0"/>
          <w:numId w:val="1"/>
        </w:numPr>
        <w:autoSpaceDE w:val="0"/>
        <w:autoSpaceDN w:val="0"/>
        <w:adjustRightInd w:val="0"/>
      </w:pPr>
      <w:r w:rsidRPr="008424AF">
        <w:t xml:space="preserve">administrations </w:t>
      </w:r>
      <w:r w:rsidR="003A4CF9" w:rsidRPr="008424AF">
        <w:t xml:space="preserve">are encouraged </w:t>
      </w:r>
      <w:r w:rsidRPr="008424AF">
        <w:t xml:space="preserve">to notify their stations operated under terrestrial services in order to assist the responsible State(s) to assess the level of interference where the UAS plans to operate in order to support the establishment of the safety </w:t>
      </w:r>
      <w:proofErr w:type="gramStart"/>
      <w:r w:rsidRPr="008424AF">
        <w:t>cases</w:t>
      </w:r>
      <w:proofErr w:type="gramEnd"/>
    </w:p>
    <w:p w14:paraId="207C3012" w14:textId="77777777" w:rsidR="009E70A9" w:rsidRDefault="009E70A9" w:rsidP="009E70A9"/>
    <w:p w14:paraId="574CD7E3" w14:textId="59309688" w:rsidR="00577D3C" w:rsidRDefault="009E70A9" w:rsidP="009E70A9">
      <w:r w:rsidRPr="002E05E2">
        <w:rPr>
          <w:highlight w:val="yellow"/>
        </w:rPr>
        <w:t xml:space="preserve">If previous </w:t>
      </w:r>
      <w:r w:rsidR="00B763D1">
        <w:rPr>
          <w:highlight w:val="yellow"/>
        </w:rPr>
        <w:t>conditions</w:t>
      </w:r>
      <w:r w:rsidRPr="00D700B0">
        <w:rPr>
          <w:highlight w:val="lightGray"/>
        </w:rPr>
        <w:t xml:space="preserve"> </w:t>
      </w:r>
      <w:r w:rsidR="00BE7ED3">
        <w:rPr>
          <w:highlight w:val="lightGray"/>
        </w:rPr>
        <w:t>can</w:t>
      </w:r>
      <w:r w:rsidRPr="002E05E2">
        <w:rPr>
          <w:highlight w:val="yellow"/>
        </w:rPr>
        <w:t xml:space="preserve">not be </w:t>
      </w:r>
      <w:r w:rsidRPr="00D700B0">
        <w:rPr>
          <w:highlight w:val="red"/>
        </w:rPr>
        <w:t xml:space="preserve">fulfilled at </w:t>
      </w:r>
      <w:r w:rsidRPr="00D700B0">
        <w:rPr>
          <w:b/>
          <w:highlight w:val="red"/>
        </w:rPr>
        <w:t>WRC-23</w:t>
      </w:r>
      <w:r w:rsidRPr="00D700B0">
        <w:rPr>
          <w:highlight w:val="red"/>
        </w:rPr>
        <w:t xml:space="preserve">, to consider the suppression of </w:t>
      </w:r>
      <w:r w:rsidRPr="002E05E2">
        <w:rPr>
          <w:highlight w:val="yellow"/>
        </w:rPr>
        <w:t xml:space="preserve">the No. </w:t>
      </w:r>
      <w:r w:rsidRPr="002E05E2">
        <w:rPr>
          <w:b/>
          <w:highlight w:val="yellow"/>
        </w:rPr>
        <w:t>5.484B</w:t>
      </w:r>
      <w:r w:rsidRPr="002E05E2">
        <w:rPr>
          <w:highlight w:val="yellow"/>
        </w:rPr>
        <w:t xml:space="preserve"> and Resolution </w:t>
      </w:r>
      <w:r w:rsidRPr="002E05E2">
        <w:rPr>
          <w:b/>
          <w:bCs/>
          <w:highlight w:val="yellow"/>
        </w:rPr>
        <w:t>155 (Rev.WRC-19)</w:t>
      </w:r>
      <w:r w:rsidRPr="002E05E2">
        <w:rPr>
          <w:highlight w:val="yellow"/>
        </w:rPr>
        <w:t>.</w:t>
      </w:r>
    </w:p>
    <w:sectPr w:rsidR="00577D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E4A55"/>
    <w:multiLevelType w:val="hybridMultilevel"/>
    <w:tmpl w:val="6E80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076FC"/>
    <w:multiLevelType w:val="hybridMultilevel"/>
    <w:tmpl w:val="78D4CAC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560023593">
    <w:abstractNumId w:val="1"/>
  </w:num>
  <w:num w:numId="2" w16cid:durableId="40661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revisionView w:formatting="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6E"/>
    <w:rsid w:val="001714F8"/>
    <w:rsid w:val="00226C8C"/>
    <w:rsid w:val="002B6B6A"/>
    <w:rsid w:val="0031231E"/>
    <w:rsid w:val="003670EB"/>
    <w:rsid w:val="003A4CF9"/>
    <w:rsid w:val="003E48B2"/>
    <w:rsid w:val="0048306E"/>
    <w:rsid w:val="00612C5F"/>
    <w:rsid w:val="006435A3"/>
    <w:rsid w:val="006C3A9E"/>
    <w:rsid w:val="006E13E9"/>
    <w:rsid w:val="006E499B"/>
    <w:rsid w:val="007427D5"/>
    <w:rsid w:val="008424AF"/>
    <w:rsid w:val="008872C0"/>
    <w:rsid w:val="00907BAE"/>
    <w:rsid w:val="00977CA0"/>
    <w:rsid w:val="009E70A9"/>
    <w:rsid w:val="00A27CB9"/>
    <w:rsid w:val="00B3254A"/>
    <w:rsid w:val="00B763D1"/>
    <w:rsid w:val="00BE7ED3"/>
    <w:rsid w:val="00BF64DC"/>
    <w:rsid w:val="00C33D85"/>
    <w:rsid w:val="00D10D8B"/>
    <w:rsid w:val="00D27FB3"/>
    <w:rsid w:val="00D946EC"/>
    <w:rsid w:val="00EB4AB7"/>
    <w:rsid w:val="00ED2028"/>
    <w:rsid w:val="00EE396D"/>
    <w:rsid w:val="00F6111E"/>
    <w:rsid w:val="00F740F0"/>
    <w:rsid w:val="00FF7B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E667"/>
  <w15:chartTrackingRefBased/>
  <w15:docId w15:val="{49BD17EA-6893-4396-84EC-B5BB145D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6E"/>
    <w:pPr>
      <w:spacing w:after="0" w:line="240" w:lineRule="auto"/>
      <w:jc w:val="both"/>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306E"/>
    <w:pPr>
      <w:ind w:left="720"/>
      <w:contextualSpacing/>
    </w:pPr>
  </w:style>
  <w:style w:type="table" w:styleId="TableGrid">
    <w:name w:val="Table Grid"/>
    <w:basedOn w:val="TableNormal"/>
    <w:rsid w:val="004830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46EC"/>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05FFC-6636-4222-8DAF-8C47E1FEEA5F}"/>
</file>

<file path=customXml/itemProps2.xml><?xml version="1.0" encoding="utf-8"?>
<ds:datastoreItem xmlns:ds="http://schemas.openxmlformats.org/officeDocument/2006/customXml" ds:itemID="{E80A63B9-CA56-4B66-946A-6AD8864DC89D}"/>
</file>

<file path=customXml/itemProps3.xml><?xml version="1.0" encoding="utf-8"?>
<ds:datastoreItem xmlns:ds="http://schemas.openxmlformats.org/officeDocument/2006/customXml" ds:itemID="{CC3E2C24-6474-411E-8F91-41EDAFBDDBE6}"/>
</file>

<file path=docProps/app.xml><?xml version="1.0" encoding="utf-8"?>
<Properties xmlns="http://schemas.openxmlformats.org/officeDocument/2006/extended-properties" xmlns:vt="http://schemas.openxmlformats.org/officeDocument/2006/docPropsVTypes">
  <Template>Normal.dotm</Template>
  <TotalTime>54</TotalTime>
  <Pages>1</Pages>
  <Words>203</Words>
  <Characters>1160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Bundesnetzagentur</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Germany</dc:creator>
  <cp:keywords/>
  <dc:description/>
  <cp:lastModifiedBy>FSMP</cp:lastModifiedBy>
  <cp:revision>25</cp:revision>
  <dcterms:created xsi:type="dcterms:W3CDTF">2023-02-17T07:41:00Z</dcterms:created>
  <dcterms:modified xsi:type="dcterms:W3CDTF">2023-02-17T08:42:00Z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