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66110" w14:textId="77777777" w:rsidR="00C32F4A" w:rsidRDefault="00C32F4A" w:rsidP="00C32F4A">
      <w:pPr>
        <w:jc w:val="center"/>
        <w:rPr>
          <w:b/>
        </w:rPr>
      </w:pPr>
      <w:r>
        <w:rPr>
          <w:b/>
        </w:rPr>
        <w:t>FREQUENCY SPECTRUM MANAGEMENT PANEL (FSMP)</w:t>
      </w:r>
    </w:p>
    <w:p w14:paraId="672A6659" w14:textId="77777777" w:rsidR="00C32F4A" w:rsidRDefault="00C32F4A" w:rsidP="00C32F4A">
      <w:pPr>
        <w:tabs>
          <w:tab w:val="left" w:pos="6972"/>
        </w:tabs>
        <w:jc w:val="center"/>
        <w:rPr>
          <w:b/>
        </w:rPr>
      </w:pPr>
    </w:p>
    <w:p w14:paraId="350BE4F7" w14:textId="77777777" w:rsidR="00C32F4A" w:rsidRDefault="00C32F4A" w:rsidP="00C32F4A">
      <w:pPr>
        <w:pStyle w:val="Maintitle"/>
      </w:pPr>
      <w:r>
        <w:t>Eleventh Working Group meeting</w:t>
      </w:r>
    </w:p>
    <w:p w14:paraId="0A37501D" w14:textId="77777777" w:rsidR="00C32F4A" w:rsidRDefault="00C32F4A" w:rsidP="00C32F4A"/>
    <w:p w14:paraId="1237054A" w14:textId="77777777" w:rsidR="00C32F4A" w:rsidRDefault="00C32F4A" w:rsidP="00C32F4A">
      <w:pPr>
        <w:jc w:val="center"/>
        <w:rPr>
          <w:b/>
          <w:bCs/>
          <w:szCs w:val="22"/>
        </w:rPr>
      </w:pPr>
      <w:bookmarkStart w:id="0" w:name="agenda_item"/>
      <w:bookmarkEnd w:id="0"/>
      <w:r>
        <w:rPr>
          <w:b/>
          <w:bCs/>
          <w:szCs w:val="22"/>
        </w:rPr>
        <w:t>Web Meeting, 1 – 12 March 2021</w:t>
      </w:r>
    </w:p>
    <w:p w14:paraId="5DAB6C7B" w14:textId="77777777" w:rsidR="00770160" w:rsidRDefault="00770160">
      <w:pPr>
        <w:tabs>
          <w:tab w:val="left" w:pos="0"/>
          <w:tab w:val="left" w:pos="1570"/>
          <w:tab w:val="left" w:pos="1857"/>
        </w:tabs>
      </w:pPr>
    </w:p>
    <w:p w14:paraId="02EB378F" w14:textId="77777777" w:rsidR="00770160" w:rsidRDefault="00770160">
      <w:pPr>
        <w:tabs>
          <w:tab w:val="left" w:pos="0"/>
          <w:tab w:val="left" w:pos="1570"/>
          <w:tab w:val="left" w:pos="1857"/>
        </w:tabs>
      </w:pPr>
    </w:p>
    <w:p w14:paraId="58BED968" w14:textId="754CF8CB" w:rsidR="00770160" w:rsidRDefault="6BA0DE82">
      <w:pPr>
        <w:pStyle w:val="Agendaitemtitle"/>
        <w:rPr>
          <w:lang w:val="sv-SE"/>
        </w:rPr>
      </w:pPr>
      <w:r w:rsidRPr="6BA0DE82">
        <w:rPr>
          <w:lang w:val="sv-SE"/>
        </w:rPr>
        <w:t>Agenda Item 2:</w:t>
      </w:r>
      <w:r w:rsidR="00770160">
        <w:tab/>
      </w:r>
      <w:r w:rsidRPr="6BA0DE82">
        <w:rPr>
          <w:lang w:val="sv-SE"/>
        </w:rPr>
        <w:t>WRC-23 Preparations</w:t>
      </w:r>
    </w:p>
    <w:p w14:paraId="67651552" w14:textId="77777777" w:rsidR="00A4351D" w:rsidRDefault="00A4351D" w:rsidP="00A4351D">
      <w:pPr>
        <w:pStyle w:val="Agendaitemtitle"/>
        <w:numPr>
          <w:ilvl w:val="0"/>
          <w:numId w:val="8"/>
        </w:numPr>
        <w:rPr>
          <w:lang w:val="sv-SE"/>
        </w:rPr>
      </w:pPr>
      <w:r>
        <w:rPr>
          <w:lang w:val="sv-SE"/>
        </w:rPr>
        <w:t>Completion of ICAO Position for WRC-23, review and address State Letter responses</w:t>
      </w:r>
    </w:p>
    <w:p w14:paraId="6A05A809" w14:textId="77777777" w:rsidR="00770160" w:rsidRDefault="00770160">
      <w:pPr>
        <w:pStyle w:val="Agendaitemtitle"/>
        <w:rPr>
          <w:b w:val="0"/>
          <w:lang w:val="sv-SE"/>
        </w:rPr>
      </w:pPr>
    </w:p>
    <w:p w14:paraId="5A39BBE3" w14:textId="77777777" w:rsidR="00770160" w:rsidRDefault="00770160">
      <w:pPr>
        <w:tabs>
          <w:tab w:val="left" w:pos="6972"/>
        </w:tabs>
        <w:rPr>
          <w:b/>
          <w:lang w:val="sv-SE"/>
        </w:rPr>
      </w:pPr>
    </w:p>
    <w:p w14:paraId="390F95FF" w14:textId="77777777" w:rsidR="00770160" w:rsidRDefault="00AB5710">
      <w:pPr>
        <w:pStyle w:val="Maintitle"/>
      </w:pPr>
      <w:r>
        <w:t>RESULTS OF THE CORRESPONDENCE GROUP ON RESOLUTION 155 ISSSUES</w:t>
      </w:r>
    </w:p>
    <w:p w14:paraId="41C8F396" w14:textId="77777777" w:rsidR="00770160" w:rsidRDefault="00770160">
      <w:pPr>
        <w:tabs>
          <w:tab w:val="left" w:pos="6972"/>
        </w:tabs>
      </w:pPr>
    </w:p>
    <w:p w14:paraId="72A3D3EC" w14:textId="77777777" w:rsidR="00770160" w:rsidRDefault="00770160">
      <w:pPr>
        <w:tabs>
          <w:tab w:val="left" w:pos="6972"/>
        </w:tabs>
      </w:pPr>
    </w:p>
    <w:p w14:paraId="1AAEB9A6" w14:textId="1AEC38A6" w:rsidR="00770160" w:rsidRDefault="6BA0DE82">
      <w:pPr>
        <w:jc w:val="center"/>
      </w:pPr>
      <w:r>
        <w:t>(Presented by John Mettrop)</w:t>
      </w:r>
      <w:bookmarkStart w:id="1" w:name="presented_by"/>
      <w:bookmarkEnd w:id="1"/>
    </w:p>
    <w:p w14:paraId="0D0B940D" w14:textId="77777777" w:rsidR="00770160" w:rsidRDefault="00770160"/>
    <w:p w14:paraId="0E27B00A"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41731E4F" w14:textId="77777777">
        <w:trPr>
          <w:cantSplit/>
          <w:trHeight w:hRule="exact" w:val="480"/>
          <w:jc w:val="center"/>
        </w:trPr>
        <w:tc>
          <w:tcPr>
            <w:tcW w:w="7200" w:type="dxa"/>
            <w:vAlign w:val="center"/>
          </w:tcPr>
          <w:p w14:paraId="128BD283" w14:textId="77777777" w:rsidR="00770160" w:rsidRDefault="00770160">
            <w:pPr>
              <w:jc w:val="center"/>
              <w:rPr>
                <w:sz w:val="24"/>
                <w:lang w:val="en-US"/>
              </w:rPr>
            </w:pPr>
            <w:r>
              <w:rPr>
                <w:b/>
              </w:rPr>
              <w:t>SUMMARY</w:t>
            </w:r>
          </w:p>
        </w:tc>
      </w:tr>
      <w:tr w:rsidR="00770160" w14:paraId="400D5421" w14:textId="77777777">
        <w:trPr>
          <w:cantSplit/>
          <w:jc w:val="center"/>
        </w:trPr>
        <w:tc>
          <w:tcPr>
            <w:tcW w:w="7200" w:type="dxa"/>
          </w:tcPr>
          <w:p w14:paraId="37C81BC9" w14:textId="77777777" w:rsidR="00770160" w:rsidRDefault="00AB5710">
            <w:pPr>
              <w:rPr>
                <w:lang w:val="en-US"/>
              </w:rPr>
            </w:pPr>
            <w:r>
              <w:rPr>
                <w:lang w:val="en-US"/>
              </w:rPr>
              <w:t>This document provides</w:t>
            </w:r>
            <w:r w:rsidR="00560EF8">
              <w:rPr>
                <w:lang w:val="en-US"/>
              </w:rPr>
              <w:t xml:space="preserve"> the results of the work done by the correspondence group on identifying potential issues with and possible solutions to Resolution </w:t>
            </w:r>
            <w:r w:rsidR="00560EF8" w:rsidRPr="00560EF8">
              <w:rPr>
                <w:b/>
                <w:bCs/>
                <w:lang w:val="en-US"/>
              </w:rPr>
              <w:t>155</w:t>
            </w:r>
          </w:p>
        </w:tc>
      </w:tr>
    </w:tbl>
    <w:p w14:paraId="60061E4C" w14:textId="77777777" w:rsidR="00770160" w:rsidRDefault="00770160"/>
    <w:p w14:paraId="44EAFD9C" w14:textId="77777777" w:rsidR="00770160" w:rsidRDefault="00770160"/>
    <w:p w14:paraId="2C8B4F07" w14:textId="77777777" w:rsidR="00770160" w:rsidRDefault="00770160">
      <w:pPr>
        <w:pStyle w:val="1Heading"/>
      </w:pPr>
      <w:r>
        <w:t>INTRODUCTION</w:t>
      </w:r>
    </w:p>
    <w:p w14:paraId="0B2B4E5F" w14:textId="1F107343" w:rsidR="00770160" w:rsidRDefault="6BA0DE82">
      <w:pPr>
        <w:pStyle w:val="2para"/>
      </w:pPr>
      <w:r>
        <w:t xml:space="preserve">At the last meeting of the Frequency Spectrum Management Panel Working </w:t>
      </w:r>
      <w:proofErr w:type="gramStart"/>
      <w:r>
        <w:t>Group</w:t>
      </w:r>
      <w:proofErr w:type="gramEnd"/>
      <w:r>
        <w:t xml:space="preserve"> I agreed to form a correspondence group to identify the potential issues with and possible solutions to Resolution </w:t>
      </w:r>
      <w:r w:rsidRPr="6BA0DE82">
        <w:rPr>
          <w:b/>
          <w:bCs/>
        </w:rPr>
        <w:t>155</w:t>
      </w:r>
      <w:r>
        <w:t xml:space="preserve">. This document provides the result of that work that unfortunately was limited by time availability. </w:t>
      </w:r>
    </w:p>
    <w:p w14:paraId="64223A70" w14:textId="77777777" w:rsidR="00770160" w:rsidRDefault="00770160">
      <w:pPr>
        <w:pStyle w:val="1Heading"/>
      </w:pPr>
      <w:r>
        <w:t>DISCUSSION</w:t>
      </w:r>
    </w:p>
    <w:p w14:paraId="5294C3A9" w14:textId="6F2AD46F" w:rsidR="00560EF8" w:rsidRPr="00560EF8" w:rsidRDefault="6BA0DE82" w:rsidP="00560EF8">
      <w:pPr>
        <w:pStyle w:val="2para"/>
      </w:pPr>
      <w:r>
        <w:t xml:space="preserve">The correspondence group had one meeting in which the issues identified by the participants were discussed and </w:t>
      </w:r>
      <w:proofErr w:type="gramStart"/>
      <w:r>
        <w:t>as a result</w:t>
      </w:r>
      <w:proofErr w:type="gramEnd"/>
      <w:r>
        <w:t xml:space="preserve"> of those discussions, a consolidated list of issues and possible actions was produced, which is contained in the annex to this document.  This list was produced on the basis that all issues identified and possible actions would be included and therefore their inclusion does not necessary indicate agreement.</w:t>
      </w:r>
    </w:p>
    <w:p w14:paraId="3DEF6EF6" w14:textId="77777777" w:rsidR="00770160" w:rsidRDefault="00770160">
      <w:pPr>
        <w:pStyle w:val="1Heading"/>
      </w:pPr>
      <w:bookmarkStart w:id="2" w:name="_Hlk65239321"/>
      <w:r>
        <w:lastRenderedPageBreak/>
        <w:t>ACTION BY THE MEETING</w:t>
      </w:r>
    </w:p>
    <w:p w14:paraId="6CF3F774" w14:textId="77777777" w:rsidR="00770160" w:rsidRDefault="00770160">
      <w:pPr>
        <w:pStyle w:val="2para"/>
      </w:pPr>
      <w:r>
        <w:t>The meeting is invited to:</w:t>
      </w:r>
    </w:p>
    <w:p w14:paraId="57A3E518" w14:textId="77777777" w:rsidR="00770160" w:rsidRDefault="6BA0DE82" w:rsidP="00BC2564">
      <w:pPr>
        <w:pStyle w:val="Listabc"/>
        <w:rPr>
          <w:szCs w:val="22"/>
        </w:rPr>
      </w:pPr>
      <w:r w:rsidRPr="6BA0DE82">
        <w:rPr>
          <w:lang w:val="en-GB"/>
        </w:rPr>
        <w:t>n</w:t>
      </w:r>
      <w:r>
        <w:t>ote and review the contents of the annex to this working paper;</w:t>
      </w:r>
    </w:p>
    <w:p w14:paraId="1ADF139F" w14:textId="1937FDB4" w:rsidR="00770160" w:rsidRPr="00560EF8" w:rsidRDefault="6BA0DE82" w:rsidP="00BC2564">
      <w:pPr>
        <w:pStyle w:val="Listabc"/>
        <w:rPr>
          <w:szCs w:val="22"/>
        </w:rPr>
      </w:pPr>
      <w:r>
        <w:t xml:space="preserve">based on the review called for in a) above produce a consolidated list of issues that need to be addressed with Resolution </w:t>
      </w:r>
      <w:r w:rsidRPr="6BA0DE82">
        <w:rPr>
          <w:b/>
          <w:bCs/>
        </w:rPr>
        <w:t>155</w:t>
      </w:r>
    </w:p>
    <w:p w14:paraId="4E8D6E0F" w14:textId="02B8E2CC" w:rsidR="00560EF8" w:rsidRPr="00560EF8" w:rsidRDefault="00560EF8" w:rsidP="00BC2564">
      <w:pPr>
        <w:pStyle w:val="Listabc"/>
        <w:rPr>
          <w:szCs w:val="22"/>
        </w:rPr>
      </w:pPr>
      <w:r>
        <w:t>W</w:t>
      </w:r>
      <w:r w:rsidR="6BA0DE82">
        <w:t>here possible identify acceptable solutions to the issues identified in b)</w:t>
      </w:r>
    </w:p>
    <w:bookmarkEnd w:id="2"/>
    <w:p w14:paraId="09580CE6" w14:textId="77777777" w:rsidR="00770160" w:rsidRDefault="00770160">
      <w:pPr>
        <w:spacing w:before="600"/>
        <w:jc w:val="center"/>
      </w:pPr>
      <w:r>
        <w:t>— END —</w:t>
      </w:r>
    </w:p>
    <w:p w14:paraId="4B94D5A5" w14:textId="77777777" w:rsidR="00FC6D9D" w:rsidRDefault="00FC6D9D">
      <w:pPr>
        <w:spacing w:before="600"/>
        <w:jc w:val="center"/>
        <w:sectPr w:rsidR="00FC6D9D">
          <w:headerReference w:type="even" r:id="rId9"/>
          <w:headerReference w:type="default" r:id="rId10"/>
          <w:footerReference w:type="even" r:id="rId11"/>
          <w:footerReference w:type="default" r:id="rId12"/>
          <w:headerReference w:type="first" r:id="rId13"/>
          <w:footerReference w:type="first" r:id="rId14"/>
          <w:pgSz w:w="12242" w:h="15842" w:code="1"/>
          <w:pgMar w:top="1627" w:right="1247" w:bottom="1440" w:left="1247" w:header="1009" w:footer="720" w:gutter="0"/>
          <w:cols w:space="720"/>
          <w:titlePg/>
        </w:sectPr>
      </w:pPr>
    </w:p>
    <w:p w14:paraId="3DEEC669" w14:textId="77777777" w:rsidR="00A12CBA" w:rsidRDefault="00A12CBA">
      <w:pPr>
        <w:spacing w:before="600"/>
        <w:jc w:val="center"/>
      </w:pPr>
    </w:p>
    <w:p w14:paraId="7FA88332" w14:textId="77777777" w:rsidR="00FC6D9D" w:rsidRPr="00AB5710" w:rsidRDefault="00FC6D9D" w:rsidP="00AB5710">
      <w:pPr>
        <w:spacing w:after="240"/>
        <w:jc w:val="center"/>
        <w:rPr>
          <w:b/>
          <w:bCs/>
        </w:rPr>
      </w:pPr>
      <w:r w:rsidRPr="00AB5710">
        <w:rPr>
          <w:b/>
          <w:bCs/>
        </w:rPr>
        <w:t>ANNEX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040"/>
        <w:gridCol w:w="4505"/>
        <w:gridCol w:w="4483"/>
      </w:tblGrid>
      <w:tr w:rsidR="00FC6D9D" w14:paraId="3699A2B9" w14:textId="77777777" w:rsidTr="10BC0C78">
        <w:tc>
          <w:tcPr>
            <w:tcW w:w="5778" w:type="dxa"/>
            <w:gridSpan w:val="2"/>
            <w:shd w:val="clear" w:color="auto" w:fill="auto"/>
          </w:tcPr>
          <w:p w14:paraId="367BE700" w14:textId="77777777" w:rsidR="00FC6D9D" w:rsidRPr="00901190" w:rsidRDefault="00FC6D9D" w:rsidP="00901190">
            <w:pPr>
              <w:spacing w:before="100" w:beforeAutospacing="1" w:after="100" w:afterAutospacing="1"/>
              <w:jc w:val="center"/>
              <w:rPr>
                <w:b/>
                <w:bCs/>
              </w:rPr>
            </w:pPr>
            <w:r w:rsidRPr="00901190">
              <w:rPr>
                <w:b/>
                <w:bCs/>
              </w:rPr>
              <w:t>Resolves</w:t>
            </w:r>
          </w:p>
        </w:tc>
        <w:tc>
          <w:tcPr>
            <w:tcW w:w="4536" w:type="dxa"/>
            <w:shd w:val="clear" w:color="auto" w:fill="auto"/>
          </w:tcPr>
          <w:p w14:paraId="235C3837" w14:textId="77777777" w:rsidR="00FC6D9D" w:rsidRPr="00901190" w:rsidRDefault="00FC6D9D" w:rsidP="00901190">
            <w:pPr>
              <w:spacing w:before="100" w:beforeAutospacing="1" w:after="100" w:afterAutospacing="1"/>
              <w:jc w:val="center"/>
              <w:rPr>
                <w:b/>
                <w:bCs/>
              </w:rPr>
            </w:pPr>
            <w:r w:rsidRPr="00901190">
              <w:rPr>
                <w:b/>
                <w:bCs/>
              </w:rPr>
              <w:t>Potential Issue Identified</w:t>
            </w:r>
          </w:p>
        </w:tc>
        <w:tc>
          <w:tcPr>
            <w:tcW w:w="4536" w:type="dxa"/>
            <w:shd w:val="clear" w:color="auto" w:fill="auto"/>
          </w:tcPr>
          <w:p w14:paraId="299D7FE9" w14:textId="77777777" w:rsidR="00FC6D9D" w:rsidRPr="00901190" w:rsidRDefault="00FC6D9D" w:rsidP="00901190">
            <w:pPr>
              <w:spacing w:before="100" w:beforeAutospacing="1" w:after="100" w:afterAutospacing="1"/>
              <w:jc w:val="center"/>
              <w:rPr>
                <w:b/>
                <w:bCs/>
              </w:rPr>
            </w:pPr>
            <w:r w:rsidRPr="00901190">
              <w:rPr>
                <w:b/>
                <w:bCs/>
              </w:rPr>
              <w:t xml:space="preserve">Potential </w:t>
            </w:r>
            <w:r w:rsidR="00CE4153" w:rsidRPr="00901190">
              <w:rPr>
                <w:b/>
                <w:bCs/>
              </w:rPr>
              <w:t>Actions Proposed</w:t>
            </w:r>
          </w:p>
        </w:tc>
      </w:tr>
      <w:tr w:rsidR="00FC6D9D" w14:paraId="58921F29" w14:textId="77777777" w:rsidTr="10BC0C78">
        <w:tc>
          <w:tcPr>
            <w:tcW w:w="675" w:type="dxa"/>
            <w:shd w:val="clear" w:color="auto" w:fill="auto"/>
          </w:tcPr>
          <w:p w14:paraId="649841BE" w14:textId="77777777" w:rsidR="00FC6D9D" w:rsidRDefault="00FC6D9D" w:rsidP="00901190">
            <w:pPr>
              <w:jc w:val="left"/>
            </w:pPr>
            <w:r w:rsidRPr="00901190">
              <w:rPr>
                <w:b/>
                <w:bCs/>
                <w:color w:val="000000"/>
              </w:rPr>
              <w:t>1</w:t>
            </w:r>
          </w:p>
        </w:tc>
        <w:tc>
          <w:tcPr>
            <w:tcW w:w="5103" w:type="dxa"/>
            <w:shd w:val="clear" w:color="auto" w:fill="auto"/>
          </w:tcPr>
          <w:p w14:paraId="5D8230F3" w14:textId="77777777" w:rsidR="00FC6D9D" w:rsidRPr="00901190" w:rsidRDefault="00FC6D9D" w:rsidP="00901190">
            <w:pPr>
              <w:spacing w:after="240"/>
              <w:jc w:val="left"/>
              <w:rPr>
                <w:color w:val="000000"/>
                <w:sz w:val="24"/>
                <w:lang w:eastAsia="en-GB"/>
              </w:rPr>
            </w:pPr>
            <w:r w:rsidRPr="00901190">
              <w:rPr>
                <w:color w:val="000000"/>
              </w:rPr>
              <w:t xml:space="preserve">that assignments to stations of GSO FSS networks operating in the frequency bands 10.95-11.2 GHz (space-to-Earth), 11.45-11.7 GHz (space-to-Earth), 11.7-12.2 GHz (space-to-Earth)in Region 2, 12.2-12.5 GHz (space-to-Earth) in Region 3, 12.5-12.75 GHz (space-to-Earth) in Regions 1 and 3 and 19.7-20.2 GHz (space-to-Earth), and in the frequency bands 14-14.47 GHz (Earth-to-space) and 29.5-30.0 GHz (Earth-to-space), may be used for UAS CNPC links in nonsegregated airspace*, provided that the conditions specified in </w:t>
            </w:r>
            <w:r w:rsidRPr="00901190">
              <w:rPr>
                <w:i/>
                <w:iCs/>
                <w:color w:val="000000"/>
              </w:rPr>
              <w:t xml:space="preserve">resolves </w:t>
            </w:r>
            <w:r w:rsidRPr="00901190">
              <w:rPr>
                <w:color w:val="000000"/>
              </w:rPr>
              <w:t>below are met;</w:t>
            </w:r>
          </w:p>
        </w:tc>
        <w:tc>
          <w:tcPr>
            <w:tcW w:w="4536" w:type="dxa"/>
            <w:shd w:val="clear" w:color="auto" w:fill="auto"/>
          </w:tcPr>
          <w:p w14:paraId="69F4CBFF" w14:textId="4A65334E" w:rsidR="00FC6D9D" w:rsidRDefault="10BC0C78" w:rsidP="00901190">
            <w:pPr>
              <w:numPr>
                <w:ilvl w:val="0"/>
                <w:numId w:val="10"/>
              </w:numPr>
              <w:spacing w:after="240"/>
              <w:ind w:left="357" w:hanging="357"/>
              <w:jc w:val="left"/>
            </w:pPr>
            <w:r>
              <w:t xml:space="preserve">The </w:t>
            </w:r>
            <w:r w:rsidR="00BC2564">
              <w:t xml:space="preserve">resolution is only applicable </w:t>
            </w:r>
            <w:r>
              <w:t xml:space="preserve">to non-segregated airspace  </w:t>
            </w:r>
          </w:p>
        </w:tc>
        <w:tc>
          <w:tcPr>
            <w:tcW w:w="4536" w:type="dxa"/>
            <w:shd w:val="clear" w:color="auto" w:fill="auto"/>
          </w:tcPr>
          <w:p w14:paraId="3656B9AB" w14:textId="2115D6DD" w:rsidR="00FC6D9D" w:rsidRDefault="00BC2564" w:rsidP="00BA2C98">
            <w:pPr>
              <w:pStyle w:val="ListParagraph"/>
              <w:numPr>
                <w:ilvl w:val="0"/>
                <w:numId w:val="10"/>
              </w:numPr>
              <w:spacing w:after="240"/>
              <w:jc w:val="left"/>
            </w:pPr>
            <w:r>
              <w:t>The limitation to on-</w:t>
            </w:r>
            <w:proofErr w:type="spellStart"/>
            <w:r>
              <w:t>seggregated</w:t>
            </w:r>
            <w:proofErr w:type="spellEnd"/>
            <w:r>
              <w:t xml:space="preserve"> airspace should be removed</w:t>
            </w:r>
          </w:p>
        </w:tc>
      </w:tr>
      <w:tr w:rsidR="0052640F" w14:paraId="6D7EEE68" w14:textId="77777777" w:rsidTr="10BC0C78">
        <w:tc>
          <w:tcPr>
            <w:tcW w:w="675" w:type="dxa"/>
            <w:shd w:val="clear" w:color="auto" w:fill="auto"/>
          </w:tcPr>
          <w:p w14:paraId="18F999B5" w14:textId="77777777" w:rsidR="0052640F" w:rsidRDefault="0052640F" w:rsidP="00901190">
            <w:pPr>
              <w:spacing w:after="120"/>
              <w:jc w:val="left"/>
            </w:pPr>
            <w:r w:rsidRPr="00901190">
              <w:rPr>
                <w:b/>
                <w:bCs/>
                <w:color w:val="000000"/>
              </w:rPr>
              <w:t>2</w:t>
            </w:r>
          </w:p>
        </w:tc>
        <w:tc>
          <w:tcPr>
            <w:tcW w:w="5103" w:type="dxa"/>
            <w:shd w:val="clear" w:color="auto" w:fill="auto"/>
          </w:tcPr>
          <w:p w14:paraId="77A19FFC" w14:textId="77777777" w:rsidR="0052640F" w:rsidRPr="00901190" w:rsidRDefault="0052640F" w:rsidP="00901190">
            <w:pPr>
              <w:spacing w:after="120"/>
              <w:jc w:val="left"/>
              <w:rPr>
                <w:color w:val="000000"/>
                <w:sz w:val="24"/>
                <w:lang w:eastAsia="en-GB"/>
              </w:rPr>
            </w:pPr>
            <w:r w:rsidRPr="00901190">
              <w:rPr>
                <w:color w:val="000000"/>
              </w:rPr>
              <w:t xml:space="preserve">that ESIMs on board UA may communicate with the space station of a GSO FSS network operating in the frequency bands listed in </w:t>
            </w:r>
            <w:r w:rsidRPr="00901190">
              <w:rPr>
                <w:i/>
                <w:iCs/>
                <w:color w:val="000000"/>
              </w:rPr>
              <w:t xml:space="preserve">resolves </w:t>
            </w:r>
            <w:r w:rsidRPr="00901190">
              <w:rPr>
                <w:color w:val="000000"/>
              </w:rPr>
              <w:t xml:space="preserve">1 above, provided that the class of the ESIM on board UA is matched with the class of the space station and that other conditions of this Resolution are met (see also </w:t>
            </w:r>
            <w:r w:rsidRPr="00901190">
              <w:rPr>
                <w:i/>
                <w:iCs/>
                <w:color w:val="000000"/>
              </w:rPr>
              <w:t xml:space="preserve">instructs the Director of the Radiocommunication Bureau </w:t>
            </w:r>
            <w:r w:rsidRPr="00901190">
              <w:rPr>
                <w:color w:val="000000"/>
              </w:rPr>
              <w:t>3 below);</w:t>
            </w:r>
          </w:p>
          <w:p w14:paraId="45FB0818" w14:textId="77777777" w:rsidR="0052640F" w:rsidRDefault="0052640F" w:rsidP="00901190">
            <w:pPr>
              <w:spacing w:after="120"/>
              <w:jc w:val="left"/>
            </w:pPr>
          </w:p>
        </w:tc>
        <w:tc>
          <w:tcPr>
            <w:tcW w:w="4536" w:type="dxa"/>
            <w:shd w:val="clear" w:color="auto" w:fill="auto"/>
          </w:tcPr>
          <w:p w14:paraId="5D46B9ED" w14:textId="7C3FDAD1" w:rsidR="0052640F" w:rsidRDefault="00BC2564" w:rsidP="00901190">
            <w:pPr>
              <w:numPr>
                <w:ilvl w:val="0"/>
                <w:numId w:val="9"/>
              </w:numPr>
              <w:spacing w:after="120"/>
              <w:ind w:left="357" w:hanging="357"/>
              <w:jc w:val="left"/>
            </w:pPr>
            <w:r>
              <w:t>There is</w:t>
            </w:r>
            <w:r w:rsidR="10BC0C78">
              <w:t xml:space="preserve"> ambiguity around the regulatory status of the various elements of the command and control link </w:t>
            </w:r>
          </w:p>
          <w:p w14:paraId="6E98B831" w14:textId="77777777" w:rsidR="0052640F" w:rsidRDefault="0052640F" w:rsidP="00901190">
            <w:pPr>
              <w:numPr>
                <w:ilvl w:val="0"/>
                <w:numId w:val="9"/>
              </w:numPr>
              <w:spacing w:after="120"/>
              <w:ind w:left="357" w:hanging="357"/>
              <w:jc w:val="left"/>
            </w:pPr>
            <w:r>
              <w:t xml:space="preserve">Resolution </w:t>
            </w:r>
            <w:r w:rsidRPr="00901190">
              <w:rPr>
                <w:b/>
                <w:bCs/>
              </w:rPr>
              <w:t>156</w:t>
            </w:r>
            <w:r>
              <w:t xml:space="preserve"> restricts the use of ESIMs to non-safety applications. Resolution </w:t>
            </w:r>
            <w:r w:rsidRPr="00901190">
              <w:rPr>
                <w:b/>
                <w:bCs/>
              </w:rPr>
              <w:t>155</w:t>
            </w:r>
            <w:r>
              <w:t xml:space="preserve"> and Resolution </w:t>
            </w:r>
            <w:r w:rsidRPr="00901190">
              <w:rPr>
                <w:b/>
                <w:bCs/>
              </w:rPr>
              <w:t>156</w:t>
            </w:r>
            <w:r>
              <w:t xml:space="preserve"> need to be decoupled</w:t>
            </w:r>
          </w:p>
        </w:tc>
        <w:tc>
          <w:tcPr>
            <w:tcW w:w="4536" w:type="dxa"/>
            <w:shd w:val="clear" w:color="auto" w:fill="auto"/>
          </w:tcPr>
          <w:p w14:paraId="049F31CB" w14:textId="64B3984F" w:rsidR="0052640F" w:rsidRDefault="10BC0C78" w:rsidP="00BA2C98">
            <w:pPr>
              <w:pStyle w:val="ListParagraph"/>
              <w:numPr>
                <w:ilvl w:val="0"/>
                <w:numId w:val="9"/>
              </w:numPr>
              <w:spacing w:after="120"/>
              <w:jc w:val="left"/>
              <w:rPr>
                <w:szCs w:val="22"/>
              </w:rPr>
            </w:pPr>
            <w:r>
              <w:t>Modify text to clearly indicate that the various elements of the command and control link are operating on a primary basis</w:t>
            </w:r>
          </w:p>
          <w:p w14:paraId="4B99056E" w14:textId="77777777" w:rsidR="0052640F" w:rsidRDefault="0052640F" w:rsidP="00BA2C98">
            <w:pPr>
              <w:spacing w:after="240"/>
              <w:jc w:val="left"/>
            </w:pPr>
          </w:p>
          <w:p w14:paraId="7A437F87" w14:textId="77777777" w:rsidR="0052640F" w:rsidRDefault="0052640F" w:rsidP="00901190">
            <w:pPr>
              <w:numPr>
                <w:ilvl w:val="0"/>
                <w:numId w:val="9"/>
              </w:numPr>
              <w:spacing w:after="120"/>
              <w:ind w:left="357" w:hanging="357"/>
              <w:jc w:val="left"/>
            </w:pPr>
            <w:r>
              <w:t xml:space="preserve">Replace “ESIMs” with “Earth stations” </w:t>
            </w:r>
            <w:r w:rsidRPr="00984205">
              <w:t>and "ESIM" with "earth station" to remove the current confusion and align this resolves with the title as well as resolves 11, 12 and 13 (twice) of the resolution. Suggestion to also align noting a)</w:t>
            </w:r>
          </w:p>
        </w:tc>
      </w:tr>
      <w:tr w:rsidR="0052640F" w14:paraId="69271662" w14:textId="77777777" w:rsidTr="10BC0C78">
        <w:tc>
          <w:tcPr>
            <w:tcW w:w="675" w:type="dxa"/>
            <w:shd w:val="clear" w:color="auto" w:fill="auto"/>
          </w:tcPr>
          <w:p w14:paraId="5FCD5EC4" w14:textId="77777777" w:rsidR="0052640F" w:rsidRDefault="0052640F" w:rsidP="00901190">
            <w:pPr>
              <w:spacing w:after="120"/>
              <w:jc w:val="left"/>
            </w:pPr>
            <w:r w:rsidRPr="00901190">
              <w:rPr>
                <w:b/>
                <w:bCs/>
                <w:color w:val="000000"/>
              </w:rPr>
              <w:t>3</w:t>
            </w:r>
          </w:p>
        </w:tc>
        <w:tc>
          <w:tcPr>
            <w:tcW w:w="5103" w:type="dxa"/>
            <w:shd w:val="clear" w:color="auto" w:fill="auto"/>
          </w:tcPr>
          <w:p w14:paraId="70BF0D3C" w14:textId="77777777" w:rsidR="0052640F" w:rsidRDefault="0052640F" w:rsidP="00901190">
            <w:pPr>
              <w:spacing w:after="120"/>
              <w:jc w:val="left"/>
            </w:pPr>
            <w:r w:rsidRPr="00901190">
              <w:rPr>
                <w:color w:val="000000"/>
              </w:rPr>
              <w:t xml:space="preserve">that the frequency bands specified in </w:t>
            </w:r>
            <w:r w:rsidRPr="00901190">
              <w:rPr>
                <w:i/>
                <w:iCs/>
                <w:color w:val="000000"/>
              </w:rPr>
              <w:t xml:space="preserve">resolves </w:t>
            </w:r>
            <w:r w:rsidRPr="00901190">
              <w:rPr>
                <w:color w:val="000000"/>
              </w:rPr>
              <w:t xml:space="preserve">1 shall not be used for the UAS CNPC links before the adoption of the relevant international aeronautical </w:t>
            </w:r>
            <w:r w:rsidRPr="00901190">
              <w:rPr>
                <w:color w:val="000000"/>
              </w:rPr>
              <w:lastRenderedPageBreak/>
              <w:t xml:space="preserve">SARPs consistent with Article 37 of the Convention on International Civil Aviation, taking into account </w:t>
            </w:r>
            <w:r w:rsidRPr="00901190">
              <w:rPr>
                <w:i/>
                <w:iCs/>
                <w:color w:val="000000"/>
              </w:rPr>
              <w:t xml:space="preserve">instructs the Director of the Radiocommunication Bureau </w:t>
            </w:r>
            <w:r w:rsidRPr="00901190">
              <w:rPr>
                <w:color w:val="000000"/>
              </w:rPr>
              <w:t>4;</w:t>
            </w:r>
          </w:p>
        </w:tc>
        <w:tc>
          <w:tcPr>
            <w:tcW w:w="4536" w:type="dxa"/>
            <w:shd w:val="clear" w:color="auto" w:fill="auto"/>
          </w:tcPr>
          <w:p w14:paraId="1110B180" w14:textId="77777777" w:rsidR="0052640F" w:rsidRDefault="0052640F" w:rsidP="00901190">
            <w:pPr>
              <w:numPr>
                <w:ilvl w:val="0"/>
                <w:numId w:val="9"/>
              </w:numPr>
              <w:spacing w:after="120"/>
              <w:ind w:left="357" w:hanging="357"/>
              <w:jc w:val="left"/>
            </w:pPr>
            <w:r>
              <w:lastRenderedPageBreak/>
              <w:t xml:space="preserve">This resolves needs to be removed in the final Resolution </w:t>
            </w:r>
          </w:p>
        </w:tc>
        <w:tc>
          <w:tcPr>
            <w:tcW w:w="4536" w:type="dxa"/>
            <w:shd w:val="clear" w:color="auto" w:fill="auto"/>
          </w:tcPr>
          <w:p w14:paraId="3ABD43E3" w14:textId="77777777" w:rsidR="0052640F" w:rsidRDefault="0052640F" w:rsidP="00901190">
            <w:pPr>
              <w:numPr>
                <w:ilvl w:val="0"/>
                <w:numId w:val="9"/>
              </w:numPr>
              <w:spacing w:after="120"/>
              <w:ind w:left="357" w:hanging="357"/>
              <w:jc w:val="left"/>
            </w:pPr>
            <w:r>
              <w:t>Delete this resolves when all of the other issues have been resolved</w:t>
            </w:r>
          </w:p>
        </w:tc>
      </w:tr>
      <w:tr w:rsidR="0052640F" w14:paraId="74EEA091" w14:textId="77777777" w:rsidTr="10BC0C78">
        <w:tc>
          <w:tcPr>
            <w:tcW w:w="675" w:type="dxa"/>
            <w:shd w:val="clear" w:color="auto" w:fill="auto"/>
          </w:tcPr>
          <w:p w14:paraId="2598DEE6" w14:textId="77777777" w:rsidR="0052640F" w:rsidRDefault="0052640F" w:rsidP="00901190">
            <w:pPr>
              <w:spacing w:after="120"/>
              <w:jc w:val="left"/>
            </w:pPr>
            <w:r w:rsidRPr="00901190">
              <w:rPr>
                <w:b/>
                <w:bCs/>
                <w:color w:val="000000"/>
              </w:rPr>
              <w:t>4</w:t>
            </w:r>
          </w:p>
        </w:tc>
        <w:tc>
          <w:tcPr>
            <w:tcW w:w="5103" w:type="dxa"/>
            <w:shd w:val="clear" w:color="auto" w:fill="auto"/>
          </w:tcPr>
          <w:p w14:paraId="3A523460" w14:textId="77777777" w:rsidR="0052640F" w:rsidRDefault="0052640F" w:rsidP="00901190">
            <w:pPr>
              <w:spacing w:after="120"/>
              <w:jc w:val="left"/>
            </w:pPr>
            <w:r w:rsidRPr="00901190">
              <w:rPr>
                <w:color w:val="000000"/>
              </w:rPr>
              <w:t xml:space="preserve">that administrations responsible for an FSS network providing UA CNPC links shall apply the relevant provisions of Articles </w:t>
            </w:r>
            <w:r w:rsidRPr="00901190">
              <w:rPr>
                <w:b/>
                <w:bCs/>
                <w:color w:val="000000"/>
              </w:rPr>
              <w:t xml:space="preserve">9 </w:t>
            </w:r>
            <w:r w:rsidRPr="00901190">
              <w:rPr>
                <w:color w:val="000000"/>
              </w:rPr>
              <w:t xml:space="preserve">(necessary provisions need to be identified or developed) and </w:t>
            </w:r>
            <w:r w:rsidRPr="00901190">
              <w:rPr>
                <w:b/>
                <w:bCs/>
                <w:color w:val="000000"/>
              </w:rPr>
              <w:t xml:space="preserve">11 </w:t>
            </w:r>
            <w:r w:rsidRPr="00901190">
              <w:rPr>
                <w:color w:val="000000"/>
              </w:rPr>
              <w:t xml:space="preserve">for the relevant assignments, including, as appropriate, assignments to the corresponding space station, specific and typical earth station and ESIM on board UA, including the request for publication in the International Frequency Information Circular (BR IFIC) of items referred to in </w:t>
            </w:r>
            <w:r w:rsidRPr="00901190">
              <w:rPr>
                <w:i/>
                <w:iCs/>
                <w:color w:val="000000"/>
              </w:rPr>
              <w:t xml:space="preserve">resolves </w:t>
            </w:r>
            <w:r w:rsidRPr="00901190">
              <w:rPr>
                <w:color w:val="000000"/>
              </w:rPr>
              <w:t xml:space="preserve">2 and the course of actions identified in that </w:t>
            </w:r>
            <w:r w:rsidRPr="00901190">
              <w:rPr>
                <w:i/>
                <w:iCs/>
                <w:color w:val="000000"/>
              </w:rPr>
              <w:t xml:space="preserve">resolves </w:t>
            </w:r>
            <w:r w:rsidRPr="00901190">
              <w:rPr>
                <w:color w:val="000000"/>
              </w:rPr>
              <w:t xml:space="preserve">in order to obtain international rights and recognition as specified in Article </w:t>
            </w:r>
            <w:r w:rsidRPr="00901190">
              <w:rPr>
                <w:b/>
                <w:bCs/>
                <w:color w:val="000000"/>
              </w:rPr>
              <w:t>8</w:t>
            </w:r>
            <w:r w:rsidRPr="00901190">
              <w:rPr>
                <w:color w:val="000000"/>
              </w:rPr>
              <w:t>;</w:t>
            </w:r>
          </w:p>
        </w:tc>
        <w:tc>
          <w:tcPr>
            <w:tcW w:w="4536" w:type="dxa"/>
            <w:shd w:val="clear" w:color="auto" w:fill="auto"/>
          </w:tcPr>
          <w:p w14:paraId="5A25D026" w14:textId="77777777" w:rsidR="0052640F" w:rsidRDefault="0052640F" w:rsidP="00901190">
            <w:pPr>
              <w:numPr>
                <w:ilvl w:val="0"/>
                <w:numId w:val="9"/>
              </w:numPr>
              <w:spacing w:after="120"/>
              <w:ind w:left="357" w:hanging="357"/>
              <w:jc w:val="left"/>
            </w:pPr>
            <w:r>
              <w:t xml:space="preserve">As per Resolves 2: </w:t>
            </w:r>
            <w:r>
              <w:br/>
              <w:t xml:space="preserve">Resolution </w:t>
            </w:r>
            <w:r w:rsidRPr="00901190">
              <w:rPr>
                <w:b/>
                <w:bCs/>
              </w:rPr>
              <w:t>156</w:t>
            </w:r>
            <w:r>
              <w:t xml:space="preserve"> restricts the use of ESIMs to non-safety applications. Resolution </w:t>
            </w:r>
            <w:r w:rsidRPr="00901190">
              <w:rPr>
                <w:b/>
                <w:bCs/>
              </w:rPr>
              <w:t>155</w:t>
            </w:r>
            <w:r>
              <w:t xml:space="preserve"> and Resolution </w:t>
            </w:r>
            <w:r w:rsidRPr="00901190">
              <w:rPr>
                <w:b/>
                <w:bCs/>
              </w:rPr>
              <w:t>156</w:t>
            </w:r>
            <w:r>
              <w:t xml:space="preserve"> need to be decoupled</w:t>
            </w:r>
          </w:p>
        </w:tc>
        <w:tc>
          <w:tcPr>
            <w:tcW w:w="4536" w:type="dxa"/>
            <w:shd w:val="clear" w:color="auto" w:fill="auto"/>
          </w:tcPr>
          <w:p w14:paraId="32B2A930" w14:textId="77777777" w:rsidR="0052640F" w:rsidRDefault="0052640F" w:rsidP="00901190">
            <w:pPr>
              <w:numPr>
                <w:ilvl w:val="0"/>
                <w:numId w:val="9"/>
              </w:numPr>
              <w:spacing w:after="120"/>
              <w:ind w:left="357" w:hanging="357"/>
              <w:jc w:val="left"/>
            </w:pPr>
            <w:r>
              <w:t xml:space="preserve">Replace “ESIMs” with “Earth stations” </w:t>
            </w:r>
            <w:r w:rsidRPr="00984205">
              <w:t>and "ESIM" with "earth station" to remove the current confusion and align this resolves with the title as well as resolves 11, 12 and 13 (twice) of the resolution. Suggestion to also align noting a)</w:t>
            </w:r>
          </w:p>
        </w:tc>
      </w:tr>
      <w:tr w:rsidR="0052640F" w14:paraId="0CDEF99D" w14:textId="77777777" w:rsidTr="10BC0C78">
        <w:tc>
          <w:tcPr>
            <w:tcW w:w="675" w:type="dxa"/>
            <w:shd w:val="clear" w:color="auto" w:fill="auto"/>
          </w:tcPr>
          <w:p w14:paraId="78941E47" w14:textId="77777777" w:rsidR="0052640F" w:rsidRDefault="0052640F" w:rsidP="00901190">
            <w:pPr>
              <w:spacing w:after="120"/>
              <w:jc w:val="left"/>
            </w:pPr>
            <w:r w:rsidRPr="00901190">
              <w:rPr>
                <w:b/>
                <w:bCs/>
                <w:color w:val="000000"/>
              </w:rPr>
              <w:t>5</w:t>
            </w:r>
          </w:p>
        </w:tc>
        <w:tc>
          <w:tcPr>
            <w:tcW w:w="5103" w:type="dxa"/>
            <w:shd w:val="clear" w:color="auto" w:fill="auto"/>
          </w:tcPr>
          <w:p w14:paraId="34485C05" w14:textId="77777777" w:rsidR="0052640F" w:rsidRDefault="0052640F" w:rsidP="00901190">
            <w:pPr>
              <w:spacing w:after="120"/>
              <w:jc w:val="left"/>
            </w:pPr>
            <w:r w:rsidRPr="00901190">
              <w:rPr>
                <w:color w:val="000000"/>
              </w:rPr>
              <w:t>that earth stations of UAS CNPC links shall operate within the notified and recorded technical parameters of the associated satellite network, including specific or typical earth stations of the GSO FSS network(s) as published by the Radiocommunication Bureau (BR);</w:t>
            </w:r>
          </w:p>
        </w:tc>
        <w:tc>
          <w:tcPr>
            <w:tcW w:w="4536" w:type="dxa"/>
            <w:shd w:val="clear" w:color="auto" w:fill="auto"/>
          </w:tcPr>
          <w:p w14:paraId="33D59DC7" w14:textId="77777777" w:rsidR="0052640F" w:rsidRDefault="0052640F" w:rsidP="00901190">
            <w:pPr>
              <w:numPr>
                <w:ilvl w:val="0"/>
                <w:numId w:val="9"/>
              </w:numPr>
              <w:spacing w:after="120"/>
              <w:ind w:left="357" w:hanging="357"/>
              <w:jc w:val="left"/>
            </w:pPr>
            <w:r>
              <w:t>No issue</w:t>
            </w:r>
          </w:p>
        </w:tc>
        <w:tc>
          <w:tcPr>
            <w:tcW w:w="4536" w:type="dxa"/>
            <w:shd w:val="clear" w:color="auto" w:fill="auto"/>
          </w:tcPr>
          <w:p w14:paraId="1299C43A" w14:textId="77777777" w:rsidR="0052640F" w:rsidRDefault="0052640F" w:rsidP="00901190">
            <w:pPr>
              <w:spacing w:after="120"/>
              <w:jc w:val="left"/>
            </w:pPr>
          </w:p>
        </w:tc>
      </w:tr>
      <w:tr w:rsidR="0052640F" w14:paraId="0BB374A9" w14:textId="77777777" w:rsidTr="10BC0C78">
        <w:tc>
          <w:tcPr>
            <w:tcW w:w="675" w:type="dxa"/>
            <w:shd w:val="clear" w:color="auto" w:fill="auto"/>
          </w:tcPr>
          <w:p w14:paraId="29B4EA11" w14:textId="77777777" w:rsidR="0052640F" w:rsidRDefault="0052640F" w:rsidP="00901190">
            <w:pPr>
              <w:spacing w:after="120"/>
              <w:jc w:val="left"/>
            </w:pPr>
            <w:r w:rsidRPr="00901190">
              <w:rPr>
                <w:b/>
                <w:bCs/>
                <w:color w:val="000000"/>
              </w:rPr>
              <w:t>6</w:t>
            </w:r>
          </w:p>
        </w:tc>
        <w:tc>
          <w:tcPr>
            <w:tcW w:w="5103" w:type="dxa"/>
            <w:shd w:val="clear" w:color="auto" w:fill="auto"/>
          </w:tcPr>
          <w:p w14:paraId="033201A0" w14:textId="77777777" w:rsidR="0052640F" w:rsidRDefault="0052640F" w:rsidP="00901190">
            <w:pPr>
              <w:spacing w:after="120"/>
              <w:jc w:val="left"/>
            </w:pPr>
            <w:r w:rsidRPr="00901190">
              <w:rPr>
                <w:color w:val="000000"/>
              </w:rPr>
              <w:t xml:space="preserve">that earth stations of UAS CNPC links shall not cause more interference to, or claim more protection from, other satellite networks and systems than specific or typical earth stations as indicated in </w:t>
            </w:r>
            <w:r w:rsidRPr="00901190">
              <w:rPr>
                <w:i/>
                <w:iCs/>
                <w:color w:val="000000"/>
              </w:rPr>
              <w:t xml:space="preserve">resolves </w:t>
            </w:r>
            <w:r w:rsidRPr="00901190">
              <w:rPr>
                <w:color w:val="000000"/>
              </w:rPr>
              <w:t>5 as published by BR;</w:t>
            </w:r>
          </w:p>
        </w:tc>
        <w:tc>
          <w:tcPr>
            <w:tcW w:w="4536" w:type="dxa"/>
            <w:shd w:val="clear" w:color="auto" w:fill="auto"/>
          </w:tcPr>
          <w:p w14:paraId="7C6E736B" w14:textId="77777777" w:rsidR="0052640F" w:rsidRDefault="0052640F" w:rsidP="00901190">
            <w:pPr>
              <w:numPr>
                <w:ilvl w:val="0"/>
                <w:numId w:val="9"/>
              </w:numPr>
              <w:spacing w:after="120"/>
              <w:ind w:left="357" w:hanging="357"/>
              <w:jc w:val="left"/>
            </w:pPr>
            <w:r>
              <w:t>W</w:t>
            </w:r>
            <w:r w:rsidRPr="003A6272">
              <w:t>hat is meant by “shall not cause more interference to, or claim more protection from other satellite networks and systems than specific or typical earth stations”</w:t>
            </w:r>
            <w:r>
              <w:t xml:space="preserve"> when the UAS link has no clear regulatory status? </w:t>
            </w:r>
          </w:p>
        </w:tc>
        <w:tc>
          <w:tcPr>
            <w:tcW w:w="4536" w:type="dxa"/>
            <w:shd w:val="clear" w:color="auto" w:fill="auto"/>
          </w:tcPr>
          <w:p w14:paraId="4DDBEF00" w14:textId="77777777" w:rsidR="0052640F" w:rsidRDefault="0052640F" w:rsidP="00901190">
            <w:pPr>
              <w:spacing w:after="120"/>
              <w:jc w:val="left"/>
            </w:pPr>
          </w:p>
        </w:tc>
      </w:tr>
      <w:tr w:rsidR="0052640F" w14:paraId="5AABAF18" w14:textId="77777777" w:rsidTr="10BC0C78">
        <w:tc>
          <w:tcPr>
            <w:tcW w:w="675" w:type="dxa"/>
            <w:shd w:val="clear" w:color="auto" w:fill="auto"/>
          </w:tcPr>
          <w:p w14:paraId="75697EEC" w14:textId="77777777" w:rsidR="0052640F" w:rsidRDefault="0052640F" w:rsidP="00901190">
            <w:pPr>
              <w:spacing w:after="120"/>
              <w:jc w:val="left"/>
            </w:pPr>
            <w:r w:rsidRPr="00901190">
              <w:rPr>
                <w:b/>
                <w:bCs/>
                <w:color w:val="000000"/>
              </w:rPr>
              <w:t>7</w:t>
            </w:r>
          </w:p>
        </w:tc>
        <w:tc>
          <w:tcPr>
            <w:tcW w:w="5103" w:type="dxa"/>
            <w:shd w:val="clear" w:color="auto" w:fill="auto"/>
          </w:tcPr>
          <w:p w14:paraId="559E55D3" w14:textId="77777777" w:rsidR="0052640F" w:rsidRDefault="0052640F" w:rsidP="00901190">
            <w:pPr>
              <w:spacing w:after="120"/>
              <w:jc w:val="left"/>
            </w:pPr>
            <w:r w:rsidRPr="00901190">
              <w:rPr>
                <w:color w:val="000000"/>
              </w:rPr>
              <w:t xml:space="preserve">that, in order to apply </w:t>
            </w:r>
            <w:r w:rsidRPr="00901190">
              <w:rPr>
                <w:i/>
                <w:iCs/>
                <w:color w:val="000000"/>
              </w:rPr>
              <w:t xml:space="preserve">resolves </w:t>
            </w:r>
            <w:r w:rsidRPr="00901190">
              <w:rPr>
                <w:color w:val="000000"/>
              </w:rPr>
              <w:t>6 above, administrations responsible for the FSS network to be used for UAS CNPC links shall provide the level of interference for the reference assignments of the network used for CNPC links upon request by an administration authorizing the use of UAS CNPC links within its territory;</w:t>
            </w:r>
          </w:p>
        </w:tc>
        <w:tc>
          <w:tcPr>
            <w:tcW w:w="4536" w:type="dxa"/>
            <w:shd w:val="clear" w:color="auto" w:fill="auto"/>
          </w:tcPr>
          <w:p w14:paraId="3BFF19AC" w14:textId="77777777" w:rsidR="0052640F" w:rsidRDefault="0052640F" w:rsidP="00901190">
            <w:pPr>
              <w:numPr>
                <w:ilvl w:val="0"/>
                <w:numId w:val="9"/>
              </w:numPr>
              <w:spacing w:after="120"/>
              <w:ind w:left="357" w:hanging="357"/>
              <w:jc w:val="left"/>
            </w:pPr>
            <w:r>
              <w:t xml:space="preserve">This provision is about the exchange of information between the administration responsible for the FSS network and the administration over </w:t>
            </w:r>
            <w:proofErr w:type="gramStart"/>
            <w:r>
              <w:t>who</w:t>
            </w:r>
            <w:proofErr w:type="gramEnd"/>
            <w:r>
              <w:t xml:space="preserve"> the UAS is flying, How does this apply when an administration is responsible for controlling aircraft over another territory or international airspace? </w:t>
            </w:r>
          </w:p>
          <w:p w14:paraId="023AB5C8" w14:textId="77777777" w:rsidR="0052640F" w:rsidRDefault="0052640F" w:rsidP="00901190">
            <w:pPr>
              <w:numPr>
                <w:ilvl w:val="0"/>
                <w:numId w:val="9"/>
              </w:numPr>
              <w:spacing w:after="120"/>
              <w:ind w:left="357" w:hanging="357"/>
              <w:jc w:val="left"/>
            </w:pPr>
            <w:r>
              <w:lastRenderedPageBreak/>
              <w:t>How does this work when a flight path requires the use of more than one FSS network?</w:t>
            </w:r>
          </w:p>
        </w:tc>
        <w:tc>
          <w:tcPr>
            <w:tcW w:w="4536" w:type="dxa"/>
            <w:shd w:val="clear" w:color="auto" w:fill="auto"/>
          </w:tcPr>
          <w:p w14:paraId="123AEAB7" w14:textId="77777777" w:rsidR="0052640F" w:rsidRDefault="0052640F" w:rsidP="00901190">
            <w:pPr>
              <w:numPr>
                <w:ilvl w:val="0"/>
                <w:numId w:val="9"/>
              </w:numPr>
              <w:spacing w:after="120"/>
              <w:ind w:left="357" w:hanging="357"/>
              <w:jc w:val="left"/>
            </w:pPr>
            <w:r>
              <w:lastRenderedPageBreak/>
              <w:t>This could be addressed in ICAO SARPs possibly through making the FSS operator in conjunction with the service provider responsible for the safety case for the intended flight including potential alternative routings</w:t>
            </w:r>
          </w:p>
          <w:p w14:paraId="3461D779" w14:textId="77777777" w:rsidR="0052640F" w:rsidRDefault="0052640F" w:rsidP="00901190">
            <w:pPr>
              <w:spacing w:after="120"/>
              <w:jc w:val="left"/>
            </w:pPr>
          </w:p>
        </w:tc>
      </w:tr>
      <w:tr w:rsidR="0052640F" w14:paraId="540E4554" w14:textId="77777777" w:rsidTr="10BC0C78">
        <w:tc>
          <w:tcPr>
            <w:tcW w:w="675" w:type="dxa"/>
            <w:shd w:val="clear" w:color="auto" w:fill="auto"/>
          </w:tcPr>
          <w:p w14:paraId="44B0A208" w14:textId="77777777" w:rsidR="0052640F" w:rsidRDefault="0052640F" w:rsidP="00901190">
            <w:pPr>
              <w:spacing w:after="120"/>
              <w:jc w:val="left"/>
            </w:pPr>
            <w:r w:rsidRPr="00901190">
              <w:rPr>
                <w:b/>
                <w:bCs/>
                <w:color w:val="000000"/>
              </w:rPr>
              <w:lastRenderedPageBreak/>
              <w:t>8</w:t>
            </w:r>
          </w:p>
        </w:tc>
        <w:tc>
          <w:tcPr>
            <w:tcW w:w="5103" w:type="dxa"/>
            <w:shd w:val="clear" w:color="auto" w:fill="auto"/>
          </w:tcPr>
          <w:p w14:paraId="19CF5BED" w14:textId="77777777" w:rsidR="0052640F" w:rsidRDefault="0052640F" w:rsidP="00901190">
            <w:pPr>
              <w:spacing w:after="120"/>
              <w:jc w:val="left"/>
            </w:pPr>
            <w:r w:rsidRPr="00901190">
              <w:rPr>
                <w:color w:val="000000"/>
              </w:rPr>
              <w:t xml:space="preserve">that earth stations of UAS CNPC links of a particular FSS network shall not cause more interference to, or claim more protection from, stations of terrestrial services than specific or typical earth stations of that FSS network as indicated in </w:t>
            </w:r>
            <w:r w:rsidRPr="00901190">
              <w:rPr>
                <w:i/>
                <w:iCs/>
                <w:color w:val="000000"/>
              </w:rPr>
              <w:t xml:space="preserve">resolves </w:t>
            </w:r>
            <w:r w:rsidRPr="00901190">
              <w:rPr>
                <w:color w:val="000000"/>
              </w:rPr>
              <w:t xml:space="preserve">5 that have been previously coordinated and/or notified under relevant provisions of Articles </w:t>
            </w:r>
            <w:r w:rsidRPr="00901190">
              <w:rPr>
                <w:b/>
                <w:bCs/>
                <w:color w:val="000000"/>
              </w:rPr>
              <w:t xml:space="preserve">9 </w:t>
            </w:r>
            <w:r w:rsidRPr="00901190">
              <w:rPr>
                <w:color w:val="000000"/>
              </w:rPr>
              <w:t xml:space="preserve">and </w:t>
            </w:r>
            <w:r w:rsidRPr="00901190">
              <w:rPr>
                <w:b/>
                <w:bCs/>
                <w:color w:val="000000"/>
              </w:rPr>
              <w:t>11</w:t>
            </w:r>
            <w:r w:rsidRPr="00901190">
              <w:rPr>
                <w:color w:val="000000"/>
              </w:rPr>
              <w:t>;</w:t>
            </w:r>
          </w:p>
        </w:tc>
        <w:tc>
          <w:tcPr>
            <w:tcW w:w="4536" w:type="dxa"/>
            <w:shd w:val="clear" w:color="auto" w:fill="auto"/>
          </w:tcPr>
          <w:p w14:paraId="236A2DC4" w14:textId="77777777" w:rsidR="0052640F" w:rsidRDefault="0052640F" w:rsidP="00901190">
            <w:pPr>
              <w:numPr>
                <w:ilvl w:val="0"/>
                <w:numId w:val="9"/>
              </w:numPr>
              <w:spacing w:after="120"/>
              <w:ind w:left="357" w:hanging="357"/>
              <w:jc w:val="left"/>
            </w:pPr>
            <w:r>
              <w:t>As per resolves 6:</w:t>
            </w:r>
            <w:r>
              <w:br/>
              <w:t>W</w:t>
            </w:r>
            <w:r w:rsidRPr="003A6272">
              <w:t>hat is meant by “shall not cause more interference to, or claim more protection from other satellite networks and systems than specific or typical earth stations”</w:t>
            </w:r>
            <w:r>
              <w:t xml:space="preserve"> when the UAS link has no clear regulatory status?</w:t>
            </w:r>
          </w:p>
        </w:tc>
        <w:tc>
          <w:tcPr>
            <w:tcW w:w="4536" w:type="dxa"/>
            <w:shd w:val="clear" w:color="auto" w:fill="auto"/>
          </w:tcPr>
          <w:p w14:paraId="3CF2D8B6" w14:textId="77777777" w:rsidR="0052640F" w:rsidRDefault="0052640F" w:rsidP="00901190">
            <w:pPr>
              <w:spacing w:after="120"/>
              <w:jc w:val="left"/>
            </w:pPr>
          </w:p>
        </w:tc>
      </w:tr>
      <w:tr w:rsidR="0052640F" w14:paraId="3570A395" w14:textId="77777777" w:rsidTr="10BC0C78">
        <w:tc>
          <w:tcPr>
            <w:tcW w:w="675" w:type="dxa"/>
            <w:shd w:val="clear" w:color="auto" w:fill="auto"/>
          </w:tcPr>
          <w:p w14:paraId="2B2B7304" w14:textId="77777777" w:rsidR="0052640F" w:rsidRDefault="0052640F" w:rsidP="00901190">
            <w:pPr>
              <w:spacing w:after="120"/>
              <w:jc w:val="left"/>
            </w:pPr>
            <w:r w:rsidRPr="00901190">
              <w:rPr>
                <w:b/>
                <w:bCs/>
                <w:color w:val="000000"/>
              </w:rPr>
              <w:t>9</w:t>
            </w:r>
          </w:p>
        </w:tc>
        <w:tc>
          <w:tcPr>
            <w:tcW w:w="5103" w:type="dxa"/>
            <w:shd w:val="clear" w:color="auto" w:fill="auto"/>
          </w:tcPr>
          <w:p w14:paraId="3C20A80F" w14:textId="77777777" w:rsidR="0052640F" w:rsidRDefault="0052640F" w:rsidP="00901190">
            <w:pPr>
              <w:spacing w:after="120"/>
              <w:jc w:val="left"/>
            </w:pPr>
            <w:r w:rsidRPr="00901190">
              <w:rPr>
                <w:color w:val="000000"/>
              </w:rPr>
              <w:t xml:space="preserve">that the use of assignments of an FSS satellite network for UAS CNPC links shall not constrain other FSS networks during the application of the provisions of Articles </w:t>
            </w:r>
            <w:r w:rsidRPr="00901190">
              <w:rPr>
                <w:b/>
                <w:bCs/>
                <w:color w:val="000000"/>
              </w:rPr>
              <w:t xml:space="preserve">9 </w:t>
            </w:r>
            <w:r w:rsidRPr="00901190">
              <w:rPr>
                <w:color w:val="000000"/>
              </w:rPr>
              <w:t xml:space="preserve">and </w:t>
            </w:r>
            <w:r w:rsidRPr="00901190">
              <w:rPr>
                <w:b/>
                <w:bCs/>
                <w:color w:val="000000"/>
              </w:rPr>
              <w:t>11</w:t>
            </w:r>
            <w:r w:rsidRPr="00901190">
              <w:rPr>
                <w:color w:val="000000"/>
              </w:rPr>
              <w:t>;</w:t>
            </w:r>
          </w:p>
        </w:tc>
        <w:tc>
          <w:tcPr>
            <w:tcW w:w="4536" w:type="dxa"/>
            <w:shd w:val="clear" w:color="auto" w:fill="auto"/>
          </w:tcPr>
          <w:p w14:paraId="4B6559B7" w14:textId="77777777" w:rsidR="0052640F" w:rsidRDefault="0052640F" w:rsidP="00901190">
            <w:pPr>
              <w:numPr>
                <w:ilvl w:val="0"/>
                <w:numId w:val="9"/>
              </w:numPr>
              <w:spacing w:after="120"/>
              <w:ind w:left="357" w:hanging="357"/>
              <w:jc w:val="left"/>
            </w:pPr>
            <w:r>
              <w:t>This potentially implies that the interference margin could vary in the future, most likely reducing that margin. How is this consistent with ICAO &amp; EASA requirement that any change to a system shall not adversely affect the level of safety and avoid the safety case having to be reviewed after every co-ordination affecting the FSS network</w:t>
            </w:r>
          </w:p>
        </w:tc>
        <w:tc>
          <w:tcPr>
            <w:tcW w:w="4536" w:type="dxa"/>
            <w:shd w:val="clear" w:color="auto" w:fill="auto"/>
          </w:tcPr>
          <w:p w14:paraId="4D95373E" w14:textId="77777777" w:rsidR="0052640F" w:rsidRDefault="0052640F" w:rsidP="00901190">
            <w:pPr>
              <w:numPr>
                <w:ilvl w:val="0"/>
                <w:numId w:val="9"/>
              </w:numPr>
              <w:spacing w:after="120"/>
              <w:ind w:left="357" w:hanging="357"/>
              <w:jc w:val="left"/>
            </w:pPr>
            <w:r>
              <w:t>This could be addressed within ICAO through requirements for regular reviews of the safety case</w:t>
            </w:r>
          </w:p>
        </w:tc>
      </w:tr>
      <w:tr w:rsidR="0052640F" w14:paraId="1862B0A4" w14:textId="77777777" w:rsidTr="10BC0C78">
        <w:tc>
          <w:tcPr>
            <w:tcW w:w="675" w:type="dxa"/>
            <w:shd w:val="clear" w:color="auto" w:fill="auto"/>
          </w:tcPr>
          <w:p w14:paraId="5D369756" w14:textId="77777777" w:rsidR="0052640F" w:rsidRDefault="0052640F" w:rsidP="00901190">
            <w:pPr>
              <w:spacing w:after="120"/>
              <w:jc w:val="left"/>
            </w:pPr>
            <w:r w:rsidRPr="00901190">
              <w:rPr>
                <w:rFonts w:ascii="Calibri" w:hAnsi="Calibri" w:cs="Calibri"/>
                <w:b/>
                <w:bCs/>
                <w:color w:val="000000"/>
                <w:szCs w:val="22"/>
              </w:rPr>
              <w:t>10</w:t>
            </w:r>
          </w:p>
        </w:tc>
        <w:tc>
          <w:tcPr>
            <w:tcW w:w="5103" w:type="dxa"/>
            <w:shd w:val="clear" w:color="auto" w:fill="auto"/>
          </w:tcPr>
          <w:p w14:paraId="05238DF0" w14:textId="77777777" w:rsidR="0052640F" w:rsidRDefault="0052640F" w:rsidP="00901190">
            <w:pPr>
              <w:spacing w:after="120"/>
              <w:jc w:val="left"/>
            </w:pPr>
            <w:r w:rsidRPr="00901190">
              <w:rPr>
                <w:color w:val="000000"/>
              </w:rPr>
              <w:t xml:space="preserve">that the introduction of UAS CNPC links shall not result in additional coordination constraints on terrestrial services under Articles </w:t>
            </w:r>
            <w:r w:rsidRPr="00901190">
              <w:rPr>
                <w:b/>
                <w:bCs/>
                <w:color w:val="000000"/>
              </w:rPr>
              <w:t xml:space="preserve">9 </w:t>
            </w:r>
            <w:r w:rsidRPr="00901190">
              <w:rPr>
                <w:color w:val="000000"/>
              </w:rPr>
              <w:t xml:space="preserve">and </w:t>
            </w:r>
            <w:r w:rsidRPr="00901190">
              <w:rPr>
                <w:b/>
                <w:bCs/>
                <w:color w:val="000000"/>
              </w:rPr>
              <w:t>11</w:t>
            </w:r>
            <w:r w:rsidRPr="00901190">
              <w:rPr>
                <w:color w:val="000000"/>
              </w:rPr>
              <w:t>;</w:t>
            </w:r>
          </w:p>
        </w:tc>
        <w:tc>
          <w:tcPr>
            <w:tcW w:w="4536" w:type="dxa"/>
            <w:shd w:val="clear" w:color="auto" w:fill="auto"/>
          </w:tcPr>
          <w:p w14:paraId="2BE6378A" w14:textId="556947FB" w:rsidR="0052640F" w:rsidRDefault="10BC0C78" w:rsidP="00901190">
            <w:pPr>
              <w:numPr>
                <w:ilvl w:val="0"/>
                <w:numId w:val="9"/>
              </w:numPr>
              <w:spacing w:after="120"/>
              <w:ind w:left="357" w:hanging="357"/>
              <w:jc w:val="left"/>
            </w:pPr>
            <w:r>
              <w:t>This resolves indicates that terrestrial fixed services have primary status and must be protected by UAS CNPC links within a given administrations territory. Not a simple endeavour to coordinate when such actions potentially diminish UAS status to something less than primary.</w:t>
            </w:r>
          </w:p>
        </w:tc>
        <w:tc>
          <w:tcPr>
            <w:tcW w:w="4536" w:type="dxa"/>
            <w:shd w:val="clear" w:color="auto" w:fill="auto"/>
          </w:tcPr>
          <w:p w14:paraId="0FB78278" w14:textId="77777777" w:rsidR="0052640F" w:rsidRDefault="0052640F" w:rsidP="00901190">
            <w:pPr>
              <w:spacing w:after="120"/>
              <w:jc w:val="left"/>
            </w:pPr>
          </w:p>
        </w:tc>
      </w:tr>
      <w:tr w:rsidR="0052640F" w14:paraId="52A31C7F" w14:textId="77777777" w:rsidTr="10BC0C78">
        <w:tc>
          <w:tcPr>
            <w:tcW w:w="675" w:type="dxa"/>
            <w:shd w:val="clear" w:color="auto" w:fill="auto"/>
          </w:tcPr>
          <w:p w14:paraId="4737E36C" w14:textId="77777777" w:rsidR="0052640F" w:rsidRDefault="0052640F" w:rsidP="00901190">
            <w:pPr>
              <w:spacing w:after="120"/>
              <w:jc w:val="left"/>
            </w:pPr>
            <w:r w:rsidRPr="00901190">
              <w:rPr>
                <w:b/>
                <w:bCs/>
                <w:color w:val="000000"/>
              </w:rPr>
              <w:t>11</w:t>
            </w:r>
          </w:p>
        </w:tc>
        <w:tc>
          <w:tcPr>
            <w:tcW w:w="5103" w:type="dxa"/>
            <w:shd w:val="clear" w:color="auto" w:fill="auto"/>
          </w:tcPr>
          <w:p w14:paraId="1B899664" w14:textId="77777777" w:rsidR="0052640F" w:rsidRDefault="0052640F" w:rsidP="00901190">
            <w:pPr>
              <w:spacing w:after="120"/>
              <w:jc w:val="left"/>
            </w:pPr>
            <w:r w:rsidRPr="00901190">
              <w:rPr>
                <w:color w:val="000000"/>
              </w:rPr>
              <w:t xml:space="preserve">that earth stations on board UA shall be designed and operated so as to be able to accept the interference caused by terrestrial services </w:t>
            </w:r>
            <w:bookmarkStart w:id="12" w:name="_Hlk64549351"/>
            <w:r w:rsidRPr="00901190">
              <w:rPr>
                <w:color w:val="000000"/>
              </w:rPr>
              <w:t>operating in conformity with the Radio Regulations in the frequency bands</w:t>
            </w:r>
            <w:bookmarkEnd w:id="12"/>
            <w:r w:rsidRPr="00901190">
              <w:rPr>
                <w:color w:val="000000"/>
              </w:rPr>
              <w:t xml:space="preserve"> listed in </w:t>
            </w:r>
            <w:r w:rsidRPr="00901190">
              <w:rPr>
                <w:i/>
                <w:iCs/>
                <w:color w:val="000000"/>
              </w:rPr>
              <w:t xml:space="preserve">resolves </w:t>
            </w:r>
            <w:r w:rsidRPr="00901190">
              <w:rPr>
                <w:color w:val="000000"/>
              </w:rPr>
              <w:t xml:space="preserve">1 without complaints under Article </w:t>
            </w:r>
            <w:r w:rsidRPr="00901190">
              <w:rPr>
                <w:b/>
                <w:bCs/>
                <w:color w:val="000000"/>
              </w:rPr>
              <w:t>15</w:t>
            </w:r>
            <w:r w:rsidRPr="00901190">
              <w:rPr>
                <w:color w:val="000000"/>
              </w:rPr>
              <w:t>;</w:t>
            </w:r>
          </w:p>
        </w:tc>
        <w:tc>
          <w:tcPr>
            <w:tcW w:w="4536" w:type="dxa"/>
            <w:shd w:val="clear" w:color="auto" w:fill="auto"/>
          </w:tcPr>
          <w:p w14:paraId="4414BDAB" w14:textId="64FC0003" w:rsidR="0052640F" w:rsidRDefault="0052640F" w:rsidP="00901190">
            <w:pPr>
              <w:numPr>
                <w:ilvl w:val="0"/>
                <w:numId w:val="9"/>
              </w:numPr>
              <w:spacing w:after="120"/>
              <w:ind w:left="357" w:hanging="357"/>
              <w:jc w:val="left"/>
            </w:pPr>
            <w:bookmarkStart w:id="13" w:name="_Hlk64549249"/>
            <w:r w:rsidRPr="00C6020D">
              <w:t>How can we design an operational onboard system to accept interference when the deployment levels/geographical locations of terrestrial services, thus the aggregate interference levels</w:t>
            </w:r>
            <w:r>
              <w:t>,</w:t>
            </w:r>
            <w:r w:rsidRPr="00C6020D">
              <w:t xml:space="preserve"> are </w:t>
            </w:r>
            <w:r>
              <w:t>not registered in the Master International Frequency Register</w:t>
            </w:r>
            <w:bookmarkEnd w:id="13"/>
            <w:r w:rsidRPr="00C6020D">
              <w:t>.</w:t>
            </w:r>
          </w:p>
        </w:tc>
        <w:tc>
          <w:tcPr>
            <w:tcW w:w="4536" w:type="dxa"/>
            <w:shd w:val="clear" w:color="auto" w:fill="auto"/>
          </w:tcPr>
          <w:p w14:paraId="53C78DEB" w14:textId="77777777" w:rsidR="0052640F" w:rsidRDefault="0052640F" w:rsidP="00901190">
            <w:pPr>
              <w:numPr>
                <w:ilvl w:val="0"/>
                <w:numId w:val="9"/>
              </w:numPr>
              <w:spacing w:after="120"/>
              <w:ind w:left="357" w:hanging="357"/>
              <w:jc w:val="left"/>
            </w:pPr>
            <w:r>
              <w:t>This could be addressed through provisions in ICAO SARPs</w:t>
            </w:r>
          </w:p>
        </w:tc>
      </w:tr>
      <w:tr w:rsidR="0052640F" w14:paraId="4AC4B9BA" w14:textId="77777777" w:rsidTr="10BC0C78">
        <w:tc>
          <w:tcPr>
            <w:tcW w:w="675" w:type="dxa"/>
            <w:tcBorders>
              <w:bottom w:val="single" w:sz="4" w:space="0" w:color="auto"/>
            </w:tcBorders>
            <w:shd w:val="clear" w:color="auto" w:fill="auto"/>
          </w:tcPr>
          <w:p w14:paraId="4B73E586" w14:textId="77777777" w:rsidR="0052640F" w:rsidRDefault="0052640F" w:rsidP="00901190">
            <w:pPr>
              <w:spacing w:after="120"/>
              <w:jc w:val="left"/>
            </w:pPr>
            <w:r w:rsidRPr="00901190">
              <w:rPr>
                <w:rFonts w:ascii="Calibri" w:hAnsi="Calibri" w:cs="Calibri"/>
                <w:b/>
                <w:bCs/>
                <w:color w:val="000000"/>
                <w:szCs w:val="22"/>
              </w:rPr>
              <w:lastRenderedPageBreak/>
              <w:t>12</w:t>
            </w:r>
          </w:p>
        </w:tc>
        <w:tc>
          <w:tcPr>
            <w:tcW w:w="5103" w:type="dxa"/>
            <w:tcBorders>
              <w:bottom w:val="single" w:sz="4" w:space="0" w:color="auto"/>
            </w:tcBorders>
            <w:shd w:val="clear" w:color="auto" w:fill="auto"/>
          </w:tcPr>
          <w:p w14:paraId="73CE1600" w14:textId="77777777" w:rsidR="0052640F" w:rsidRDefault="0052640F" w:rsidP="00901190">
            <w:pPr>
              <w:spacing w:after="120"/>
              <w:jc w:val="left"/>
            </w:pPr>
            <w:r w:rsidRPr="00901190">
              <w:rPr>
                <w:color w:val="000000"/>
              </w:rPr>
              <w:t xml:space="preserve">that earth stations on board UA shall be designed and operated so as to be able to operate with interference caused by other satellite networks resulting from application of Articles </w:t>
            </w:r>
            <w:r w:rsidRPr="00901190">
              <w:rPr>
                <w:b/>
                <w:bCs/>
                <w:color w:val="000000"/>
              </w:rPr>
              <w:t xml:space="preserve">9 </w:t>
            </w:r>
            <w:r w:rsidRPr="00901190">
              <w:rPr>
                <w:color w:val="000000"/>
              </w:rPr>
              <w:t xml:space="preserve">and </w:t>
            </w:r>
            <w:r w:rsidRPr="00901190">
              <w:rPr>
                <w:b/>
                <w:bCs/>
                <w:color w:val="000000"/>
              </w:rPr>
              <w:t>11</w:t>
            </w:r>
            <w:r w:rsidRPr="00901190">
              <w:rPr>
                <w:color w:val="000000"/>
              </w:rPr>
              <w:t>;</w:t>
            </w:r>
          </w:p>
        </w:tc>
        <w:tc>
          <w:tcPr>
            <w:tcW w:w="4536" w:type="dxa"/>
            <w:tcBorders>
              <w:bottom w:val="single" w:sz="4" w:space="0" w:color="auto"/>
            </w:tcBorders>
            <w:shd w:val="clear" w:color="auto" w:fill="auto"/>
          </w:tcPr>
          <w:p w14:paraId="427C9F40" w14:textId="77777777" w:rsidR="0052640F" w:rsidRDefault="0052640F" w:rsidP="00901190">
            <w:pPr>
              <w:numPr>
                <w:ilvl w:val="0"/>
                <w:numId w:val="9"/>
              </w:numPr>
              <w:spacing w:after="120"/>
              <w:ind w:left="357" w:hanging="357"/>
              <w:jc w:val="left"/>
            </w:pPr>
            <w:r>
              <w:t>Similar to resolves 11:</w:t>
            </w:r>
            <w:r>
              <w:br/>
              <w:t>How is this consistent with ICAO &amp; EASA requirement that any change to a system shall not adversely affect the level of safety and avoid the safety case having to be reviewed after every co-ordination affecting the FSS network</w:t>
            </w:r>
          </w:p>
        </w:tc>
        <w:tc>
          <w:tcPr>
            <w:tcW w:w="4536" w:type="dxa"/>
            <w:tcBorders>
              <w:bottom w:val="single" w:sz="4" w:space="0" w:color="auto"/>
            </w:tcBorders>
            <w:shd w:val="clear" w:color="auto" w:fill="auto"/>
          </w:tcPr>
          <w:p w14:paraId="32AA808C" w14:textId="77777777" w:rsidR="0052640F" w:rsidRDefault="0052640F" w:rsidP="00901190">
            <w:pPr>
              <w:numPr>
                <w:ilvl w:val="0"/>
                <w:numId w:val="9"/>
              </w:numPr>
              <w:spacing w:after="120"/>
              <w:ind w:left="357" w:hanging="357"/>
              <w:jc w:val="left"/>
            </w:pPr>
            <w:r>
              <w:t>This could be addressed within ICAO through requirements for regular reviews of the safety case</w:t>
            </w:r>
          </w:p>
        </w:tc>
      </w:tr>
      <w:tr w:rsidR="0052640F" w14:paraId="382C0211" w14:textId="77777777" w:rsidTr="10BC0C78">
        <w:tc>
          <w:tcPr>
            <w:tcW w:w="675" w:type="dxa"/>
            <w:tcBorders>
              <w:bottom w:val="nil"/>
            </w:tcBorders>
            <w:shd w:val="clear" w:color="auto" w:fill="auto"/>
          </w:tcPr>
          <w:p w14:paraId="39F18D26" w14:textId="77777777" w:rsidR="0052640F" w:rsidRDefault="0052640F" w:rsidP="00901190">
            <w:pPr>
              <w:spacing w:after="120"/>
              <w:jc w:val="left"/>
            </w:pPr>
            <w:r w:rsidRPr="00901190">
              <w:rPr>
                <w:b/>
                <w:bCs/>
                <w:color w:val="000000"/>
              </w:rPr>
              <w:t>13</w:t>
            </w:r>
          </w:p>
        </w:tc>
        <w:tc>
          <w:tcPr>
            <w:tcW w:w="5103" w:type="dxa"/>
            <w:tcBorders>
              <w:bottom w:val="nil"/>
            </w:tcBorders>
            <w:shd w:val="clear" w:color="auto" w:fill="auto"/>
          </w:tcPr>
          <w:p w14:paraId="3432C39A" w14:textId="77777777" w:rsidR="0052640F" w:rsidRDefault="0052640F" w:rsidP="00901190">
            <w:pPr>
              <w:spacing w:after="120"/>
              <w:jc w:val="left"/>
            </w:pPr>
            <w:r w:rsidRPr="00901190">
              <w:rPr>
                <w:color w:val="000000"/>
              </w:rPr>
              <w:t>that, in order to ensure safety-of-flight operation of UAS, administrations responsible for operating UAS CNPC links shall:</w:t>
            </w:r>
          </w:p>
        </w:tc>
        <w:tc>
          <w:tcPr>
            <w:tcW w:w="4536" w:type="dxa"/>
            <w:tcBorders>
              <w:bottom w:val="nil"/>
            </w:tcBorders>
            <w:shd w:val="clear" w:color="auto" w:fill="auto"/>
          </w:tcPr>
          <w:p w14:paraId="1FC39945" w14:textId="77777777" w:rsidR="0052640F" w:rsidRDefault="0052640F" w:rsidP="00901190">
            <w:pPr>
              <w:spacing w:after="120"/>
              <w:jc w:val="left"/>
            </w:pPr>
          </w:p>
        </w:tc>
        <w:tc>
          <w:tcPr>
            <w:tcW w:w="4536" w:type="dxa"/>
            <w:tcBorders>
              <w:bottom w:val="nil"/>
            </w:tcBorders>
            <w:shd w:val="clear" w:color="auto" w:fill="auto"/>
          </w:tcPr>
          <w:p w14:paraId="0562CB0E" w14:textId="77777777" w:rsidR="0052640F" w:rsidRDefault="0052640F" w:rsidP="00901190">
            <w:pPr>
              <w:spacing w:after="120"/>
              <w:ind w:left="360"/>
              <w:jc w:val="left"/>
            </w:pPr>
          </w:p>
        </w:tc>
      </w:tr>
      <w:tr w:rsidR="0052640F" w14:paraId="40A08234" w14:textId="77777777" w:rsidTr="10BC0C78">
        <w:tc>
          <w:tcPr>
            <w:tcW w:w="675" w:type="dxa"/>
            <w:tcBorders>
              <w:top w:val="nil"/>
              <w:bottom w:val="nil"/>
            </w:tcBorders>
            <w:shd w:val="clear" w:color="auto" w:fill="auto"/>
          </w:tcPr>
          <w:p w14:paraId="2D7B9274" w14:textId="77777777" w:rsidR="0052640F" w:rsidRDefault="0052640F" w:rsidP="00901190">
            <w:pPr>
              <w:spacing w:after="120"/>
              <w:jc w:val="left"/>
            </w:pPr>
            <w:r w:rsidRPr="00901190">
              <w:rPr>
                <w:b/>
                <w:bCs/>
                <w:color w:val="000000"/>
              </w:rPr>
              <w:t xml:space="preserve">– </w:t>
            </w:r>
          </w:p>
        </w:tc>
        <w:tc>
          <w:tcPr>
            <w:tcW w:w="5103" w:type="dxa"/>
            <w:tcBorders>
              <w:top w:val="nil"/>
              <w:bottom w:val="nil"/>
            </w:tcBorders>
            <w:shd w:val="clear" w:color="auto" w:fill="auto"/>
          </w:tcPr>
          <w:p w14:paraId="5FD75EB6" w14:textId="77777777" w:rsidR="0052640F" w:rsidRDefault="0052640F" w:rsidP="00901190">
            <w:pPr>
              <w:spacing w:after="120"/>
              <w:jc w:val="left"/>
            </w:pPr>
            <w:r w:rsidRPr="00901190">
              <w:rPr>
                <w:color w:val="000000"/>
              </w:rPr>
              <w:t>ensure that the use of UAS CNPC links be in accordance with international SARPs consistent with Article 37 of the Convention on International Civil Aviation;</w:t>
            </w:r>
          </w:p>
        </w:tc>
        <w:tc>
          <w:tcPr>
            <w:tcW w:w="4536" w:type="dxa"/>
            <w:tcBorders>
              <w:top w:val="nil"/>
              <w:bottom w:val="nil"/>
            </w:tcBorders>
            <w:shd w:val="clear" w:color="auto" w:fill="auto"/>
          </w:tcPr>
          <w:p w14:paraId="34CE0A41" w14:textId="77777777" w:rsidR="0052640F" w:rsidRDefault="0052640F" w:rsidP="00901190">
            <w:pPr>
              <w:spacing w:after="120"/>
              <w:jc w:val="left"/>
            </w:pPr>
          </w:p>
        </w:tc>
        <w:tc>
          <w:tcPr>
            <w:tcW w:w="4536" w:type="dxa"/>
            <w:tcBorders>
              <w:top w:val="nil"/>
              <w:bottom w:val="nil"/>
            </w:tcBorders>
            <w:shd w:val="clear" w:color="auto" w:fill="auto"/>
          </w:tcPr>
          <w:p w14:paraId="62EBF3C5" w14:textId="77777777" w:rsidR="0052640F" w:rsidRDefault="0052640F" w:rsidP="00901190">
            <w:pPr>
              <w:spacing w:after="120"/>
              <w:jc w:val="left"/>
            </w:pPr>
          </w:p>
        </w:tc>
      </w:tr>
      <w:tr w:rsidR="0052640F" w14:paraId="45C52C27" w14:textId="77777777" w:rsidTr="10BC0C78">
        <w:tc>
          <w:tcPr>
            <w:tcW w:w="675" w:type="dxa"/>
            <w:tcBorders>
              <w:top w:val="nil"/>
              <w:bottom w:val="nil"/>
            </w:tcBorders>
            <w:shd w:val="clear" w:color="auto" w:fill="auto"/>
          </w:tcPr>
          <w:p w14:paraId="4DB62428" w14:textId="77777777" w:rsidR="0052640F" w:rsidRDefault="0052640F" w:rsidP="00901190">
            <w:pPr>
              <w:spacing w:after="120"/>
              <w:jc w:val="left"/>
            </w:pPr>
            <w:r w:rsidRPr="00901190">
              <w:rPr>
                <w:b/>
                <w:bCs/>
                <w:color w:val="000000"/>
              </w:rPr>
              <w:t xml:space="preserve">– </w:t>
            </w:r>
          </w:p>
        </w:tc>
        <w:tc>
          <w:tcPr>
            <w:tcW w:w="5103" w:type="dxa"/>
            <w:tcBorders>
              <w:top w:val="nil"/>
              <w:bottom w:val="nil"/>
            </w:tcBorders>
            <w:shd w:val="clear" w:color="auto" w:fill="auto"/>
          </w:tcPr>
          <w:p w14:paraId="5F1EC7DD" w14:textId="77777777" w:rsidR="0052640F" w:rsidRDefault="0052640F" w:rsidP="00901190">
            <w:pPr>
              <w:spacing w:after="120"/>
              <w:jc w:val="left"/>
            </w:pPr>
            <w:r w:rsidRPr="00901190">
              <w:rPr>
                <w:color w:val="000000"/>
              </w:rPr>
              <w:t xml:space="preserve">take the required measures, consistent with No. </w:t>
            </w:r>
            <w:r w:rsidRPr="00901190">
              <w:rPr>
                <w:b/>
                <w:bCs/>
                <w:color w:val="000000"/>
              </w:rPr>
              <w:t>4.10</w:t>
            </w:r>
            <w:r w:rsidRPr="00901190">
              <w:rPr>
                <w:color w:val="000000"/>
              </w:rPr>
              <w:t>, to ensure freedom from harmful interference to earth stations on board UA operated in accordance with this Resolution;</w:t>
            </w:r>
          </w:p>
        </w:tc>
        <w:tc>
          <w:tcPr>
            <w:tcW w:w="4536" w:type="dxa"/>
            <w:tcBorders>
              <w:top w:val="nil"/>
              <w:bottom w:val="nil"/>
            </w:tcBorders>
            <w:shd w:val="clear" w:color="auto" w:fill="auto"/>
          </w:tcPr>
          <w:p w14:paraId="44714452" w14:textId="77777777" w:rsidR="0052640F" w:rsidRDefault="0052640F" w:rsidP="00901190">
            <w:pPr>
              <w:numPr>
                <w:ilvl w:val="0"/>
                <w:numId w:val="9"/>
              </w:numPr>
              <w:spacing w:after="120"/>
              <w:ind w:left="357" w:hanging="357"/>
              <w:jc w:val="left"/>
            </w:pPr>
            <w:proofErr w:type="gramStart"/>
            <w:r w:rsidRPr="0034236B">
              <w:t>How can the intent of 4.10 be applied</w:t>
            </w:r>
            <w:proofErr w:type="gramEnd"/>
            <w:r w:rsidRPr="0034236B">
              <w:t xml:space="preserve"> to UAS when there’s nothing in this resolution to clearly give UAS CNPC primary status</w:t>
            </w:r>
            <w:r>
              <w:t xml:space="preserve"> and you cannot claim protection from other primary services</w:t>
            </w:r>
            <w:r w:rsidRPr="0034236B">
              <w:t>.</w:t>
            </w:r>
          </w:p>
        </w:tc>
        <w:tc>
          <w:tcPr>
            <w:tcW w:w="4536" w:type="dxa"/>
            <w:tcBorders>
              <w:top w:val="nil"/>
              <w:bottom w:val="nil"/>
            </w:tcBorders>
            <w:shd w:val="clear" w:color="auto" w:fill="auto"/>
          </w:tcPr>
          <w:p w14:paraId="6D98A12B" w14:textId="77777777" w:rsidR="0052640F" w:rsidRDefault="0052640F" w:rsidP="00901190">
            <w:pPr>
              <w:spacing w:after="120"/>
              <w:jc w:val="left"/>
            </w:pPr>
          </w:p>
        </w:tc>
      </w:tr>
      <w:tr w:rsidR="0052640F" w14:paraId="52FD4C8E" w14:textId="77777777" w:rsidTr="10BC0C78">
        <w:tc>
          <w:tcPr>
            <w:tcW w:w="675" w:type="dxa"/>
            <w:tcBorders>
              <w:top w:val="nil"/>
              <w:bottom w:val="nil"/>
            </w:tcBorders>
            <w:shd w:val="clear" w:color="auto" w:fill="auto"/>
          </w:tcPr>
          <w:p w14:paraId="7E6B4641" w14:textId="77777777" w:rsidR="0052640F" w:rsidRDefault="0052640F" w:rsidP="00901190">
            <w:pPr>
              <w:spacing w:after="120"/>
              <w:jc w:val="left"/>
            </w:pPr>
            <w:r w:rsidRPr="00901190">
              <w:rPr>
                <w:b/>
                <w:bCs/>
                <w:color w:val="000000"/>
              </w:rPr>
              <w:t xml:space="preserve">– </w:t>
            </w:r>
          </w:p>
        </w:tc>
        <w:tc>
          <w:tcPr>
            <w:tcW w:w="5103" w:type="dxa"/>
            <w:tcBorders>
              <w:top w:val="nil"/>
              <w:bottom w:val="nil"/>
            </w:tcBorders>
            <w:shd w:val="clear" w:color="auto" w:fill="auto"/>
          </w:tcPr>
          <w:p w14:paraId="2DFCBA76" w14:textId="77777777" w:rsidR="0052640F" w:rsidRDefault="0052640F" w:rsidP="00901190">
            <w:pPr>
              <w:spacing w:after="120"/>
              <w:jc w:val="left"/>
            </w:pPr>
            <w:r w:rsidRPr="00901190">
              <w:rPr>
                <w:color w:val="000000"/>
              </w:rPr>
              <w:t xml:space="preserve">act immediately when their attention is drawn to any such harmful interference, as freedom from harmful interference to UAS CNPC links is imperative to ensure their safe operation, taking into account </w:t>
            </w:r>
            <w:r w:rsidRPr="00901190">
              <w:rPr>
                <w:i/>
                <w:iCs/>
                <w:color w:val="000000"/>
              </w:rPr>
              <w:t xml:space="preserve">resolves </w:t>
            </w:r>
            <w:r w:rsidRPr="00901190">
              <w:rPr>
                <w:color w:val="000000"/>
              </w:rPr>
              <w:t>11;</w:t>
            </w:r>
          </w:p>
        </w:tc>
        <w:tc>
          <w:tcPr>
            <w:tcW w:w="4536" w:type="dxa"/>
            <w:tcBorders>
              <w:top w:val="nil"/>
              <w:bottom w:val="nil"/>
            </w:tcBorders>
            <w:shd w:val="clear" w:color="auto" w:fill="auto"/>
          </w:tcPr>
          <w:p w14:paraId="154A0B45" w14:textId="0CF94D44" w:rsidR="0052640F" w:rsidRDefault="10BC0C78" w:rsidP="00901190">
            <w:pPr>
              <w:numPr>
                <w:ilvl w:val="0"/>
                <w:numId w:val="9"/>
              </w:numPr>
              <w:spacing w:after="120"/>
              <w:ind w:left="357" w:hanging="357"/>
              <w:jc w:val="left"/>
            </w:pPr>
            <w:r>
              <w:t>Noted, but what happens when the UAS CNPC needs to protect and not claim protection from other primary services?</w:t>
            </w:r>
          </w:p>
          <w:p w14:paraId="297496A1" w14:textId="77777777" w:rsidR="0052640F" w:rsidRDefault="0052640F" w:rsidP="00901190">
            <w:pPr>
              <w:numPr>
                <w:ilvl w:val="0"/>
                <w:numId w:val="9"/>
              </w:numPr>
              <w:spacing w:after="120"/>
              <w:ind w:left="357" w:hanging="357"/>
              <w:jc w:val="left"/>
            </w:pPr>
            <w:r>
              <w:t xml:space="preserve">If the first bullet can be resolved then a protocol needs to be established as to how this can be achieved </w:t>
            </w:r>
          </w:p>
        </w:tc>
        <w:tc>
          <w:tcPr>
            <w:tcW w:w="4536" w:type="dxa"/>
            <w:tcBorders>
              <w:top w:val="nil"/>
              <w:bottom w:val="nil"/>
            </w:tcBorders>
            <w:shd w:val="clear" w:color="auto" w:fill="auto"/>
          </w:tcPr>
          <w:p w14:paraId="2946DB82" w14:textId="77777777" w:rsidR="0052640F" w:rsidRDefault="0052640F" w:rsidP="00901190">
            <w:pPr>
              <w:spacing w:after="120"/>
              <w:jc w:val="left"/>
            </w:pPr>
          </w:p>
        </w:tc>
      </w:tr>
      <w:tr w:rsidR="0052640F" w14:paraId="469456C5" w14:textId="77777777" w:rsidTr="10BC0C78">
        <w:tc>
          <w:tcPr>
            <w:tcW w:w="675" w:type="dxa"/>
            <w:tcBorders>
              <w:top w:val="nil"/>
              <w:bottom w:val="nil"/>
            </w:tcBorders>
            <w:shd w:val="clear" w:color="auto" w:fill="auto"/>
          </w:tcPr>
          <w:p w14:paraId="60AD8F51" w14:textId="77777777" w:rsidR="0052640F" w:rsidRDefault="0052640F" w:rsidP="00901190">
            <w:pPr>
              <w:spacing w:after="120"/>
              <w:jc w:val="left"/>
            </w:pPr>
            <w:r w:rsidRPr="00901190">
              <w:rPr>
                <w:b/>
                <w:bCs/>
                <w:color w:val="000000"/>
              </w:rPr>
              <w:t xml:space="preserve">– </w:t>
            </w:r>
          </w:p>
        </w:tc>
        <w:tc>
          <w:tcPr>
            <w:tcW w:w="5103" w:type="dxa"/>
            <w:tcBorders>
              <w:top w:val="nil"/>
              <w:bottom w:val="nil"/>
            </w:tcBorders>
            <w:shd w:val="clear" w:color="auto" w:fill="auto"/>
          </w:tcPr>
          <w:p w14:paraId="5A47B83E" w14:textId="77777777" w:rsidR="0052640F" w:rsidRDefault="0052640F" w:rsidP="00901190">
            <w:pPr>
              <w:spacing w:after="120"/>
              <w:jc w:val="left"/>
            </w:pPr>
            <w:r w:rsidRPr="00901190">
              <w:rPr>
                <w:color w:val="000000"/>
              </w:rPr>
              <w:t xml:space="preserve">use assignments associated with the FSS networks for UAS CNPC links (see Figure 1 in Annex 1), including assignments to space stations, specific or typical earth stations and earth stations on board UA (see </w:t>
            </w:r>
            <w:r w:rsidRPr="00901190">
              <w:rPr>
                <w:i/>
                <w:iCs/>
                <w:color w:val="000000"/>
              </w:rPr>
              <w:t xml:space="preserve">resolves </w:t>
            </w:r>
            <w:r w:rsidRPr="00901190">
              <w:rPr>
                <w:color w:val="000000"/>
              </w:rPr>
              <w:t xml:space="preserve">2), that have been successfully coordinated under Article </w:t>
            </w:r>
            <w:r w:rsidRPr="00901190">
              <w:rPr>
                <w:b/>
                <w:bCs/>
                <w:color w:val="000000"/>
              </w:rPr>
              <w:t xml:space="preserve">9 </w:t>
            </w:r>
            <w:r w:rsidRPr="00901190">
              <w:rPr>
                <w:color w:val="000000"/>
              </w:rPr>
              <w:t xml:space="preserve">(including provisions identified in </w:t>
            </w:r>
            <w:r w:rsidRPr="00901190">
              <w:rPr>
                <w:i/>
                <w:iCs/>
                <w:color w:val="000000"/>
              </w:rPr>
              <w:t xml:space="preserve">resolves </w:t>
            </w:r>
            <w:r w:rsidRPr="00901190">
              <w:rPr>
                <w:color w:val="000000"/>
              </w:rPr>
              <w:t xml:space="preserve">4) and recorded in the Master International Frequency </w:t>
            </w:r>
            <w:r w:rsidRPr="00901190">
              <w:rPr>
                <w:color w:val="000000"/>
              </w:rPr>
              <w:lastRenderedPageBreak/>
              <w:t xml:space="preserve">Register with a favourable finding under Article </w:t>
            </w:r>
            <w:r w:rsidRPr="00901190">
              <w:rPr>
                <w:b/>
                <w:bCs/>
                <w:color w:val="000000"/>
              </w:rPr>
              <w:t>11</w:t>
            </w:r>
            <w:r w:rsidRPr="00901190">
              <w:rPr>
                <w:color w:val="000000"/>
              </w:rPr>
              <w:t xml:space="preserve">, including Nos. </w:t>
            </w:r>
            <w:r w:rsidRPr="00901190">
              <w:rPr>
                <w:b/>
                <w:bCs/>
                <w:color w:val="000000"/>
              </w:rPr>
              <w:t>11.31</w:t>
            </w:r>
            <w:r w:rsidRPr="00901190">
              <w:rPr>
                <w:color w:val="000000"/>
              </w:rPr>
              <w:t xml:space="preserve">, </w:t>
            </w:r>
            <w:r w:rsidRPr="00901190">
              <w:rPr>
                <w:b/>
                <w:bCs/>
                <w:color w:val="000000"/>
              </w:rPr>
              <w:t xml:space="preserve">11.32 </w:t>
            </w:r>
            <w:r w:rsidRPr="00901190">
              <w:rPr>
                <w:color w:val="000000"/>
              </w:rPr>
              <w:t xml:space="preserve">or </w:t>
            </w:r>
            <w:r w:rsidRPr="00901190">
              <w:rPr>
                <w:b/>
                <w:bCs/>
                <w:color w:val="000000"/>
              </w:rPr>
              <w:t xml:space="preserve">11.32A </w:t>
            </w:r>
            <w:r w:rsidRPr="00901190">
              <w:rPr>
                <w:color w:val="000000"/>
              </w:rPr>
              <w:t xml:space="preserve">where applicable, and except those assignments that have not successfully completed coordination procedures under No. </w:t>
            </w:r>
            <w:r w:rsidRPr="00901190">
              <w:rPr>
                <w:b/>
                <w:bCs/>
                <w:color w:val="000000"/>
              </w:rPr>
              <w:t xml:space="preserve">11.32 </w:t>
            </w:r>
            <w:r w:rsidRPr="00901190">
              <w:rPr>
                <w:color w:val="000000"/>
              </w:rPr>
              <w:t xml:space="preserve">by applying Appendix </w:t>
            </w:r>
            <w:r w:rsidRPr="00901190">
              <w:rPr>
                <w:b/>
                <w:bCs/>
                <w:color w:val="000000"/>
              </w:rPr>
              <w:t xml:space="preserve">5 </w:t>
            </w:r>
            <w:r w:rsidRPr="00901190">
              <w:rPr>
                <w:color w:val="000000"/>
              </w:rPr>
              <w:t>§ 6.d.i;</w:t>
            </w:r>
          </w:p>
        </w:tc>
        <w:tc>
          <w:tcPr>
            <w:tcW w:w="4536" w:type="dxa"/>
            <w:tcBorders>
              <w:top w:val="nil"/>
              <w:bottom w:val="nil"/>
            </w:tcBorders>
            <w:shd w:val="clear" w:color="auto" w:fill="auto"/>
          </w:tcPr>
          <w:p w14:paraId="1E89C284" w14:textId="77777777" w:rsidR="0052640F" w:rsidRDefault="0052640F" w:rsidP="00901190">
            <w:pPr>
              <w:numPr>
                <w:ilvl w:val="0"/>
                <w:numId w:val="9"/>
              </w:numPr>
              <w:spacing w:after="120"/>
              <w:ind w:left="357" w:hanging="357"/>
              <w:jc w:val="left"/>
            </w:pPr>
            <w:r>
              <w:lastRenderedPageBreak/>
              <w:t>Given the issues around co-ordination achieving this is now virtually impossible.  How this can be achieved in the future needs to be considered</w:t>
            </w:r>
          </w:p>
        </w:tc>
        <w:tc>
          <w:tcPr>
            <w:tcW w:w="4536" w:type="dxa"/>
            <w:tcBorders>
              <w:top w:val="nil"/>
              <w:bottom w:val="nil"/>
            </w:tcBorders>
            <w:shd w:val="clear" w:color="auto" w:fill="auto"/>
          </w:tcPr>
          <w:p w14:paraId="5997CC1D" w14:textId="77777777" w:rsidR="0052640F" w:rsidRDefault="0052640F" w:rsidP="00901190">
            <w:pPr>
              <w:spacing w:after="120"/>
              <w:jc w:val="left"/>
            </w:pPr>
          </w:p>
        </w:tc>
      </w:tr>
      <w:tr w:rsidR="0052640F" w14:paraId="39B7E340" w14:textId="77777777" w:rsidTr="10BC0C78">
        <w:tc>
          <w:tcPr>
            <w:tcW w:w="675" w:type="dxa"/>
            <w:tcBorders>
              <w:top w:val="nil"/>
            </w:tcBorders>
            <w:shd w:val="clear" w:color="auto" w:fill="auto"/>
          </w:tcPr>
          <w:p w14:paraId="43FFAC87" w14:textId="77777777" w:rsidR="0052640F" w:rsidRDefault="0052640F" w:rsidP="00901190">
            <w:pPr>
              <w:spacing w:after="120"/>
              <w:jc w:val="left"/>
            </w:pPr>
            <w:r w:rsidRPr="00901190">
              <w:rPr>
                <w:b/>
                <w:bCs/>
                <w:color w:val="000000"/>
              </w:rPr>
              <w:t xml:space="preserve">– </w:t>
            </w:r>
          </w:p>
        </w:tc>
        <w:tc>
          <w:tcPr>
            <w:tcW w:w="5103" w:type="dxa"/>
            <w:tcBorders>
              <w:top w:val="nil"/>
            </w:tcBorders>
            <w:shd w:val="clear" w:color="auto" w:fill="auto"/>
          </w:tcPr>
          <w:p w14:paraId="5A1B8010" w14:textId="77777777" w:rsidR="0052640F" w:rsidRDefault="0052640F" w:rsidP="00901190">
            <w:pPr>
              <w:spacing w:after="120"/>
              <w:jc w:val="left"/>
            </w:pPr>
            <w:r w:rsidRPr="00901190">
              <w:rPr>
                <w:color w:val="000000"/>
              </w:rPr>
              <w:t>ensure that real-time interference monitoring, estimation and prediction of interference risks and planning solutions for potential interference scenarios are addressed by FSS operators and UAS operators with guidance from aviation authorities;</w:t>
            </w:r>
          </w:p>
        </w:tc>
        <w:tc>
          <w:tcPr>
            <w:tcW w:w="4536" w:type="dxa"/>
            <w:tcBorders>
              <w:top w:val="nil"/>
            </w:tcBorders>
            <w:shd w:val="clear" w:color="auto" w:fill="auto"/>
          </w:tcPr>
          <w:p w14:paraId="1728B5E8" w14:textId="77777777" w:rsidR="0052640F" w:rsidRDefault="0052640F" w:rsidP="00901190">
            <w:pPr>
              <w:numPr>
                <w:ilvl w:val="0"/>
                <w:numId w:val="9"/>
              </w:numPr>
              <w:spacing w:after="120"/>
              <w:ind w:left="357" w:hanging="357"/>
              <w:jc w:val="left"/>
            </w:pPr>
            <w:bookmarkStart w:id="14" w:name="_Hlk64549054"/>
            <w:r>
              <w:t>W</w:t>
            </w:r>
            <w:r w:rsidRPr="0034236B">
              <w:t xml:space="preserve">hy would an FSS operator undertake real-time interference monitoring, estimation and prediction of interference risks for a service that effectively has not been guaranteed/given primary status in the FSS frequency bands?  </w:t>
            </w:r>
          </w:p>
          <w:bookmarkEnd w:id="14"/>
          <w:p w14:paraId="4CF74BD0" w14:textId="38BA730C" w:rsidR="0052640F" w:rsidRDefault="0052640F" w:rsidP="00901190">
            <w:pPr>
              <w:numPr>
                <w:ilvl w:val="0"/>
                <w:numId w:val="9"/>
              </w:numPr>
              <w:spacing w:after="120"/>
              <w:ind w:left="357" w:hanging="357"/>
              <w:jc w:val="left"/>
            </w:pPr>
            <w:r w:rsidRPr="00F800EC">
              <w:t xml:space="preserve">How will </w:t>
            </w:r>
            <w:proofErr w:type="spellStart"/>
            <w:r w:rsidRPr="00F800EC">
              <w:t>thi</w:t>
            </w:r>
            <w:proofErr w:type="spellEnd"/>
            <w:r w:rsidRPr="00F800EC">
              <w:t xml:space="preserve"> be made visible to national aviation authorities/operators/service providers /radio agencies and what information can they access?</w:t>
            </w:r>
          </w:p>
        </w:tc>
        <w:tc>
          <w:tcPr>
            <w:tcW w:w="4536" w:type="dxa"/>
            <w:tcBorders>
              <w:top w:val="nil"/>
            </w:tcBorders>
            <w:shd w:val="clear" w:color="auto" w:fill="auto"/>
          </w:tcPr>
          <w:p w14:paraId="0B7CDF74" w14:textId="77777777" w:rsidR="0052640F" w:rsidRDefault="002A6A38" w:rsidP="00901190">
            <w:pPr>
              <w:spacing w:after="120"/>
              <w:jc w:val="left"/>
            </w:pPr>
            <w:r>
              <w:t>Clarification that CNPC is an application of the primary FSS allocation.</w:t>
            </w:r>
          </w:p>
        </w:tc>
      </w:tr>
      <w:tr w:rsidR="0052640F" w14:paraId="5FC86E8C" w14:textId="77777777" w:rsidTr="10BC0C78">
        <w:tc>
          <w:tcPr>
            <w:tcW w:w="675" w:type="dxa"/>
            <w:shd w:val="clear" w:color="auto" w:fill="auto"/>
          </w:tcPr>
          <w:p w14:paraId="4E1E336A" w14:textId="77777777" w:rsidR="0052640F" w:rsidRDefault="0052640F" w:rsidP="00901190">
            <w:pPr>
              <w:spacing w:after="120"/>
              <w:jc w:val="left"/>
            </w:pPr>
            <w:r w:rsidRPr="00901190">
              <w:rPr>
                <w:b/>
                <w:bCs/>
                <w:color w:val="000000"/>
              </w:rPr>
              <w:t>14</w:t>
            </w:r>
          </w:p>
        </w:tc>
        <w:tc>
          <w:tcPr>
            <w:tcW w:w="5103" w:type="dxa"/>
            <w:shd w:val="clear" w:color="auto" w:fill="auto"/>
          </w:tcPr>
          <w:p w14:paraId="1E0BD28B" w14:textId="77777777" w:rsidR="0052640F" w:rsidRDefault="0052640F" w:rsidP="00901190">
            <w:pPr>
              <w:spacing w:after="120"/>
              <w:jc w:val="left"/>
            </w:pPr>
            <w:r w:rsidRPr="00901190">
              <w:rPr>
                <w:color w:val="000000"/>
              </w:rPr>
              <w:t>that, unless otherwise agreed between the administrations concerned, UA CNPC earth stations shall not cause harmful interference to terrestrial services of other administrations (see also Annex 2 to this Resolution);</w:t>
            </w:r>
          </w:p>
        </w:tc>
        <w:tc>
          <w:tcPr>
            <w:tcW w:w="4536" w:type="dxa"/>
            <w:shd w:val="clear" w:color="auto" w:fill="auto"/>
          </w:tcPr>
          <w:p w14:paraId="34BB3966" w14:textId="63DC5538" w:rsidR="0052640F" w:rsidRDefault="10BC0C78" w:rsidP="00901190">
            <w:pPr>
              <w:numPr>
                <w:ilvl w:val="0"/>
                <w:numId w:val="9"/>
              </w:numPr>
              <w:spacing w:after="120"/>
              <w:ind w:left="357" w:hanging="357"/>
              <w:jc w:val="left"/>
            </w:pPr>
            <w:r>
              <w:t>By indicating that a UA Earth station cannot cause harmful interference, then RR 5.43 means that they cannot claim protection from interference caused by stations in that service, and hence the UA Earth station is operating as a secondary service</w:t>
            </w:r>
          </w:p>
          <w:p w14:paraId="71864EB6" w14:textId="2531B5AB" w:rsidR="0052640F" w:rsidRDefault="10BC0C78" w:rsidP="00901190">
            <w:pPr>
              <w:numPr>
                <w:ilvl w:val="0"/>
                <w:numId w:val="9"/>
              </w:numPr>
              <w:spacing w:after="120"/>
              <w:ind w:left="357" w:hanging="357"/>
              <w:jc w:val="left"/>
            </w:pPr>
            <w:r>
              <w:t xml:space="preserve">Were aviation to accept that you can provide a safety of life service for UAS CNPC </w:t>
            </w:r>
            <w:r w:rsidR="003E798B">
              <w:t xml:space="preserve">using FSS without clarifying that such use is on a primary basis </w:t>
            </w:r>
            <w:r>
              <w:t>there are implications for other safety of life systems</w:t>
            </w:r>
          </w:p>
        </w:tc>
        <w:tc>
          <w:tcPr>
            <w:tcW w:w="4536" w:type="dxa"/>
            <w:shd w:val="clear" w:color="auto" w:fill="auto"/>
          </w:tcPr>
          <w:p w14:paraId="5D7A6A7E" w14:textId="77777777" w:rsidR="0052640F" w:rsidRDefault="00861849" w:rsidP="00901190">
            <w:pPr>
              <w:spacing w:after="120"/>
              <w:jc w:val="left"/>
            </w:pPr>
            <w:r>
              <w:t xml:space="preserve"> Clarification that RR 5.43 and 5.43A do not apply and that CPNC operations are on a primary basis</w:t>
            </w:r>
          </w:p>
        </w:tc>
      </w:tr>
      <w:tr w:rsidR="0052640F" w14:paraId="64FCB4A0" w14:textId="77777777" w:rsidTr="10BC0C78">
        <w:tc>
          <w:tcPr>
            <w:tcW w:w="675" w:type="dxa"/>
            <w:shd w:val="clear" w:color="auto" w:fill="auto"/>
          </w:tcPr>
          <w:p w14:paraId="33CFEC6B" w14:textId="77777777" w:rsidR="0052640F" w:rsidRDefault="0052640F" w:rsidP="00901190">
            <w:pPr>
              <w:spacing w:after="120"/>
              <w:jc w:val="left"/>
            </w:pPr>
            <w:r w:rsidRPr="00901190">
              <w:rPr>
                <w:b/>
                <w:bCs/>
                <w:color w:val="000000"/>
              </w:rPr>
              <w:t>15</w:t>
            </w:r>
          </w:p>
        </w:tc>
        <w:tc>
          <w:tcPr>
            <w:tcW w:w="5103" w:type="dxa"/>
            <w:shd w:val="clear" w:color="auto" w:fill="auto"/>
          </w:tcPr>
          <w:p w14:paraId="5C8ABAD7" w14:textId="77777777" w:rsidR="0052640F" w:rsidRDefault="0052640F" w:rsidP="00901190">
            <w:pPr>
              <w:spacing w:after="120"/>
              <w:jc w:val="left"/>
            </w:pPr>
            <w:r w:rsidRPr="00901190">
              <w:rPr>
                <w:color w:val="000000"/>
              </w:rPr>
              <w:t xml:space="preserve">that, in order to implement </w:t>
            </w:r>
            <w:r w:rsidRPr="00901190">
              <w:rPr>
                <w:i/>
                <w:iCs/>
                <w:color w:val="000000"/>
              </w:rPr>
              <w:t xml:space="preserve">resolves </w:t>
            </w:r>
            <w:r w:rsidRPr="00901190">
              <w:rPr>
                <w:color w:val="000000"/>
              </w:rPr>
              <w:t>14 above, power flux-density (</w:t>
            </w:r>
            <w:proofErr w:type="spellStart"/>
            <w:r w:rsidRPr="00901190">
              <w:rPr>
                <w:color w:val="000000"/>
              </w:rPr>
              <w:t>pfd</w:t>
            </w:r>
            <w:proofErr w:type="spellEnd"/>
            <w:r w:rsidRPr="00901190">
              <w:rPr>
                <w:color w:val="000000"/>
              </w:rPr>
              <w:t xml:space="preserve">) hard limits need to be developed for UAS CNPC links; possible examples of such provisional limits to protect the fixed service are provided in Annex 2; subject to agreement between </w:t>
            </w:r>
            <w:r w:rsidRPr="00901190">
              <w:rPr>
                <w:color w:val="000000"/>
              </w:rPr>
              <w:lastRenderedPageBreak/>
              <w:t>the administrations concerned, that annex may be used for the implementation of this Resolution;</w:t>
            </w:r>
          </w:p>
        </w:tc>
        <w:tc>
          <w:tcPr>
            <w:tcW w:w="4536" w:type="dxa"/>
            <w:shd w:val="clear" w:color="auto" w:fill="auto"/>
          </w:tcPr>
          <w:p w14:paraId="2AC7E62A" w14:textId="7C19D8A5" w:rsidR="0052640F" w:rsidRDefault="10BC0C78" w:rsidP="00901190">
            <w:pPr>
              <w:numPr>
                <w:ilvl w:val="0"/>
                <w:numId w:val="9"/>
              </w:numPr>
              <w:spacing w:after="120"/>
              <w:ind w:left="357" w:hanging="357"/>
              <w:jc w:val="left"/>
            </w:pPr>
            <w:r>
              <w:lastRenderedPageBreak/>
              <w:t>The application of a hard PFD limit to protect the fixed service might work at the time of agreeing the levels, but given that you have to protect terrestrial services, this could become a sliding window</w:t>
            </w:r>
          </w:p>
          <w:p w14:paraId="61C7CFD8" w14:textId="77777777" w:rsidR="0052640F" w:rsidRDefault="0052640F" w:rsidP="00901190">
            <w:pPr>
              <w:numPr>
                <w:ilvl w:val="0"/>
                <w:numId w:val="9"/>
              </w:numPr>
              <w:spacing w:after="120"/>
              <w:ind w:left="357" w:hanging="357"/>
              <w:jc w:val="left"/>
            </w:pPr>
            <w:r>
              <w:lastRenderedPageBreak/>
              <w:t>PFD limits need to also be developed for the mobile service</w:t>
            </w:r>
          </w:p>
        </w:tc>
        <w:tc>
          <w:tcPr>
            <w:tcW w:w="4536" w:type="dxa"/>
            <w:shd w:val="clear" w:color="auto" w:fill="auto"/>
          </w:tcPr>
          <w:p w14:paraId="6D620814" w14:textId="0933B419" w:rsidR="0052640F" w:rsidRDefault="10BC0C78" w:rsidP="00901190">
            <w:pPr>
              <w:numPr>
                <w:ilvl w:val="0"/>
                <w:numId w:val="9"/>
              </w:numPr>
              <w:spacing w:after="120"/>
              <w:ind w:left="357" w:hanging="357"/>
              <w:jc w:val="left"/>
            </w:pPr>
            <w:r>
              <w:lastRenderedPageBreak/>
              <w:t>Upon agreement to the PFD limits, remove the need to protect the fixed service</w:t>
            </w:r>
          </w:p>
        </w:tc>
      </w:tr>
      <w:tr w:rsidR="0052640F" w14:paraId="12EBED89" w14:textId="77777777" w:rsidTr="10BC0C78">
        <w:tc>
          <w:tcPr>
            <w:tcW w:w="675" w:type="dxa"/>
            <w:shd w:val="clear" w:color="auto" w:fill="auto"/>
          </w:tcPr>
          <w:p w14:paraId="0EB5E791" w14:textId="77777777" w:rsidR="0052640F" w:rsidRDefault="0052640F" w:rsidP="00901190">
            <w:pPr>
              <w:spacing w:after="120"/>
              <w:jc w:val="left"/>
            </w:pPr>
            <w:r w:rsidRPr="00901190">
              <w:rPr>
                <w:b/>
                <w:bCs/>
                <w:color w:val="000000"/>
              </w:rPr>
              <w:t>16</w:t>
            </w:r>
          </w:p>
        </w:tc>
        <w:tc>
          <w:tcPr>
            <w:tcW w:w="5103" w:type="dxa"/>
            <w:shd w:val="clear" w:color="auto" w:fill="auto"/>
          </w:tcPr>
          <w:p w14:paraId="0A1F0CDA" w14:textId="77777777" w:rsidR="0052640F" w:rsidRDefault="0052640F" w:rsidP="00901190">
            <w:pPr>
              <w:spacing w:after="120"/>
              <w:jc w:val="left"/>
            </w:pPr>
            <w:r w:rsidRPr="00901190">
              <w:rPr>
                <w:color w:val="000000"/>
              </w:rPr>
              <w:t xml:space="preserve">that the </w:t>
            </w:r>
            <w:proofErr w:type="spellStart"/>
            <w:r w:rsidRPr="00901190">
              <w:rPr>
                <w:color w:val="000000"/>
              </w:rPr>
              <w:t>pfd</w:t>
            </w:r>
            <w:proofErr w:type="spellEnd"/>
            <w:r w:rsidRPr="00901190">
              <w:rPr>
                <w:color w:val="000000"/>
              </w:rPr>
              <w:t xml:space="preserve"> hard limits provided in Annex 2 shall be reviewed and, if necessary, revised by WRC-(23)</w:t>
            </w:r>
          </w:p>
        </w:tc>
        <w:tc>
          <w:tcPr>
            <w:tcW w:w="4536" w:type="dxa"/>
            <w:shd w:val="clear" w:color="auto" w:fill="auto"/>
          </w:tcPr>
          <w:p w14:paraId="110FFD37" w14:textId="77777777" w:rsidR="0052640F" w:rsidRDefault="0052640F" w:rsidP="00901190">
            <w:pPr>
              <w:spacing w:after="120"/>
              <w:jc w:val="left"/>
            </w:pPr>
          </w:p>
        </w:tc>
        <w:tc>
          <w:tcPr>
            <w:tcW w:w="4536" w:type="dxa"/>
            <w:shd w:val="clear" w:color="auto" w:fill="auto"/>
          </w:tcPr>
          <w:p w14:paraId="0504A3F1" w14:textId="77777777" w:rsidR="0052640F" w:rsidRDefault="0052640F" w:rsidP="00901190">
            <w:pPr>
              <w:numPr>
                <w:ilvl w:val="0"/>
                <w:numId w:val="9"/>
              </w:numPr>
              <w:spacing w:after="120"/>
              <w:ind w:left="357" w:hanging="357"/>
              <w:jc w:val="left"/>
            </w:pPr>
            <w:r>
              <w:t>Needs removal once PFD limits have been agreed and incorporated</w:t>
            </w:r>
          </w:p>
        </w:tc>
      </w:tr>
      <w:tr w:rsidR="0052640F" w14:paraId="51A87C2B" w14:textId="77777777" w:rsidTr="10BC0C78">
        <w:tc>
          <w:tcPr>
            <w:tcW w:w="675" w:type="dxa"/>
            <w:shd w:val="clear" w:color="auto" w:fill="auto"/>
          </w:tcPr>
          <w:p w14:paraId="111B77A1" w14:textId="77777777" w:rsidR="0052640F" w:rsidRDefault="0052640F" w:rsidP="00901190">
            <w:pPr>
              <w:spacing w:after="120"/>
              <w:jc w:val="left"/>
            </w:pPr>
            <w:r w:rsidRPr="00901190">
              <w:rPr>
                <w:b/>
                <w:bCs/>
                <w:color w:val="000000"/>
              </w:rPr>
              <w:t>17</w:t>
            </w:r>
          </w:p>
        </w:tc>
        <w:tc>
          <w:tcPr>
            <w:tcW w:w="5103" w:type="dxa"/>
            <w:shd w:val="clear" w:color="auto" w:fill="auto"/>
          </w:tcPr>
          <w:p w14:paraId="6A300573" w14:textId="77777777" w:rsidR="0052640F" w:rsidRDefault="0052640F" w:rsidP="00901190">
            <w:pPr>
              <w:spacing w:after="120"/>
              <w:jc w:val="left"/>
            </w:pPr>
            <w:r w:rsidRPr="00901190">
              <w:rPr>
                <w:color w:val="000000"/>
              </w:rPr>
              <w:t>that, in order to protect the radio astronomy service in the frequency band 14.47-14.5 GHz, administrations operating UAS in accordance with this Resolution in the frequency band 14-14.47 GHz within line-of-sight of radio astronomy stations are urged to take all practicable steps to ensure that the emissions from the UA in the frequency band 14.47-14.5 GHz do not exceed the levels and percentage of data loss given in the most recent versions of Recommendations ITU-R RA.769 and ITU-R RA.1513;</w:t>
            </w:r>
          </w:p>
        </w:tc>
        <w:tc>
          <w:tcPr>
            <w:tcW w:w="4536" w:type="dxa"/>
            <w:shd w:val="clear" w:color="auto" w:fill="auto"/>
          </w:tcPr>
          <w:p w14:paraId="2EEA1AFF" w14:textId="1D62FDE4" w:rsidR="0052640F" w:rsidRDefault="10BC0C78" w:rsidP="00901190">
            <w:pPr>
              <w:numPr>
                <w:ilvl w:val="0"/>
                <w:numId w:val="9"/>
              </w:numPr>
              <w:spacing w:after="120"/>
              <w:ind w:left="357" w:hanging="357"/>
              <w:jc w:val="left"/>
            </w:pPr>
            <w:r>
              <w:t>This provision requires a list of radio astronomy sites to be maintained and taken into account in flight planning and tactical air traffic control (ATC) in areas around radio astronomy sites, which may place unacceptable constraints on ATC</w:t>
            </w:r>
          </w:p>
        </w:tc>
        <w:tc>
          <w:tcPr>
            <w:tcW w:w="4536" w:type="dxa"/>
            <w:shd w:val="clear" w:color="auto" w:fill="auto"/>
          </w:tcPr>
          <w:p w14:paraId="54B05A4D" w14:textId="5AE66D86" w:rsidR="0052640F" w:rsidRDefault="10BC0C78" w:rsidP="00901190">
            <w:pPr>
              <w:numPr>
                <w:ilvl w:val="0"/>
                <w:numId w:val="9"/>
              </w:numPr>
              <w:spacing w:after="120"/>
              <w:ind w:left="357" w:hanging="357"/>
              <w:jc w:val="left"/>
            </w:pPr>
            <w:r>
              <w:t xml:space="preserve">Establish relevant regulatory requirements within ICAO and implement through local ATC procedures  </w:t>
            </w:r>
          </w:p>
        </w:tc>
      </w:tr>
      <w:tr w:rsidR="0052640F" w14:paraId="6AD18533" w14:textId="77777777" w:rsidTr="10BC0C78">
        <w:tc>
          <w:tcPr>
            <w:tcW w:w="675" w:type="dxa"/>
            <w:shd w:val="clear" w:color="auto" w:fill="auto"/>
          </w:tcPr>
          <w:p w14:paraId="526D80A2" w14:textId="77777777" w:rsidR="0052640F" w:rsidRDefault="0052640F" w:rsidP="00901190">
            <w:pPr>
              <w:spacing w:after="120"/>
              <w:jc w:val="left"/>
            </w:pPr>
            <w:r w:rsidRPr="00901190">
              <w:rPr>
                <w:b/>
                <w:bCs/>
                <w:color w:val="000000"/>
              </w:rPr>
              <w:t>18</w:t>
            </w:r>
          </w:p>
        </w:tc>
        <w:tc>
          <w:tcPr>
            <w:tcW w:w="5103" w:type="dxa"/>
            <w:shd w:val="clear" w:color="auto" w:fill="auto"/>
          </w:tcPr>
          <w:p w14:paraId="47C0153C" w14:textId="77777777" w:rsidR="0052640F" w:rsidRDefault="0052640F" w:rsidP="00901190">
            <w:pPr>
              <w:spacing w:after="120"/>
              <w:jc w:val="left"/>
            </w:pPr>
            <w:r w:rsidRPr="00901190">
              <w:rPr>
                <w:color w:val="000000"/>
              </w:rPr>
              <w:t xml:space="preserve">to consider the progress obtained by ICAO in the process of preparation of SARPs for UAS CNPC links, to review this Resolution at WRC-23, taking into account the results of the implementation of Resolution </w:t>
            </w:r>
            <w:r w:rsidRPr="00901190">
              <w:rPr>
                <w:b/>
                <w:bCs/>
                <w:color w:val="000000"/>
              </w:rPr>
              <w:t>156 (WRC-15)</w:t>
            </w:r>
            <w:r w:rsidRPr="00901190">
              <w:rPr>
                <w:color w:val="000000"/>
              </w:rPr>
              <w:t>, and to take necessary actions as appropriate;</w:t>
            </w:r>
          </w:p>
        </w:tc>
        <w:tc>
          <w:tcPr>
            <w:tcW w:w="4536" w:type="dxa"/>
            <w:shd w:val="clear" w:color="auto" w:fill="auto"/>
          </w:tcPr>
          <w:p w14:paraId="321FFC9E" w14:textId="10057ADE" w:rsidR="0052640F" w:rsidRPr="00E76BB3" w:rsidRDefault="10BC0C78" w:rsidP="00901190">
            <w:pPr>
              <w:numPr>
                <w:ilvl w:val="0"/>
                <w:numId w:val="9"/>
              </w:numPr>
              <w:spacing w:after="120"/>
              <w:ind w:left="357" w:hanging="357"/>
              <w:jc w:val="left"/>
            </w:pPr>
            <w:r>
              <w:t xml:space="preserve">The implications of Resolution </w:t>
            </w:r>
            <w:r w:rsidRPr="10BC0C78">
              <w:rPr>
                <w:b/>
                <w:bCs/>
              </w:rPr>
              <w:t xml:space="preserve">156 </w:t>
            </w:r>
            <w:r>
              <w:t xml:space="preserve">precludes the use of ESIMs for safety of life applications on Resolution </w:t>
            </w:r>
            <w:r w:rsidRPr="10BC0C78">
              <w:rPr>
                <w:b/>
                <w:bCs/>
              </w:rPr>
              <w:t>155</w:t>
            </w:r>
            <w:r>
              <w:t xml:space="preserve"> and needs to be identified and addressed </w:t>
            </w:r>
          </w:p>
        </w:tc>
        <w:tc>
          <w:tcPr>
            <w:tcW w:w="4536" w:type="dxa"/>
            <w:shd w:val="clear" w:color="auto" w:fill="auto"/>
          </w:tcPr>
          <w:p w14:paraId="53A5392C" w14:textId="77777777" w:rsidR="0052640F" w:rsidRDefault="00861849" w:rsidP="00901190">
            <w:pPr>
              <w:spacing w:after="120"/>
              <w:jc w:val="left"/>
            </w:pPr>
            <w:r>
              <w:t>Separation of Resolution 155 from 156 as these are two different applications of the Fixed Satellite Service.</w:t>
            </w:r>
          </w:p>
        </w:tc>
      </w:tr>
      <w:tr w:rsidR="0052640F" w14:paraId="084A8906" w14:textId="77777777" w:rsidTr="10BC0C78">
        <w:tc>
          <w:tcPr>
            <w:tcW w:w="675" w:type="dxa"/>
            <w:shd w:val="clear" w:color="auto" w:fill="auto"/>
          </w:tcPr>
          <w:p w14:paraId="2847A633" w14:textId="77777777" w:rsidR="0052640F" w:rsidRDefault="0052640F" w:rsidP="00901190">
            <w:pPr>
              <w:spacing w:after="120"/>
              <w:jc w:val="left"/>
            </w:pPr>
            <w:r w:rsidRPr="00901190">
              <w:rPr>
                <w:b/>
                <w:bCs/>
                <w:color w:val="000000"/>
              </w:rPr>
              <w:t>19</w:t>
            </w:r>
          </w:p>
        </w:tc>
        <w:tc>
          <w:tcPr>
            <w:tcW w:w="5103" w:type="dxa"/>
            <w:shd w:val="clear" w:color="auto" w:fill="auto"/>
          </w:tcPr>
          <w:p w14:paraId="5A49FBC2" w14:textId="77777777" w:rsidR="0052640F" w:rsidRDefault="0052640F" w:rsidP="00901190">
            <w:pPr>
              <w:spacing w:after="120"/>
              <w:jc w:val="left"/>
            </w:pPr>
            <w:r w:rsidRPr="00901190">
              <w:rPr>
                <w:color w:val="000000"/>
              </w:rPr>
              <w:t>that the ITU Radiocommunication Sector (ITU-R) studies on technical, operational and regulatory aspects in relation to the implementation of this Resolution shall be completed, together with the adoption of relevant ITU-R Recommendations defining the technical characteristics of CNPC links and conditions of sharing with other services</w:t>
            </w:r>
          </w:p>
        </w:tc>
        <w:tc>
          <w:tcPr>
            <w:tcW w:w="4536" w:type="dxa"/>
            <w:shd w:val="clear" w:color="auto" w:fill="auto"/>
          </w:tcPr>
          <w:p w14:paraId="6B699379" w14:textId="77777777" w:rsidR="0052640F" w:rsidRDefault="0052640F" w:rsidP="00901190">
            <w:pPr>
              <w:spacing w:after="120"/>
              <w:jc w:val="left"/>
            </w:pPr>
          </w:p>
        </w:tc>
        <w:tc>
          <w:tcPr>
            <w:tcW w:w="4536" w:type="dxa"/>
            <w:shd w:val="clear" w:color="auto" w:fill="auto"/>
          </w:tcPr>
          <w:p w14:paraId="5571039E" w14:textId="77777777" w:rsidR="0052640F" w:rsidRDefault="0052640F" w:rsidP="00901190">
            <w:pPr>
              <w:numPr>
                <w:ilvl w:val="0"/>
                <w:numId w:val="9"/>
              </w:numPr>
              <w:spacing w:after="120"/>
              <w:ind w:left="357" w:hanging="357"/>
              <w:jc w:val="left"/>
            </w:pPr>
            <w:r>
              <w:t>Needs to be removed once studies have been completed or updated if studies are to continue past WRC-23</w:t>
            </w:r>
          </w:p>
        </w:tc>
      </w:tr>
    </w:tbl>
    <w:p w14:paraId="3FE9F23F" w14:textId="77777777" w:rsidR="00FC6D9D" w:rsidRDefault="00FC6D9D" w:rsidP="00D40620">
      <w:pPr>
        <w:spacing w:before="100" w:beforeAutospacing="1" w:after="120"/>
        <w:jc w:val="center"/>
      </w:pPr>
    </w:p>
    <w:sectPr w:rsidR="00FC6D9D" w:rsidSect="0052640F">
      <w:pgSz w:w="15842" w:h="12242" w:orient="landscape" w:code="1"/>
      <w:pgMar w:top="1247" w:right="567" w:bottom="1247" w:left="56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58C65" w14:textId="77777777" w:rsidR="008B7FA2" w:rsidRDefault="008B7FA2">
      <w:r>
        <w:separator/>
      </w:r>
    </w:p>
  </w:endnote>
  <w:endnote w:type="continuationSeparator" w:id="0">
    <w:p w14:paraId="1BA386C2" w14:textId="77777777" w:rsidR="008B7FA2" w:rsidRDefault="008B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EF7D7" w14:textId="77777777" w:rsidR="00034BEB" w:rsidRDefault="00034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C6034" w14:textId="77777777" w:rsidR="00034BEB" w:rsidRDefault="00034B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30952" w14:textId="4321AEA1"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034BEB">
      <w:rPr>
        <w:noProof/>
        <w:sz w:val="18"/>
        <w:lang w:val="fr-FR"/>
      </w:rPr>
      <w:t>8</w:t>
    </w:r>
    <w:r>
      <w:rPr>
        <w:sz w:val="18"/>
        <w:lang w:val="en-US"/>
      </w:rPr>
      <w:fldChar w:fldCharType="end"/>
    </w:r>
    <w:r>
      <w:rPr>
        <w:sz w:val="18"/>
        <w:lang w:val="fr-FR"/>
      </w:rPr>
      <w:t xml:space="preserve"> pages)</w:t>
    </w:r>
  </w:p>
  <w:p w14:paraId="6CCF264A" w14:textId="21BA1CA6"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034BEB">
      <w:rPr>
        <w:noProof/>
        <w:sz w:val="18"/>
        <w:lang w:val="en-US"/>
      </w:rPr>
      <w:t>FSMP-WG11-WP15_Resolution 155 Issues-Rev1.docx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970F9" w14:textId="77777777" w:rsidR="008B7FA2" w:rsidRDefault="008B7FA2">
      <w:r>
        <w:separator/>
      </w:r>
    </w:p>
  </w:footnote>
  <w:footnote w:type="continuationSeparator" w:id="0">
    <w:p w14:paraId="33E7C79D" w14:textId="77777777" w:rsidR="008B7FA2" w:rsidRDefault="008B7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0E321" w14:textId="18C54759" w:rsidR="00770160" w:rsidRDefault="000D26D5" w:rsidP="00F56F90">
    <w:pPr>
      <w:tabs>
        <w:tab w:val="center" w:pos="4876"/>
      </w:tabs>
      <w:spacing w:after="600"/>
    </w:pPr>
    <w:r>
      <w:t>FS</w:t>
    </w:r>
    <w:r w:rsidR="00725205">
      <w:t>MP</w:t>
    </w:r>
    <w:r w:rsidR="007E6A06">
      <w:t>-WG</w:t>
    </w:r>
    <w:r w:rsidR="00770160">
      <w:t>/</w:t>
    </w:r>
    <w:r w:rsidR="00C32F4A">
      <w:t>11</w:t>
    </w:r>
    <w:r w:rsidR="007E6A06">
      <w:t xml:space="preserve"> </w:t>
    </w:r>
    <w:r w:rsidR="00770160">
      <w:t>WP/</w:t>
    </w:r>
    <w:r w:rsidR="00034BEB">
      <w:t>15 (rev1)</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034BEB">
      <w:rPr>
        <w:rStyle w:val="PageNumber"/>
        <w:noProof/>
      </w:rPr>
      <w:t>8</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930E1" w14:textId="447A3136"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034BEB">
      <w:rPr>
        <w:rStyle w:val="PageNumber"/>
        <w:noProof/>
      </w:rPr>
      <w:t>7</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11</w:t>
    </w:r>
    <w:r w:rsidR="007E6A06">
      <w:t xml:space="preserve"> </w:t>
    </w:r>
    <w:r>
      <w:t>WP/</w:t>
    </w:r>
    <w:r w:rsidR="00034BEB">
      <w:t>15 (rev1)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88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77"/>
      <w:gridCol w:w="4021"/>
      <w:gridCol w:w="3888"/>
    </w:tblGrid>
    <w:tr w:rsidR="00920C27" w14:paraId="51B06C16" w14:textId="77777777" w:rsidTr="00034BEB">
      <w:trPr>
        <w:trHeight w:val="639"/>
      </w:trPr>
      <w:tc>
        <w:tcPr>
          <w:tcW w:w="1977" w:type="dxa"/>
          <w:shd w:val="clear" w:color="auto" w:fill="FFFFFF"/>
        </w:tcPr>
        <w:p w14:paraId="61CDCEAD" w14:textId="77777777" w:rsidR="00920C27" w:rsidRDefault="000263B9" w:rsidP="00664C07">
          <w:bookmarkStart w:id="3" w:name="logo"/>
          <w:r w:rsidRPr="00484298">
            <w:rPr>
              <w:noProof/>
              <w:lang w:val="en-CA" w:eastAsia="zh-CN"/>
            </w:rPr>
            <w:drawing>
              <wp:inline distT="0" distB="0" distL="0" distR="0" wp14:anchorId="705D0907" wp14:editId="07777777">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3"/>
        </w:p>
      </w:tc>
      <w:tc>
        <w:tcPr>
          <w:tcW w:w="4021" w:type="dxa"/>
          <w:shd w:val="clear" w:color="auto" w:fill="FFFFFF"/>
          <w:tcMar>
            <w:right w:w="0" w:type="dxa"/>
          </w:tcMar>
        </w:tcPr>
        <w:p w14:paraId="1D10BFCE" w14:textId="77777777" w:rsidR="00920C27" w:rsidRPr="00066AB7" w:rsidRDefault="000263B9" w:rsidP="00664C0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7728" behindDoc="0" locked="0" layoutInCell="1" allowOverlap="1" wp14:anchorId="1B9FE9B8" wp14:editId="07777777">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31D670C">
                  <v:line id="Line 1"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pt,27pt" to="190pt,27pt" w14:anchorId="383BF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XKvwEAAGkDAAAOAAAAZHJzL2Uyb0RvYy54bWysU02P0zAQvSPxHyzfadLAIoia7qHLcilQ&#10;aZcfMLWdxML2WLbbpP+esfsBCzdEDtaM583zzJvJ6n62hh1ViBpdx5eLmjPlBErtho5/f35884Gz&#10;mMBJMOhUx08q8vv161erybeqwRGNVIERiYvt5Ds+puTbqopiVBbiAr1yFOwxWEjkhqGSASZit6Zq&#10;6vp9NWGQPqBQMdLtwznI14W/75VI3/o+qsRMx6m2VM5Qzn0+q/UK2iGAH7W4lAH/UIUF7ejRG9UD&#10;JGCHoP+isloEjNinhUBbYd9roUoP1M2y/qObpxG8Kr2QONHfZIr/j1Z8Pe4C07LjDWcOLI1oq51i&#10;y6zM5GNLgI3bhdybmN2T36L4EZnDzQhuUKXC55OntJJRvUjJTvTEv5++oCQMHBIWmeY+2ExJArC5&#10;TON0m4aaExN02byr67c1DU1cYxW010QfYvqs0LJsdNxQzYUYjtuYqHSCXiH5HYeP2pgybOPY1PGP&#10;d81dSYhotMzBDIth2G9MYEfI61K+rAORvYAFPDhZyEYF8tPFTqDN2Sa8cZR27f+s5B7laRcyXb6n&#10;eRbiy+7lhfndL6hff8j6JwAAAP//AwBQSwMEFAAGAAgAAAAhABes0mLbAAAABwEAAA8AAABkcnMv&#10;ZG93bnJldi54bWxMj09PwzAMxe9IfIfISFwmltABmkrTCQG9cWGAuHqNaSsap2uyrfDpMdoBTv7z&#10;rPd+LlaT79WextgFtnA5N6CI6+A6biy8vlQXS1AxITvsA5OFL4qwKk9PCsxdOPAz7depUWLCMUcL&#10;bUpDrnWsW/IY52EgFu0jjB6TjGOj3YgHMfe9zoy50R47loQWB7pvqf5c77yFWL3Rtvqe1TPzvmgC&#10;ZduHp0e09vxsursFlWhKf8fwiy/oUArTJuzYRdVbyOSTZOH6SqrIi6WRZnNc6LLQ//nLHwAAAP//&#10;AwBQSwECLQAUAAYACAAAACEAtoM4kv4AAADhAQAAEwAAAAAAAAAAAAAAAAAAAAAAW0NvbnRlbnRf&#10;VHlwZXNdLnhtbFBLAQItABQABgAIAAAAIQA4/SH/1gAAAJQBAAALAAAAAAAAAAAAAAAAAC8BAABf&#10;cmVscy8ucmVsc1BLAQItABQABgAIAAAAIQD3NUXKvwEAAGkDAAAOAAAAAAAAAAAAAAAAAC4CAABk&#10;cnMvZTJvRG9jLnhtbFBLAQItABQABgAIAAAAIQAXrNJi2wAAAAcBAAAPAAAAAAAAAAAAAAAAABkE&#10;AABkcnMvZG93bnJldi54bWxQSwUGAAAAAAQABADzAAAAIQUAAAAA&#10;"/>
                </w:pict>
              </mc:Fallback>
            </mc:AlternateContent>
          </w:r>
        </w:p>
        <w:p w14:paraId="0B5403A1"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6BB9E253" w14:textId="77777777" w:rsidR="00920C27" w:rsidRPr="00066AB7" w:rsidRDefault="00920C27" w:rsidP="00664C07">
          <w:pPr>
            <w:rPr>
              <w:rFonts w:ascii="Arial" w:hAnsi="Arial" w:cs="Arial"/>
              <w:szCs w:val="22"/>
            </w:rPr>
          </w:pPr>
        </w:p>
        <w:p w14:paraId="106BF3C3"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888" w:type="dxa"/>
          <w:shd w:val="clear" w:color="auto" w:fill="FFFFFF"/>
        </w:tcPr>
        <w:tbl>
          <w:tblPr>
            <w:tblW w:w="2849"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49"/>
          </w:tblGrid>
          <w:tr w:rsidR="00920C27" w14:paraId="14E5BFF1" w14:textId="77777777" w:rsidTr="00034BEB">
            <w:trPr>
              <w:trHeight w:val="165"/>
              <w:jc w:val="right"/>
            </w:trPr>
            <w:tc>
              <w:tcPr>
                <w:tcW w:w="0" w:type="auto"/>
              </w:tcPr>
              <w:p w14:paraId="7AD3975E" w14:textId="1CFE182E" w:rsidR="00920C27" w:rsidRPr="00066AB7" w:rsidRDefault="000D26D5" w:rsidP="00034BEB">
                <w:pPr>
                  <w:framePr w:hSpace="180" w:wrap="around" w:vAnchor="text" w:hAnchor="text" w:y="1"/>
                  <w:suppressOverlap/>
                  <w:jc w:val="left"/>
                  <w:rPr>
                    <w:szCs w:val="22"/>
                  </w:rPr>
                </w:pPr>
                <w:bookmarkStart w:id="4" w:name="document_no"/>
                <w:r>
                  <w:rPr>
                    <w:szCs w:val="22"/>
                  </w:rPr>
                  <w:t>FS</w:t>
                </w:r>
                <w:r w:rsidR="00725205">
                  <w:rPr>
                    <w:szCs w:val="22"/>
                  </w:rPr>
                  <w:t>MP</w:t>
                </w:r>
                <w:r w:rsidR="007E6A06">
                  <w:rPr>
                    <w:szCs w:val="22"/>
                  </w:rPr>
                  <w:t>-WG</w:t>
                </w:r>
                <w:bookmarkStart w:id="5" w:name="_GoBack"/>
                <w:bookmarkEnd w:id="5"/>
                <w:r w:rsidR="00920C27" w:rsidRPr="00066AB7">
                  <w:rPr>
                    <w:szCs w:val="22"/>
                  </w:rPr>
                  <w:t>/</w:t>
                </w:r>
                <w:r w:rsidR="00885035">
                  <w:rPr>
                    <w:szCs w:val="22"/>
                  </w:rPr>
                  <w:t>1</w:t>
                </w:r>
                <w:r w:rsidR="00C32F4A">
                  <w:rPr>
                    <w:szCs w:val="22"/>
                  </w:rPr>
                  <w:t>1</w:t>
                </w:r>
                <w:r w:rsidR="007E6A06">
                  <w:rPr>
                    <w:szCs w:val="22"/>
                  </w:rPr>
                  <w:t xml:space="preserve"> </w:t>
                </w:r>
                <w:r w:rsidR="00920C27" w:rsidRPr="00066AB7">
                  <w:rPr>
                    <w:szCs w:val="22"/>
                  </w:rPr>
                  <w:t>WP/</w:t>
                </w:r>
                <w:bookmarkEnd w:id="4"/>
                <w:r w:rsidR="00034BEB">
                  <w:rPr>
                    <w:szCs w:val="22"/>
                  </w:rPr>
                  <w:t>15 (rev1)</w:t>
                </w:r>
              </w:p>
              <w:p w14:paraId="42087B9B" w14:textId="54AEA984" w:rsidR="00920C27" w:rsidRPr="00066AB7" w:rsidRDefault="00885035" w:rsidP="00034BEB">
                <w:pPr>
                  <w:framePr w:hSpace="180" w:wrap="around" w:vAnchor="text" w:hAnchor="text" w:y="1"/>
                  <w:suppressOverlap/>
                  <w:jc w:val="left"/>
                  <w:rPr>
                    <w:b/>
                  </w:rPr>
                </w:pPr>
                <w:bookmarkStart w:id="6" w:name="restricted"/>
                <w:bookmarkStart w:id="7" w:name="addendum_corrigendum_appendix"/>
                <w:bookmarkStart w:id="8" w:name="revision_no"/>
                <w:bookmarkStart w:id="9" w:name="revision_date"/>
                <w:bookmarkStart w:id="10" w:name="related_to"/>
                <w:bookmarkEnd w:id="6"/>
                <w:bookmarkEnd w:id="7"/>
                <w:bookmarkEnd w:id="8"/>
                <w:bookmarkEnd w:id="9"/>
                <w:bookmarkEnd w:id="10"/>
                <w:r>
                  <w:rPr>
                    <w:sz w:val="18"/>
                    <w:szCs w:val="18"/>
                  </w:rPr>
                  <w:t>202</w:t>
                </w:r>
                <w:r w:rsidR="00C32F4A">
                  <w:rPr>
                    <w:sz w:val="18"/>
                    <w:szCs w:val="18"/>
                  </w:rPr>
                  <w:t>1</w:t>
                </w:r>
                <w:r>
                  <w:rPr>
                    <w:sz w:val="18"/>
                    <w:szCs w:val="18"/>
                  </w:rPr>
                  <w:t>-0</w:t>
                </w:r>
                <w:r w:rsidR="00C32F4A">
                  <w:rPr>
                    <w:sz w:val="18"/>
                    <w:szCs w:val="18"/>
                  </w:rPr>
                  <w:t>2</w:t>
                </w:r>
                <w:r>
                  <w:rPr>
                    <w:sz w:val="18"/>
                    <w:szCs w:val="18"/>
                  </w:rPr>
                  <w:t>-</w:t>
                </w:r>
                <w:r w:rsidR="00034BEB">
                  <w:rPr>
                    <w:sz w:val="18"/>
                    <w:szCs w:val="18"/>
                  </w:rPr>
                  <w:t>26</w:t>
                </w:r>
                <w:r w:rsidR="00920C27" w:rsidRPr="00066AB7">
                  <w:rPr>
                    <w:b/>
                    <w:sz w:val="18"/>
                    <w:szCs w:val="18"/>
                  </w:rPr>
                  <w:t xml:space="preserve"> </w:t>
                </w:r>
                <w:bookmarkStart w:id="11" w:name="info_paper"/>
                <w:bookmarkEnd w:id="11"/>
              </w:p>
            </w:tc>
          </w:tr>
          <w:tr w:rsidR="00920C27" w14:paraId="23DE523C" w14:textId="77777777" w:rsidTr="00034BEB">
            <w:trPr>
              <w:trHeight w:val="85"/>
              <w:jc w:val="right"/>
            </w:trPr>
            <w:tc>
              <w:tcPr>
                <w:tcW w:w="0" w:type="auto"/>
              </w:tcPr>
              <w:p w14:paraId="52E56223" w14:textId="77777777" w:rsidR="00920C27" w:rsidRPr="00066AB7" w:rsidRDefault="00920C27" w:rsidP="00034BEB">
                <w:pPr>
                  <w:framePr w:hSpace="180" w:wrap="around" w:vAnchor="text" w:hAnchor="text" w:y="1"/>
                  <w:suppressOverlap/>
                  <w:jc w:val="left"/>
                  <w:rPr>
                    <w:szCs w:val="22"/>
                  </w:rPr>
                </w:pPr>
              </w:p>
            </w:tc>
          </w:tr>
        </w:tbl>
        <w:p w14:paraId="07547A01"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6830BACF" w14:textId="1E657783" w:rsidR="00034BEB" w:rsidRDefault="00A12CBA" w:rsidP="00034BEB">
    <w:pPr>
      <w:pStyle w:val="3para"/>
      <w:numPr>
        <w:ilvl w:val="0"/>
        <w:numId w:val="0"/>
      </w:numPr>
      <w:tabs>
        <w:tab w:val="left" w:pos="6480"/>
      </w:tabs>
      <w:spacing w:after="0"/>
      <w:outlineLvl w:val="9"/>
      <w:rPr>
        <w:b/>
      </w:rPr>
    </w:pPr>
    <w:r>
      <w:tab/>
    </w:r>
  </w:p>
  <w:p w14:paraId="79A4719A" w14:textId="667848A9" w:rsidR="00770160" w:rsidRDefault="00770160">
    <w:pPr>
      <w:pStyle w:val="smallfont"/>
      <w:tabs>
        <w:tab w:val="clear" w:pos="6660"/>
        <w:tab w:val="left" w:pos="6480"/>
      </w:tabs>
      <w:spacing w:after="60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multilevel"/>
    <w:tmpl w:val="F490B8D8"/>
    <w:lvl w:ilvl="0">
      <w:start w:val="1"/>
      <w:numFmt w:val="decimal"/>
      <w:pStyle w:val="List123"/>
      <w:lvlText w:val="%1)"/>
      <w:lvlJc w:val="left"/>
      <w:pPr>
        <w:tabs>
          <w:tab w:val="num" w:pos="2160"/>
        </w:tabs>
        <w:ind w:left="21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1E69C5"/>
    <w:multiLevelType w:val="hybridMultilevel"/>
    <w:tmpl w:val="2074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27111"/>
    <w:multiLevelType w:val="hybridMultilevel"/>
    <w:tmpl w:val="EBCC7DA0"/>
    <w:lvl w:ilvl="0" w:tplc="2258FE06">
      <w:start w:val="1"/>
      <w:numFmt w:val="lowerLetter"/>
      <w:lvlText w:val="%1)"/>
      <w:lvlJc w:val="left"/>
      <w:pPr>
        <w:ind w:left="2220" w:hanging="360"/>
      </w:pPr>
      <w:rPr>
        <w:rFonts w:hint="default"/>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5"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4C3F3F0E"/>
    <w:multiLevelType w:val="hybridMultilevel"/>
    <w:tmpl w:val="750CC32A"/>
    <w:lvl w:ilvl="0" w:tplc="B942CEFA">
      <w:start w:val="1"/>
      <w:numFmt w:val="bullet"/>
      <w:lvlText w:val=""/>
      <w:lvlJc w:val="left"/>
      <w:pPr>
        <w:ind w:left="720" w:hanging="360"/>
      </w:pPr>
      <w:rPr>
        <w:rFonts w:ascii="Symbol" w:hAnsi="Symbol" w:hint="default"/>
      </w:rPr>
    </w:lvl>
    <w:lvl w:ilvl="1" w:tplc="C36A6DA0">
      <w:start w:val="1"/>
      <w:numFmt w:val="bullet"/>
      <w:lvlText w:val="o"/>
      <w:lvlJc w:val="left"/>
      <w:pPr>
        <w:ind w:left="1440" w:hanging="360"/>
      </w:pPr>
      <w:rPr>
        <w:rFonts w:ascii="Courier New" w:hAnsi="Courier New" w:hint="default"/>
      </w:rPr>
    </w:lvl>
    <w:lvl w:ilvl="2" w:tplc="1AACB978">
      <w:start w:val="1"/>
      <w:numFmt w:val="bullet"/>
      <w:lvlText w:val=""/>
      <w:lvlJc w:val="left"/>
      <w:pPr>
        <w:ind w:left="2160" w:hanging="360"/>
      </w:pPr>
      <w:rPr>
        <w:rFonts w:ascii="Symbol" w:hAnsi="Symbol" w:hint="default"/>
      </w:rPr>
    </w:lvl>
    <w:lvl w:ilvl="3" w:tplc="DDC20622">
      <w:start w:val="1"/>
      <w:numFmt w:val="bullet"/>
      <w:lvlText w:val=""/>
      <w:lvlJc w:val="left"/>
      <w:pPr>
        <w:ind w:left="2880" w:hanging="360"/>
      </w:pPr>
      <w:rPr>
        <w:rFonts w:ascii="Symbol" w:hAnsi="Symbol" w:hint="default"/>
      </w:rPr>
    </w:lvl>
    <w:lvl w:ilvl="4" w:tplc="B1F0DCEC">
      <w:start w:val="1"/>
      <w:numFmt w:val="bullet"/>
      <w:lvlText w:val="o"/>
      <w:lvlJc w:val="left"/>
      <w:pPr>
        <w:ind w:left="3600" w:hanging="360"/>
      </w:pPr>
      <w:rPr>
        <w:rFonts w:ascii="Courier New" w:hAnsi="Courier New" w:hint="default"/>
      </w:rPr>
    </w:lvl>
    <w:lvl w:ilvl="5" w:tplc="04904A02">
      <w:start w:val="1"/>
      <w:numFmt w:val="bullet"/>
      <w:lvlText w:val=""/>
      <w:lvlJc w:val="left"/>
      <w:pPr>
        <w:ind w:left="4320" w:hanging="360"/>
      </w:pPr>
      <w:rPr>
        <w:rFonts w:ascii="Wingdings" w:hAnsi="Wingdings" w:hint="default"/>
      </w:rPr>
    </w:lvl>
    <w:lvl w:ilvl="6" w:tplc="7B469A98">
      <w:start w:val="1"/>
      <w:numFmt w:val="bullet"/>
      <w:lvlText w:val=""/>
      <w:lvlJc w:val="left"/>
      <w:pPr>
        <w:ind w:left="5040" w:hanging="360"/>
      </w:pPr>
      <w:rPr>
        <w:rFonts w:ascii="Symbol" w:hAnsi="Symbol" w:hint="default"/>
      </w:rPr>
    </w:lvl>
    <w:lvl w:ilvl="7" w:tplc="51AA6C1E">
      <w:start w:val="1"/>
      <w:numFmt w:val="bullet"/>
      <w:lvlText w:val="o"/>
      <w:lvlJc w:val="left"/>
      <w:pPr>
        <w:ind w:left="5760" w:hanging="360"/>
      </w:pPr>
      <w:rPr>
        <w:rFonts w:ascii="Courier New" w:hAnsi="Courier New" w:hint="default"/>
      </w:rPr>
    </w:lvl>
    <w:lvl w:ilvl="8" w:tplc="176CF246">
      <w:start w:val="1"/>
      <w:numFmt w:val="bullet"/>
      <w:lvlText w:val=""/>
      <w:lvlJc w:val="left"/>
      <w:pPr>
        <w:ind w:left="6480" w:hanging="360"/>
      </w:pPr>
      <w:rPr>
        <w:rFonts w:ascii="Wingdings" w:hAnsi="Wingdings" w:hint="default"/>
      </w:rPr>
    </w:lvl>
  </w:abstractNum>
  <w:abstractNum w:abstractNumId="7" w15:restartNumberingAfterBreak="0">
    <w:nsid w:val="6486441E"/>
    <w:multiLevelType w:val="hybridMultilevel"/>
    <w:tmpl w:val="7002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4E637C"/>
    <w:multiLevelType w:val="hybridMultilevel"/>
    <w:tmpl w:val="DCF4410C"/>
    <w:lvl w:ilvl="0" w:tplc="FBE0890C">
      <w:start w:val="1"/>
      <w:numFmt w:val="lowerLetter"/>
      <w:pStyle w:val="Listabc"/>
      <w:lvlText w:val="%1)"/>
      <w:lvlJc w:val="left"/>
      <w:pPr>
        <w:tabs>
          <w:tab w:val="num" w:pos="360"/>
        </w:tabs>
        <w:ind w:left="360" w:hanging="360"/>
      </w:pPr>
    </w:lvl>
    <w:lvl w:ilvl="1" w:tplc="F3467F32">
      <w:numFmt w:val="decimal"/>
      <w:lvlText w:val=""/>
      <w:lvlJc w:val="left"/>
    </w:lvl>
    <w:lvl w:ilvl="2" w:tplc="36E8E20E">
      <w:numFmt w:val="decimal"/>
      <w:lvlText w:val=""/>
      <w:lvlJc w:val="left"/>
    </w:lvl>
    <w:lvl w:ilvl="3" w:tplc="F4DE8EBC">
      <w:numFmt w:val="decimal"/>
      <w:lvlText w:val=""/>
      <w:lvlJc w:val="left"/>
    </w:lvl>
    <w:lvl w:ilvl="4" w:tplc="5A1C53AC">
      <w:numFmt w:val="decimal"/>
      <w:lvlText w:val=""/>
      <w:lvlJc w:val="left"/>
    </w:lvl>
    <w:lvl w:ilvl="5" w:tplc="4DA4F4DC">
      <w:numFmt w:val="decimal"/>
      <w:lvlText w:val=""/>
      <w:lvlJc w:val="left"/>
    </w:lvl>
    <w:lvl w:ilvl="6" w:tplc="415A82DA">
      <w:numFmt w:val="decimal"/>
      <w:lvlText w:val=""/>
      <w:lvlJc w:val="left"/>
    </w:lvl>
    <w:lvl w:ilvl="7" w:tplc="573C25FA">
      <w:numFmt w:val="decimal"/>
      <w:lvlText w:val=""/>
      <w:lvlJc w:val="left"/>
    </w:lvl>
    <w:lvl w:ilvl="8" w:tplc="531480AC">
      <w:numFmt w:val="decimal"/>
      <w:lvlText w:val=""/>
      <w:lvlJc w:val="left"/>
    </w:lvl>
  </w:abstractNum>
  <w:num w:numId="1">
    <w:abstractNumId w:val="6"/>
  </w:num>
  <w:num w:numId="2">
    <w:abstractNumId w:val="5"/>
  </w:num>
  <w:num w:numId="3">
    <w:abstractNumId w:val="8"/>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263B9"/>
    <w:rsid w:val="000273D2"/>
    <w:rsid w:val="000338E0"/>
    <w:rsid w:val="00034BEB"/>
    <w:rsid w:val="000545FE"/>
    <w:rsid w:val="000B7A1F"/>
    <w:rsid w:val="000C5ABF"/>
    <w:rsid w:val="000D26D5"/>
    <w:rsid w:val="000D3F11"/>
    <w:rsid w:val="000E218A"/>
    <w:rsid w:val="00192137"/>
    <w:rsid w:val="001A1FBD"/>
    <w:rsid w:val="001A3586"/>
    <w:rsid w:val="001F3910"/>
    <w:rsid w:val="00216BAF"/>
    <w:rsid w:val="002318AF"/>
    <w:rsid w:val="00242DB4"/>
    <w:rsid w:val="002A6A38"/>
    <w:rsid w:val="002C2D0B"/>
    <w:rsid w:val="0034236B"/>
    <w:rsid w:val="003715A0"/>
    <w:rsid w:val="003A6272"/>
    <w:rsid w:val="003D7FD8"/>
    <w:rsid w:val="003E798B"/>
    <w:rsid w:val="003F79D1"/>
    <w:rsid w:val="00423C6F"/>
    <w:rsid w:val="0044527E"/>
    <w:rsid w:val="004735BC"/>
    <w:rsid w:val="0049280E"/>
    <w:rsid w:val="00492CD2"/>
    <w:rsid w:val="00505F6E"/>
    <w:rsid w:val="0052640F"/>
    <w:rsid w:val="00560EF8"/>
    <w:rsid w:val="005F29B6"/>
    <w:rsid w:val="00625E2A"/>
    <w:rsid w:val="0064547E"/>
    <w:rsid w:val="00664C07"/>
    <w:rsid w:val="006748D3"/>
    <w:rsid w:val="00697FF8"/>
    <w:rsid w:val="00710C99"/>
    <w:rsid w:val="00725205"/>
    <w:rsid w:val="00760654"/>
    <w:rsid w:val="00770160"/>
    <w:rsid w:val="00777B51"/>
    <w:rsid w:val="007B2D59"/>
    <w:rsid w:val="007E6A06"/>
    <w:rsid w:val="007F7EA4"/>
    <w:rsid w:val="00860FB4"/>
    <w:rsid w:val="00861849"/>
    <w:rsid w:val="00885035"/>
    <w:rsid w:val="00896451"/>
    <w:rsid w:val="008B54C4"/>
    <w:rsid w:val="008B7FA2"/>
    <w:rsid w:val="00901190"/>
    <w:rsid w:val="0090204A"/>
    <w:rsid w:val="00920B80"/>
    <w:rsid w:val="00920C27"/>
    <w:rsid w:val="009602EE"/>
    <w:rsid w:val="00984205"/>
    <w:rsid w:val="009E2D6A"/>
    <w:rsid w:val="00A03CFF"/>
    <w:rsid w:val="00A12CBA"/>
    <w:rsid w:val="00A232A8"/>
    <w:rsid w:val="00A4351D"/>
    <w:rsid w:val="00A801C5"/>
    <w:rsid w:val="00A95976"/>
    <w:rsid w:val="00AB5710"/>
    <w:rsid w:val="00AC611E"/>
    <w:rsid w:val="00B3547E"/>
    <w:rsid w:val="00BA2C98"/>
    <w:rsid w:val="00BB37EF"/>
    <w:rsid w:val="00BC2564"/>
    <w:rsid w:val="00BC5391"/>
    <w:rsid w:val="00C2608A"/>
    <w:rsid w:val="00C32F4A"/>
    <w:rsid w:val="00C6020D"/>
    <w:rsid w:val="00C87F3B"/>
    <w:rsid w:val="00C907F1"/>
    <w:rsid w:val="00CE4153"/>
    <w:rsid w:val="00CF72A2"/>
    <w:rsid w:val="00D22255"/>
    <w:rsid w:val="00D40620"/>
    <w:rsid w:val="00D8375B"/>
    <w:rsid w:val="00D94FD3"/>
    <w:rsid w:val="00DF76D3"/>
    <w:rsid w:val="00E7263C"/>
    <w:rsid w:val="00E73E03"/>
    <w:rsid w:val="00E76BB3"/>
    <w:rsid w:val="00E77340"/>
    <w:rsid w:val="00EB1EAC"/>
    <w:rsid w:val="00EB4DFB"/>
    <w:rsid w:val="00EF61CD"/>
    <w:rsid w:val="00F56F90"/>
    <w:rsid w:val="00F800EC"/>
    <w:rsid w:val="00F975FD"/>
    <w:rsid w:val="00FC6D9D"/>
    <w:rsid w:val="00FE76B8"/>
    <w:rsid w:val="00FF1252"/>
    <w:rsid w:val="10BC0C78"/>
    <w:rsid w:val="6BA0D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462C05"/>
  <w15:chartTrackingRefBased/>
  <w15:docId w15:val="{8305F63A-15AF-4FCD-B14A-FD7E75EF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2"/>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3"/>
      </w:numPr>
      <w:spacing w:after="240"/>
      <w:ind w:left="1800"/>
    </w:pPr>
    <w:rPr>
      <w:noProof/>
      <w:sz w:val="22"/>
      <w:lang w:val="en-AU" w:eastAsia="en-US"/>
    </w:rPr>
  </w:style>
  <w:style w:type="paragraph" w:customStyle="1" w:styleId="List123">
    <w:name w:val="List_1_2_3"/>
    <w:basedOn w:val="Normal"/>
    <w:pPr>
      <w:numPr>
        <w:numId w:val="4"/>
      </w:numPr>
      <w:spacing w:after="240"/>
    </w:pPr>
  </w:style>
  <w:style w:type="paragraph" w:customStyle="1" w:styleId="List-">
    <w:name w:val="List_-"/>
    <w:basedOn w:val="Normal"/>
    <w:pPr>
      <w:numPr>
        <w:numId w:val="5"/>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table" w:styleId="TableGrid">
    <w:name w:val="Table Grid"/>
    <w:basedOn w:val="TableNormal"/>
    <w:rsid w:val="005F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lang w:val="en-GB" w:eastAsia="en-US"/>
    </w:rPr>
  </w:style>
  <w:style w:type="character" w:styleId="CommentReference">
    <w:name w:val="annotation reference"/>
    <w:basedOn w:val="DefaultParagraphFont"/>
    <w:rPr>
      <w:sz w:val="16"/>
      <w:szCs w:val="16"/>
    </w:rPr>
  </w:style>
  <w:style w:type="paragraph" w:styleId="Revision">
    <w:name w:val="Revision"/>
    <w:hidden/>
    <w:uiPriority w:val="99"/>
    <w:semiHidden/>
    <w:rsid w:val="00BC2564"/>
    <w:rPr>
      <w:sz w:val="22"/>
      <w:lang w:val="en-GB" w:eastAsia="en-US"/>
    </w:rPr>
  </w:style>
  <w:style w:type="paragraph" w:styleId="CommentSubject">
    <w:name w:val="annotation subject"/>
    <w:basedOn w:val="CommentText"/>
    <w:next w:val="CommentText"/>
    <w:link w:val="CommentSubjectChar"/>
    <w:rsid w:val="00BC2564"/>
    <w:rPr>
      <w:b/>
      <w:bCs/>
    </w:rPr>
  </w:style>
  <w:style w:type="character" w:customStyle="1" w:styleId="CommentSubjectChar">
    <w:name w:val="Comment Subject Char"/>
    <w:basedOn w:val="CommentTextChar"/>
    <w:link w:val="CommentSubject"/>
    <w:rsid w:val="00BC2564"/>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474233">
      <w:bodyDiv w:val="1"/>
      <w:marLeft w:val="0"/>
      <w:marRight w:val="0"/>
      <w:marTop w:val="0"/>
      <w:marBottom w:val="0"/>
      <w:divBdr>
        <w:top w:val="none" w:sz="0" w:space="0" w:color="auto"/>
        <w:left w:val="none" w:sz="0" w:space="0" w:color="auto"/>
        <w:bottom w:val="none" w:sz="0" w:space="0" w:color="auto"/>
        <w:right w:val="none" w:sz="0" w:space="0" w:color="auto"/>
      </w:divBdr>
    </w:div>
    <w:div w:id="1357854687">
      <w:bodyDiv w:val="1"/>
      <w:marLeft w:val="0"/>
      <w:marRight w:val="0"/>
      <w:marTop w:val="0"/>
      <w:marBottom w:val="0"/>
      <w:divBdr>
        <w:top w:val="none" w:sz="0" w:space="0" w:color="auto"/>
        <w:left w:val="none" w:sz="0" w:space="0" w:color="auto"/>
        <w:bottom w:val="none" w:sz="0" w:space="0" w:color="auto"/>
        <w:right w:val="none" w:sz="0" w:space="0" w:color="auto"/>
      </w:divBdr>
    </w:div>
    <w:div w:id="1687444725">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2.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3</TotalTime>
  <Pages>8</Pages>
  <Words>2383</Words>
  <Characters>12768</Characters>
  <Application>Microsoft Office Word</Application>
  <DocSecurity>0</DocSecurity>
  <Lines>406</Lines>
  <Paragraphs>108</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Jonasson, Loftur</cp:lastModifiedBy>
  <cp:revision>3</cp:revision>
  <cp:lastPrinted>2005-03-16T21:26:00Z</cp:lastPrinted>
  <dcterms:created xsi:type="dcterms:W3CDTF">2021-02-26T13:43:00Z</dcterms:created>
  <dcterms:modified xsi:type="dcterms:W3CDTF">2021-02-26T14:25:00Z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ExpCountry">
    <vt:lpwstr/>
  </property>
  <property fmtid="{D5CDD505-2E9C-101B-9397-08002B2CF9AE}" pid="13" name="TextBoxAndDropdownValues">
    <vt:lpwstr/>
  </property>
</Properties>
</file>