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160" w:rsidRPr="00D94FD3" w:rsidRDefault="000D26D5" w:rsidP="00725205">
      <w:pPr>
        <w:jc w:val="center"/>
        <w:rPr>
          <w:b/>
          <w:sz w:val="24"/>
          <w:szCs w:val="24"/>
        </w:rPr>
      </w:pPr>
      <w:r w:rsidRPr="00D94FD3">
        <w:rPr>
          <w:b/>
          <w:sz w:val="24"/>
          <w:szCs w:val="24"/>
          <w:lang w:val="en-US"/>
        </w:rPr>
        <w:t>FREQUENCY SPECTRUM</w:t>
      </w:r>
      <w:r w:rsidRPr="00D94FD3">
        <w:rPr>
          <w:b/>
          <w:sz w:val="24"/>
          <w:szCs w:val="24"/>
        </w:rPr>
        <w:t xml:space="preserve"> MAN</w:t>
      </w:r>
      <w:r w:rsidR="00D94FD3" w:rsidRPr="00D94FD3">
        <w:rPr>
          <w:b/>
          <w:sz w:val="24"/>
          <w:szCs w:val="24"/>
        </w:rPr>
        <w:t>AGEMENT</w:t>
      </w:r>
      <w:r w:rsidRPr="00D94FD3">
        <w:rPr>
          <w:b/>
          <w:sz w:val="24"/>
          <w:szCs w:val="24"/>
        </w:rPr>
        <w:t xml:space="preserve"> PANEL (FSMP)</w:t>
      </w:r>
    </w:p>
    <w:p w:rsidR="00770160" w:rsidRDefault="00770160">
      <w:pPr>
        <w:tabs>
          <w:tab w:val="left" w:pos="6972"/>
        </w:tabs>
        <w:jc w:val="center"/>
        <w:rPr>
          <w:b/>
        </w:rPr>
      </w:pPr>
    </w:p>
    <w:p w:rsidR="00F56F90" w:rsidRDefault="00074BAC" w:rsidP="00F56F90">
      <w:pPr>
        <w:pStyle w:val="Maintitle"/>
      </w:pPr>
      <w:r>
        <w:rPr>
          <w:lang w:val="en-US"/>
        </w:rPr>
        <w:t>Eleventh</w:t>
      </w:r>
      <w:r w:rsidR="00F56F90">
        <w:t xml:space="preserve"> Working Group meeting</w:t>
      </w:r>
    </w:p>
    <w:p w:rsidR="00F56F90" w:rsidRDefault="00F56F90" w:rsidP="00F56F90"/>
    <w:p w:rsidR="00F56F90" w:rsidRDefault="006F36AD" w:rsidP="00F56F90">
      <w:pPr>
        <w:jc w:val="center"/>
        <w:rPr>
          <w:b/>
          <w:bCs/>
          <w:szCs w:val="22"/>
        </w:rPr>
      </w:pPr>
      <w:bookmarkStart w:id="0" w:name="agenda_item"/>
      <w:bookmarkEnd w:id="0"/>
      <w:r w:rsidRPr="006F36AD">
        <w:rPr>
          <w:b/>
          <w:bCs/>
          <w:szCs w:val="22"/>
        </w:rPr>
        <w:t xml:space="preserve">Virtual Meeting, </w:t>
      </w:r>
      <w:r w:rsidR="00074BAC">
        <w:rPr>
          <w:b/>
          <w:bCs/>
          <w:szCs w:val="22"/>
        </w:rPr>
        <w:t>01</w:t>
      </w:r>
      <w:r w:rsidRPr="006F36AD">
        <w:rPr>
          <w:b/>
          <w:bCs/>
          <w:szCs w:val="22"/>
        </w:rPr>
        <w:t xml:space="preserve"> – </w:t>
      </w:r>
      <w:r w:rsidR="00074BAC">
        <w:rPr>
          <w:b/>
          <w:bCs/>
          <w:szCs w:val="22"/>
        </w:rPr>
        <w:t>12</w:t>
      </w:r>
      <w:r w:rsidRPr="006F36AD">
        <w:rPr>
          <w:b/>
          <w:bCs/>
          <w:szCs w:val="22"/>
        </w:rPr>
        <w:t xml:space="preserve"> </w:t>
      </w:r>
      <w:r w:rsidR="00074BAC">
        <w:rPr>
          <w:b/>
          <w:bCs/>
          <w:szCs w:val="22"/>
        </w:rPr>
        <w:t>March 2021</w:t>
      </w:r>
    </w:p>
    <w:p w:rsidR="00770160" w:rsidRDefault="00770160">
      <w:pPr>
        <w:tabs>
          <w:tab w:val="left" w:pos="0"/>
          <w:tab w:val="left" w:pos="1570"/>
          <w:tab w:val="left" w:pos="1857"/>
        </w:tabs>
      </w:pPr>
    </w:p>
    <w:p w:rsidR="00770160" w:rsidRDefault="00770160">
      <w:pPr>
        <w:tabs>
          <w:tab w:val="left" w:pos="0"/>
          <w:tab w:val="left" w:pos="1570"/>
          <w:tab w:val="left" w:pos="1857"/>
        </w:tabs>
      </w:pPr>
    </w:p>
    <w:p w:rsidR="00770160" w:rsidRDefault="008E1442" w:rsidP="00495B9B">
      <w:pPr>
        <w:pStyle w:val="Agendaitemtitle"/>
        <w:rPr>
          <w:lang w:val="sv-SE"/>
        </w:rPr>
      </w:pPr>
      <w:r>
        <w:rPr>
          <w:lang w:val="sv-SE"/>
        </w:rPr>
        <w:t xml:space="preserve">Agenda Item </w:t>
      </w:r>
      <w:r w:rsidR="00A57E26">
        <w:rPr>
          <w:lang w:val="sv-SE"/>
        </w:rPr>
        <w:t>2</w:t>
      </w:r>
      <w:r w:rsidR="00770160">
        <w:rPr>
          <w:lang w:val="sv-SE"/>
        </w:rPr>
        <w:t> :</w:t>
      </w:r>
      <w:r w:rsidR="00030A23">
        <w:rPr>
          <w:lang w:val="sv-SE"/>
        </w:rPr>
        <w:t xml:space="preserve"> </w:t>
      </w:r>
      <w:r w:rsidR="00A57E26" w:rsidRPr="00C7235C">
        <w:rPr>
          <w:rFonts w:eastAsia="Calibri"/>
          <w:bCs/>
          <w:szCs w:val="24"/>
        </w:rPr>
        <w:t>WRC-</w:t>
      </w:r>
      <w:r w:rsidR="00A57E26">
        <w:rPr>
          <w:rFonts w:eastAsia="Calibri"/>
          <w:bCs/>
          <w:szCs w:val="24"/>
        </w:rPr>
        <w:t>23</w:t>
      </w:r>
      <w:r w:rsidR="00A57E26" w:rsidRPr="00C7235C">
        <w:rPr>
          <w:rFonts w:eastAsia="Calibri"/>
          <w:bCs/>
          <w:szCs w:val="24"/>
        </w:rPr>
        <w:t xml:space="preserve"> Preparations</w:t>
      </w:r>
      <w:r w:rsidR="00A57E26">
        <w:rPr>
          <w:rFonts w:eastAsia="Calibri"/>
          <w:bCs/>
          <w:szCs w:val="24"/>
        </w:rPr>
        <w:t xml:space="preserve"> (AI 1.7)</w:t>
      </w:r>
    </w:p>
    <w:p w:rsidR="00770160" w:rsidRDefault="00770160">
      <w:pPr>
        <w:pStyle w:val="Agendaitemtitle"/>
        <w:rPr>
          <w:b w:val="0"/>
          <w:lang w:val="sv-SE"/>
        </w:rPr>
      </w:pPr>
    </w:p>
    <w:p w:rsidR="00770160" w:rsidRDefault="00770160">
      <w:pPr>
        <w:tabs>
          <w:tab w:val="left" w:pos="6972"/>
        </w:tabs>
        <w:rPr>
          <w:b/>
          <w:lang w:val="sv-SE"/>
        </w:rPr>
      </w:pPr>
    </w:p>
    <w:p w:rsidR="00770160" w:rsidRDefault="00A57E26">
      <w:pPr>
        <w:pStyle w:val="Maintitle"/>
      </w:pPr>
      <w:r>
        <w:t xml:space="preserve">Proposal for a </w:t>
      </w:r>
      <w:r w:rsidR="00F242DD">
        <w:t xml:space="preserve">reply </w:t>
      </w:r>
      <w:r>
        <w:t xml:space="preserve">liaison statement to </w:t>
      </w:r>
      <w:r w:rsidR="00F242DD">
        <w:t xml:space="preserve">ITU-R </w:t>
      </w:r>
      <w:r>
        <w:t>WP5B regarding the agenda item 1.7</w:t>
      </w:r>
    </w:p>
    <w:p w:rsidR="00770160" w:rsidRDefault="00770160">
      <w:pPr>
        <w:tabs>
          <w:tab w:val="left" w:pos="6972"/>
        </w:tabs>
      </w:pPr>
    </w:p>
    <w:p w:rsidR="00770160" w:rsidRDefault="00770160">
      <w:pPr>
        <w:tabs>
          <w:tab w:val="left" w:pos="6972"/>
        </w:tabs>
      </w:pPr>
    </w:p>
    <w:p w:rsidR="00770160" w:rsidRDefault="00770160">
      <w:pPr>
        <w:jc w:val="center"/>
      </w:pPr>
      <w:r>
        <w:t>(Presented by</w:t>
      </w:r>
      <w:bookmarkStart w:id="1" w:name="presented_by"/>
      <w:bookmarkEnd w:id="1"/>
      <w:r>
        <w:t xml:space="preserve"> </w:t>
      </w:r>
      <w:r w:rsidR="00E874A7">
        <w:t>Alexandre GUIGNOT</w:t>
      </w:r>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E64997" w:rsidRDefault="00A57E26" w:rsidP="00A57E26">
            <w:pPr>
              <w:jc w:val="left"/>
            </w:pPr>
            <w:r>
              <w:t>Studies regarding the agenda item 1.7</w:t>
            </w:r>
            <w:r w:rsidR="00F242DD">
              <w:t xml:space="preserve"> (WRC-23)</w:t>
            </w:r>
            <w:r>
              <w:t xml:space="preserve"> have been launched by WP5B since July 2020.</w:t>
            </w:r>
          </w:p>
          <w:p w:rsidR="00A57E26" w:rsidRDefault="00A57E26" w:rsidP="00F86C62">
            <w:pPr>
              <w:jc w:val="left"/>
            </w:pPr>
            <w:r>
              <w:t>In this regards, WP5B is informing ICAO on the progress of work</w:t>
            </w:r>
            <w:r w:rsidR="00F242DD">
              <w:t xml:space="preserve"> and is seeking guidance</w:t>
            </w:r>
            <w:r w:rsidR="00F86C62">
              <w:t xml:space="preserve"> </w:t>
            </w:r>
            <w:r w:rsidR="00F242DD">
              <w:t xml:space="preserve">on the following </w:t>
            </w:r>
            <w:r w:rsidR="00F86C62">
              <w:t xml:space="preserve">three topics: </w:t>
            </w:r>
          </w:p>
          <w:p w:rsidR="00F86C62" w:rsidRPr="00F86C62" w:rsidRDefault="00F86C62" w:rsidP="00F86C62">
            <w:pPr>
              <w:pStyle w:val="ListParagraph"/>
              <w:numPr>
                <w:ilvl w:val="0"/>
                <w:numId w:val="15"/>
              </w:numPr>
              <w:spacing w:after="240"/>
              <w:ind w:left="714" w:hanging="357"/>
              <w:jc w:val="left"/>
              <w:rPr>
                <w:rFonts w:ascii="Times New Roman" w:hAnsi="Times New Roman"/>
                <w:sz w:val="22"/>
              </w:rPr>
            </w:pPr>
            <w:r w:rsidRPr="00F86C62">
              <w:rPr>
                <w:rFonts w:ascii="Times New Roman" w:hAnsi="Times New Roman"/>
                <w:sz w:val="22"/>
              </w:rPr>
              <w:t xml:space="preserve">The </w:t>
            </w:r>
            <w:r w:rsidR="00F242DD" w:rsidRPr="00F86C62">
              <w:rPr>
                <w:rFonts w:ascii="Times New Roman" w:hAnsi="Times New Roman"/>
                <w:sz w:val="22"/>
              </w:rPr>
              <w:t xml:space="preserve">aircraft </w:t>
            </w:r>
            <w:r w:rsidRPr="00F86C62">
              <w:rPr>
                <w:rFonts w:ascii="Times New Roman" w:hAnsi="Times New Roman"/>
                <w:sz w:val="22"/>
              </w:rPr>
              <w:t>antenna pattern ,</w:t>
            </w:r>
          </w:p>
          <w:p w:rsidR="00F86C62" w:rsidRPr="00F86C62" w:rsidRDefault="00F86C62" w:rsidP="00F86C62">
            <w:pPr>
              <w:pStyle w:val="ListParagraph"/>
              <w:numPr>
                <w:ilvl w:val="0"/>
                <w:numId w:val="15"/>
              </w:numPr>
              <w:spacing w:after="240"/>
              <w:ind w:left="714" w:hanging="357"/>
              <w:jc w:val="left"/>
              <w:rPr>
                <w:rFonts w:ascii="Times New Roman" w:hAnsi="Times New Roman"/>
                <w:sz w:val="22"/>
              </w:rPr>
            </w:pPr>
            <w:r w:rsidRPr="00F86C62">
              <w:rPr>
                <w:rFonts w:ascii="Times New Roman" w:hAnsi="Times New Roman"/>
                <w:sz w:val="22"/>
              </w:rPr>
              <w:t xml:space="preserve">The </w:t>
            </w:r>
            <w:r w:rsidR="00F242DD">
              <w:rPr>
                <w:rFonts w:ascii="Times New Roman" w:hAnsi="Times New Roman"/>
                <w:sz w:val="22"/>
              </w:rPr>
              <w:t xml:space="preserve">VHF </w:t>
            </w:r>
            <w:r w:rsidR="00F242DD" w:rsidRPr="00F86C62">
              <w:rPr>
                <w:rFonts w:ascii="Times New Roman" w:hAnsi="Times New Roman"/>
                <w:sz w:val="22"/>
              </w:rPr>
              <w:t xml:space="preserve">receiver </w:t>
            </w:r>
            <w:r w:rsidRPr="00F86C62">
              <w:rPr>
                <w:rFonts w:ascii="Times New Roman" w:hAnsi="Times New Roman"/>
                <w:sz w:val="22"/>
              </w:rPr>
              <w:t>minimum sensitivity requirement,</w:t>
            </w:r>
          </w:p>
          <w:p w:rsidR="00F86C62" w:rsidRPr="00F86C62" w:rsidRDefault="00F86C62" w:rsidP="00F86C62">
            <w:pPr>
              <w:pStyle w:val="ListParagraph"/>
              <w:numPr>
                <w:ilvl w:val="0"/>
                <w:numId w:val="15"/>
              </w:numPr>
              <w:spacing w:after="240"/>
              <w:ind w:left="714" w:hanging="357"/>
              <w:jc w:val="left"/>
              <w:rPr>
                <w:rFonts w:ascii="Times New Roman" w:hAnsi="Times New Roman"/>
                <w:sz w:val="22"/>
              </w:rPr>
            </w:pPr>
            <w:r w:rsidRPr="00F86C62">
              <w:rPr>
                <w:rFonts w:ascii="Times New Roman" w:hAnsi="Times New Roman"/>
                <w:sz w:val="22"/>
              </w:rPr>
              <w:t xml:space="preserve">And the required </w:t>
            </w:r>
            <w:r w:rsidR="00F242DD">
              <w:rPr>
                <w:rFonts w:ascii="Times New Roman" w:hAnsi="Times New Roman"/>
                <w:sz w:val="22"/>
              </w:rPr>
              <w:t xml:space="preserve">link </w:t>
            </w:r>
            <w:r w:rsidRPr="00F86C62">
              <w:rPr>
                <w:rFonts w:ascii="Times New Roman" w:hAnsi="Times New Roman"/>
                <w:sz w:val="22"/>
              </w:rPr>
              <w:t>availability performance.</w:t>
            </w:r>
          </w:p>
          <w:p w:rsidR="00F86C62" w:rsidRPr="00123C20" w:rsidRDefault="00F86C62">
            <w:pPr>
              <w:jc w:val="left"/>
            </w:pPr>
            <w:r>
              <w:t xml:space="preserve">This working document offers a material to respond to WP5B on these three topics. Also, we believe that it is beneficial to </w:t>
            </w:r>
            <w:r w:rsidR="00F242DD">
              <w:t xml:space="preserve">address from an ICAO point of view </w:t>
            </w:r>
            <w:r w:rsidR="00A73D74">
              <w:t>the question of</w:t>
            </w:r>
            <w:r>
              <w:t xml:space="preserve"> </w:t>
            </w:r>
            <w:r w:rsidR="00D16FCE">
              <w:t xml:space="preserve">compatibility </w:t>
            </w:r>
            <w:r>
              <w:t>between AM(R)S and AMS(R)S</w:t>
            </w:r>
            <w:r w:rsidR="00A73D74">
              <w:t>, and propose to indicate to WP5B that such studies wouldn’t be required within ITU-R</w:t>
            </w:r>
            <w:r>
              <w:t>.</w:t>
            </w:r>
          </w:p>
        </w:tc>
      </w:tr>
    </w:tbl>
    <w:p w:rsidR="00770160" w:rsidRDefault="00770160"/>
    <w:p w:rsidR="00770160" w:rsidRDefault="00770160"/>
    <w:p w:rsidR="00770160" w:rsidRDefault="00770160" w:rsidP="00E64997">
      <w:pPr>
        <w:pStyle w:val="1Heading"/>
        <w:outlineLvl w:val="0"/>
      </w:pPr>
      <w:r>
        <w:t>INTRODUCTION</w:t>
      </w:r>
    </w:p>
    <w:p w:rsidR="00E22059" w:rsidRDefault="005B1102" w:rsidP="00E22059">
      <w:pPr>
        <w:spacing w:after="120"/>
        <w:rPr>
          <w:lang w:val="en-US"/>
        </w:rPr>
      </w:pPr>
      <w:r w:rsidRPr="005B1102">
        <w:rPr>
          <w:lang w:val="en-US"/>
        </w:rPr>
        <w:t xml:space="preserve">During </w:t>
      </w:r>
      <w:r>
        <w:rPr>
          <w:lang w:val="en-US"/>
        </w:rPr>
        <w:t xml:space="preserve">the last WP5B </w:t>
      </w:r>
      <w:r w:rsidR="00F242DD">
        <w:rPr>
          <w:lang w:val="en-US"/>
        </w:rPr>
        <w:t xml:space="preserve">held </w:t>
      </w:r>
      <w:r>
        <w:rPr>
          <w:lang w:val="en-US"/>
        </w:rPr>
        <w:t xml:space="preserve">in November 2020, WP5B </w:t>
      </w:r>
      <w:r w:rsidR="00F242DD">
        <w:rPr>
          <w:lang w:val="en-US"/>
        </w:rPr>
        <w:t xml:space="preserve">sent a </w:t>
      </w:r>
      <w:hyperlink r:id="rId11" w:history="1">
        <w:r w:rsidR="00F242DD" w:rsidRPr="00BC2AD1">
          <w:rPr>
            <w:rStyle w:val="Hyperlink"/>
            <w:lang w:val="en-US"/>
          </w:rPr>
          <w:t>liaison Statement</w:t>
        </w:r>
      </w:hyperlink>
      <w:r w:rsidR="00F242DD">
        <w:rPr>
          <w:rStyle w:val="Hyperlink"/>
          <w:lang w:val="en-US"/>
        </w:rPr>
        <w:t xml:space="preserve"> </w:t>
      </w:r>
      <w:r w:rsidR="00F242DD">
        <w:rPr>
          <w:lang w:val="en-US"/>
        </w:rPr>
        <w:t xml:space="preserve">to ICAO in order to </w:t>
      </w:r>
      <w:r>
        <w:rPr>
          <w:lang w:val="en-US"/>
        </w:rPr>
        <w:t>inform on the progress of the work done by ITU</w:t>
      </w:r>
      <w:r w:rsidR="00F242DD">
        <w:rPr>
          <w:lang w:val="en-US"/>
        </w:rPr>
        <w:t>-R</w:t>
      </w:r>
      <w:r>
        <w:rPr>
          <w:lang w:val="en-US"/>
        </w:rPr>
        <w:t xml:space="preserve"> </w:t>
      </w:r>
      <w:r w:rsidR="00F242DD">
        <w:rPr>
          <w:lang w:val="en-US"/>
        </w:rPr>
        <w:t xml:space="preserve">on </w:t>
      </w:r>
      <w:r>
        <w:rPr>
          <w:lang w:val="en-US"/>
        </w:rPr>
        <w:t>agenda item 1.7</w:t>
      </w:r>
      <w:r w:rsidR="00F242DD">
        <w:rPr>
          <w:lang w:val="en-US"/>
        </w:rPr>
        <w:t xml:space="preserve"> (WRC-23)</w:t>
      </w:r>
      <w:r>
        <w:rPr>
          <w:lang w:val="en-US"/>
        </w:rPr>
        <w:t>.</w:t>
      </w:r>
    </w:p>
    <w:p w:rsidR="005B1102" w:rsidRDefault="005B1102" w:rsidP="00E22059">
      <w:pPr>
        <w:spacing w:after="120"/>
        <w:rPr>
          <w:lang w:val="en-US"/>
        </w:rPr>
      </w:pPr>
      <w:r>
        <w:rPr>
          <w:lang w:val="en-US"/>
        </w:rPr>
        <w:t xml:space="preserve">In particular, WP5B informed ICAO that a </w:t>
      </w:r>
      <w:r w:rsidRPr="005B1102">
        <w:rPr>
          <w:lang w:val="en-US"/>
        </w:rPr>
        <w:t xml:space="preserve">working document towards a preliminary </w:t>
      </w:r>
      <w:hyperlink r:id="rId12" w:history="1">
        <w:r w:rsidRPr="00BC2AD1">
          <w:rPr>
            <w:rStyle w:val="Hyperlink"/>
            <w:lang w:val="en-US"/>
          </w:rPr>
          <w:t>draft new Report ITU-R M.[Space-VHF]</w:t>
        </w:r>
      </w:hyperlink>
      <w:r>
        <w:rPr>
          <w:lang w:val="en-US"/>
        </w:rPr>
        <w:t xml:space="preserve"> is currently </w:t>
      </w:r>
      <w:r w:rsidR="00F242DD">
        <w:rPr>
          <w:lang w:val="en-US"/>
        </w:rPr>
        <w:t xml:space="preserve">being </w:t>
      </w:r>
      <w:r>
        <w:rPr>
          <w:lang w:val="en-US"/>
        </w:rPr>
        <w:t>developed.</w:t>
      </w:r>
    </w:p>
    <w:p w:rsidR="005B1102" w:rsidRDefault="005B1102" w:rsidP="00E22059">
      <w:pPr>
        <w:spacing w:after="120"/>
        <w:rPr>
          <w:lang w:val="en-US"/>
        </w:rPr>
      </w:pPr>
      <w:r>
        <w:rPr>
          <w:lang w:val="en-US"/>
        </w:rPr>
        <w:t xml:space="preserve">In order to complete </w:t>
      </w:r>
      <w:r w:rsidR="00F242DD">
        <w:rPr>
          <w:lang w:val="en-US"/>
        </w:rPr>
        <w:t>its</w:t>
      </w:r>
      <w:r>
        <w:rPr>
          <w:lang w:val="en-US"/>
        </w:rPr>
        <w:t xml:space="preserve"> work, WP5B is </w:t>
      </w:r>
      <w:r w:rsidR="00F242DD">
        <w:rPr>
          <w:lang w:val="en-US"/>
        </w:rPr>
        <w:t xml:space="preserve">seeking guidance from </w:t>
      </w:r>
      <w:r>
        <w:rPr>
          <w:lang w:val="en-US"/>
        </w:rPr>
        <w:t xml:space="preserve">ICAO on three main topics: </w:t>
      </w:r>
    </w:p>
    <w:p w:rsidR="005B1102" w:rsidRPr="00F86C62" w:rsidRDefault="005B1102" w:rsidP="005B1102">
      <w:pPr>
        <w:pStyle w:val="ListParagraph"/>
        <w:numPr>
          <w:ilvl w:val="0"/>
          <w:numId w:val="15"/>
        </w:numPr>
        <w:spacing w:after="240"/>
        <w:ind w:left="714" w:hanging="357"/>
        <w:jc w:val="left"/>
        <w:rPr>
          <w:rFonts w:ascii="Times New Roman" w:hAnsi="Times New Roman"/>
          <w:sz w:val="22"/>
        </w:rPr>
      </w:pPr>
      <w:r w:rsidRPr="00F86C62">
        <w:rPr>
          <w:rFonts w:ascii="Times New Roman" w:hAnsi="Times New Roman"/>
          <w:sz w:val="22"/>
        </w:rPr>
        <w:lastRenderedPageBreak/>
        <w:t xml:space="preserve">The </w:t>
      </w:r>
      <w:r w:rsidR="00F242DD" w:rsidRPr="00F86C62">
        <w:rPr>
          <w:rFonts w:ascii="Times New Roman" w:hAnsi="Times New Roman"/>
          <w:sz w:val="22"/>
        </w:rPr>
        <w:t xml:space="preserve">aircraft </w:t>
      </w:r>
      <w:r w:rsidRPr="00F86C62">
        <w:rPr>
          <w:rFonts w:ascii="Times New Roman" w:hAnsi="Times New Roman"/>
          <w:sz w:val="22"/>
        </w:rPr>
        <w:t>antenna pattern</w:t>
      </w:r>
      <w:r w:rsidR="00F242DD">
        <w:rPr>
          <w:rFonts w:ascii="Times New Roman" w:hAnsi="Times New Roman"/>
          <w:sz w:val="22"/>
        </w:rPr>
        <w:t>s</w:t>
      </w:r>
      <w:r w:rsidRPr="00F86C62">
        <w:rPr>
          <w:rFonts w:ascii="Times New Roman" w:hAnsi="Times New Roman"/>
          <w:sz w:val="22"/>
        </w:rPr>
        <w:t xml:space="preserve"> ,</w:t>
      </w:r>
    </w:p>
    <w:p w:rsidR="005B1102" w:rsidRPr="00F86C62" w:rsidRDefault="005B1102" w:rsidP="005B1102">
      <w:pPr>
        <w:pStyle w:val="ListParagraph"/>
        <w:numPr>
          <w:ilvl w:val="0"/>
          <w:numId w:val="15"/>
        </w:numPr>
        <w:spacing w:after="240"/>
        <w:ind w:left="714" w:hanging="357"/>
        <w:jc w:val="left"/>
        <w:rPr>
          <w:rFonts w:ascii="Times New Roman" w:hAnsi="Times New Roman"/>
          <w:sz w:val="22"/>
        </w:rPr>
      </w:pPr>
      <w:r w:rsidRPr="00F86C62">
        <w:rPr>
          <w:rFonts w:ascii="Times New Roman" w:hAnsi="Times New Roman"/>
          <w:sz w:val="22"/>
        </w:rPr>
        <w:t xml:space="preserve">The </w:t>
      </w:r>
      <w:r w:rsidR="00F242DD" w:rsidRPr="00F86C62">
        <w:rPr>
          <w:rFonts w:ascii="Times New Roman" w:hAnsi="Times New Roman"/>
          <w:sz w:val="22"/>
        </w:rPr>
        <w:t xml:space="preserve">receiver </w:t>
      </w:r>
      <w:r w:rsidRPr="00F86C62">
        <w:rPr>
          <w:rFonts w:ascii="Times New Roman" w:hAnsi="Times New Roman"/>
          <w:sz w:val="22"/>
        </w:rPr>
        <w:t>minimum sensitivity requirement,</w:t>
      </w:r>
    </w:p>
    <w:p w:rsidR="005B1102" w:rsidRDefault="005B1102" w:rsidP="005B1102">
      <w:pPr>
        <w:pStyle w:val="ListParagraph"/>
        <w:numPr>
          <w:ilvl w:val="0"/>
          <w:numId w:val="15"/>
        </w:numPr>
        <w:spacing w:after="240"/>
        <w:ind w:left="714" w:hanging="357"/>
        <w:jc w:val="left"/>
        <w:rPr>
          <w:rFonts w:ascii="Times New Roman" w:hAnsi="Times New Roman"/>
          <w:sz w:val="22"/>
        </w:rPr>
      </w:pPr>
      <w:r w:rsidRPr="00F86C62">
        <w:rPr>
          <w:rFonts w:ascii="Times New Roman" w:hAnsi="Times New Roman"/>
          <w:sz w:val="22"/>
        </w:rPr>
        <w:t xml:space="preserve">And the required </w:t>
      </w:r>
      <w:r w:rsidR="00F242DD">
        <w:rPr>
          <w:rFonts w:ascii="Times New Roman" w:hAnsi="Times New Roman"/>
          <w:sz w:val="22"/>
        </w:rPr>
        <w:t xml:space="preserve">link </w:t>
      </w:r>
      <w:r w:rsidRPr="00F86C62">
        <w:rPr>
          <w:rFonts w:ascii="Times New Roman" w:hAnsi="Times New Roman"/>
          <w:sz w:val="22"/>
        </w:rPr>
        <w:t>availability performance.</w:t>
      </w:r>
    </w:p>
    <w:p w:rsidR="005B1102" w:rsidRPr="005B1102" w:rsidRDefault="00F242DD" w:rsidP="005B1102">
      <w:pPr>
        <w:spacing w:after="240"/>
        <w:jc w:val="left"/>
      </w:pPr>
      <w:r>
        <w:t>Attached to this document an</w:t>
      </w:r>
      <w:r w:rsidR="005B1102">
        <w:t xml:space="preserve"> annex</w:t>
      </w:r>
      <w:r>
        <w:t xml:space="preserve"> is provided as</w:t>
      </w:r>
      <w:r w:rsidR="005B1102">
        <w:t xml:space="preserve"> </w:t>
      </w:r>
      <w:r w:rsidR="000B39D1">
        <w:t xml:space="preserve">a </w:t>
      </w:r>
      <w:r w:rsidR="005B1102">
        <w:t xml:space="preserve">proposed </w:t>
      </w:r>
      <w:r>
        <w:t>basis for a</w:t>
      </w:r>
      <w:r w:rsidR="005B1102">
        <w:t xml:space="preserve"> response to WP5B.</w:t>
      </w:r>
    </w:p>
    <w:p w:rsidR="00BF3EEE" w:rsidRDefault="005B1102" w:rsidP="002D3495">
      <w:pPr>
        <w:pStyle w:val="1Heading"/>
        <w:outlineLvl w:val="0"/>
      </w:pPr>
      <w:r w:rsidRPr="005B1102">
        <w:t>Available measured pattern for aircraft VHF antenna</w:t>
      </w:r>
    </w:p>
    <w:p w:rsidR="00EA37D2" w:rsidRDefault="00EA37D2" w:rsidP="00EA37D2">
      <w:pPr>
        <w:spacing w:after="240"/>
        <w:jc w:val="left"/>
      </w:pPr>
      <w:r>
        <w:t xml:space="preserve">The antenna pattern </w:t>
      </w:r>
      <w:r w:rsidR="000B39D1">
        <w:t xml:space="preserve">depicted in the </w:t>
      </w:r>
      <w:hyperlink r:id="rId13" w:history="1">
        <w:r w:rsidR="000B39D1" w:rsidRPr="00BC2AD1">
          <w:rPr>
            <w:rStyle w:val="Hyperlink"/>
            <w:lang w:val="en-US"/>
          </w:rPr>
          <w:t>draft new Report ITU-R M.[Space-VHF]</w:t>
        </w:r>
      </w:hyperlink>
      <w:r>
        <w:t xml:space="preserve"> takes only into account the </w:t>
      </w:r>
      <w:r w:rsidR="000B39D1">
        <w:t xml:space="preserve">behaviour of a </w:t>
      </w:r>
      <w:r>
        <w:t xml:space="preserve">dipole </w:t>
      </w:r>
      <w:r w:rsidR="000B39D1">
        <w:t xml:space="preserve">antenna </w:t>
      </w:r>
      <w:r>
        <w:t xml:space="preserve">without the </w:t>
      </w:r>
      <w:r w:rsidR="000B39D1">
        <w:t xml:space="preserve">effect of the plane fuselage </w:t>
      </w:r>
      <w:r>
        <w:t xml:space="preserve">reflection . In particular, </w:t>
      </w:r>
      <w:r w:rsidR="000B39D1">
        <w:t>a</w:t>
      </w:r>
      <w:r w:rsidR="00A73D74">
        <w:t xml:space="preserve"> </w:t>
      </w:r>
      <w:r w:rsidR="000B39D1" w:rsidRPr="000B39D1">
        <w:t xml:space="preserve">cosinusoidal </w:t>
      </w:r>
      <w:r w:rsidR="000B39D1">
        <w:t xml:space="preserve">behaviour </w:t>
      </w:r>
      <w:r w:rsidR="000B39D1" w:rsidRPr="000B39D1">
        <w:t>in elevation</w:t>
      </w:r>
      <w:r w:rsidR="000B39D1">
        <w:t xml:space="preserve"> is depicted</w:t>
      </w:r>
      <w:r w:rsidR="000B39D1" w:rsidRPr="000B39D1">
        <w:t xml:space="preserve">, meaning </w:t>
      </w:r>
      <w:r w:rsidR="000B39D1">
        <w:t xml:space="preserve">that </w:t>
      </w:r>
      <w:r w:rsidR="000B39D1" w:rsidRPr="000B39D1">
        <w:t>a theoretical zero is achieved at aircraft zenith (90° elevation</w:t>
      </w:r>
      <w:r w:rsidR="000B39D1">
        <w:t xml:space="preserve">) which would lead to the fact that </w:t>
      </w:r>
      <w:r>
        <w:t>the direction towards the satellite is highly attenuated.</w:t>
      </w:r>
    </w:p>
    <w:p w:rsidR="00685FE5" w:rsidRDefault="00685FE5" w:rsidP="002D3495">
      <w:pPr>
        <w:pStyle w:val="2para"/>
        <w:numPr>
          <w:ilvl w:val="0"/>
          <w:numId w:val="0"/>
        </w:numPr>
        <w:outlineLvl w:val="9"/>
      </w:pPr>
      <w:r>
        <w:t>One can find below example of pattern for the VHF COBHAM Blade type Antenna. Radiation patterns of antenna have been measured in the three main plans at 118 / 127 / 137 MHz. Those patterns were measured on a 2</w:t>
      </w:r>
      <w:r w:rsidR="00D16FCE">
        <w:t xml:space="preserve"> </w:t>
      </w:r>
      <w:r>
        <w:t>X</w:t>
      </w:r>
      <w:r w:rsidR="00D16FCE">
        <w:t xml:space="preserve"> </w:t>
      </w:r>
      <w:r>
        <w:t>1</w:t>
      </w:r>
      <w:r w:rsidR="00D16FCE">
        <w:t xml:space="preserve"> </w:t>
      </w:r>
      <w:r>
        <w:t>m</w:t>
      </w:r>
      <w:r w:rsidR="00D16FCE">
        <w:t>eter</w:t>
      </w:r>
      <w:r>
        <w:t xml:space="preserve"> rectangular metallic reflector.</w:t>
      </w:r>
      <w:r w:rsidR="00A73D74">
        <w:t xml:space="preserve"> They essentially confirm the information already available to WP5B.</w:t>
      </w:r>
    </w:p>
    <w:p w:rsidR="00667448" w:rsidRDefault="00667448" w:rsidP="002D3495">
      <w:pPr>
        <w:pStyle w:val="2para"/>
        <w:numPr>
          <w:ilvl w:val="0"/>
          <w:numId w:val="0"/>
        </w:numPr>
        <w:outlineLvl w:val="9"/>
      </w:pPr>
      <w:r>
        <w:t>It is believed that a more representative antenna pattern should be used, if available through other contributions to this meeting or at future meetings, that takes into account the fuselage reflection. This would help WP5B in defining a more accurate link budget.</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3440"/>
        <w:gridCol w:w="3396"/>
      </w:tblGrid>
      <w:tr w:rsidR="00685FE5" w:rsidTr="00685FE5">
        <w:tc>
          <w:tcPr>
            <w:tcW w:w="10187" w:type="dxa"/>
            <w:gridSpan w:val="3"/>
            <w:tcBorders>
              <w:top w:val="single" w:sz="4" w:space="0" w:color="auto"/>
              <w:left w:val="single" w:sz="4" w:space="0" w:color="auto"/>
              <w:bottom w:val="single" w:sz="4" w:space="0" w:color="auto"/>
              <w:right w:val="single" w:sz="4" w:space="0" w:color="auto"/>
            </w:tcBorders>
            <w:shd w:val="clear" w:color="auto" w:fill="5B9BD5"/>
            <w:hideMark/>
          </w:tcPr>
          <w:p w:rsidR="00685FE5" w:rsidRDefault="00685FE5">
            <w:pPr>
              <w:pStyle w:val="2para"/>
              <w:numPr>
                <w:ilvl w:val="0"/>
                <w:numId w:val="0"/>
              </w:numPr>
              <w:rPr>
                <w:b/>
                <w:color w:val="FFFFFF"/>
              </w:rPr>
            </w:pPr>
            <w:r>
              <w:rPr>
                <w:b/>
                <w:color w:val="FFFFFF"/>
              </w:rPr>
              <w:t>118 MHz, Copolar</w:t>
            </w:r>
          </w:p>
        </w:tc>
      </w:tr>
      <w:tr w:rsidR="00685FE5" w:rsidTr="00685FE5">
        <w:tc>
          <w:tcPr>
            <w:tcW w:w="3746" w:type="dxa"/>
            <w:tcBorders>
              <w:top w:val="single" w:sz="4" w:space="0" w:color="auto"/>
              <w:left w:val="single" w:sz="4" w:space="0" w:color="auto"/>
              <w:bottom w:val="single" w:sz="4" w:space="0" w:color="auto"/>
              <w:right w:val="single" w:sz="4" w:space="0" w:color="auto"/>
            </w:tcBorders>
            <w:hideMark/>
          </w:tcPr>
          <w:p w:rsidR="00685FE5" w:rsidRDefault="00685FE5">
            <w:pPr>
              <w:pStyle w:val="2para"/>
              <w:numPr>
                <w:ilvl w:val="0"/>
                <w:numId w:val="0"/>
              </w:numPr>
              <w:jc w:val="center"/>
              <w:rPr>
                <w:rFonts w:eastAsia="MS Mincho"/>
                <w:noProof/>
                <w:lang w:val="fr-FR" w:eastAsia="fr-FR"/>
              </w:rPr>
            </w:pPr>
            <w:r>
              <w:rPr>
                <w:noProof/>
                <w:lang w:val="en-CA" w:eastAsia="zh-CN"/>
              </w:rPr>
              <w:drawing>
                <wp:inline distT="0" distB="0" distL="0" distR="0" wp14:anchorId="5749128E" wp14:editId="2959B039">
                  <wp:extent cx="2074545" cy="1849120"/>
                  <wp:effectExtent l="0" t="0" r="190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4545" cy="1849120"/>
                          </a:xfrm>
                          <a:prstGeom prst="rect">
                            <a:avLst/>
                          </a:prstGeom>
                          <a:noFill/>
                          <a:ln>
                            <a:noFill/>
                          </a:ln>
                        </pic:spPr>
                      </pic:pic>
                    </a:graphicData>
                  </a:graphic>
                </wp:inline>
              </w:drawing>
            </w:r>
          </w:p>
          <w:p w:rsidR="00685FE5" w:rsidRDefault="00685FE5">
            <w:pPr>
              <w:pStyle w:val="2para"/>
              <w:numPr>
                <w:ilvl w:val="0"/>
                <w:numId w:val="0"/>
              </w:numPr>
              <w:jc w:val="center"/>
            </w:pPr>
            <w:r>
              <w:rPr>
                <w:noProof/>
                <w:lang w:val="fr-FR" w:eastAsia="fr-FR"/>
              </w:rPr>
              <w:t>Horizontal plan</w:t>
            </w:r>
          </w:p>
        </w:tc>
        <w:tc>
          <w:tcPr>
            <w:tcW w:w="3801" w:type="dxa"/>
            <w:tcBorders>
              <w:top w:val="single" w:sz="4" w:space="0" w:color="auto"/>
              <w:left w:val="single" w:sz="4" w:space="0" w:color="auto"/>
              <w:bottom w:val="single" w:sz="4" w:space="0" w:color="auto"/>
              <w:right w:val="single" w:sz="4" w:space="0" w:color="auto"/>
            </w:tcBorders>
            <w:hideMark/>
          </w:tcPr>
          <w:p w:rsidR="00685FE5" w:rsidRDefault="00685FE5">
            <w:pPr>
              <w:pStyle w:val="2para"/>
              <w:numPr>
                <w:ilvl w:val="0"/>
                <w:numId w:val="0"/>
              </w:numPr>
              <w:jc w:val="center"/>
              <w:rPr>
                <w:rFonts w:eastAsia="MS Mincho"/>
                <w:noProof/>
                <w:lang w:val="fr-FR" w:eastAsia="fr-FR"/>
              </w:rPr>
            </w:pPr>
            <w:r>
              <w:rPr>
                <w:noProof/>
                <w:lang w:val="en-CA" w:eastAsia="zh-CN"/>
              </w:rPr>
              <w:drawing>
                <wp:inline distT="0" distB="0" distL="0" distR="0" wp14:anchorId="70CA3DFD" wp14:editId="19B91776">
                  <wp:extent cx="1951355" cy="18288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1355" cy="1828800"/>
                          </a:xfrm>
                          <a:prstGeom prst="rect">
                            <a:avLst/>
                          </a:prstGeom>
                          <a:noFill/>
                          <a:ln>
                            <a:noFill/>
                          </a:ln>
                        </pic:spPr>
                      </pic:pic>
                    </a:graphicData>
                  </a:graphic>
                </wp:inline>
              </w:drawing>
            </w:r>
          </w:p>
          <w:p w:rsidR="00685FE5" w:rsidRDefault="00685FE5">
            <w:pPr>
              <w:pStyle w:val="2para"/>
              <w:numPr>
                <w:ilvl w:val="0"/>
                <w:numId w:val="0"/>
              </w:numPr>
              <w:jc w:val="center"/>
            </w:pPr>
            <w:r>
              <w:rPr>
                <w:noProof/>
                <w:lang w:val="fr-FR" w:eastAsia="fr-FR"/>
              </w:rPr>
              <w:t>Longitudinal plan</w:t>
            </w:r>
          </w:p>
        </w:tc>
        <w:tc>
          <w:tcPr>
            <w:tcW w:w="2640" w:type="dxa"/>
            <w:tcBorders>
              <w:top w:val="single" w:sz="4" w:space="0" w:color="auto"/>
              <w:left w:val="single" w:sz="4" w:space="0" w:color="auto"/>
              <w:bottom w:val="single" w:sz="4" w:space="0" w:color="auto"/>
              <w:right w:val="single" w:sz="4" w:space="0" w:color="auto"/>
            </w:tcBorders>
            <w:hideMark/>
          </w:tcPr>
          <w:p w:rsidR="00685FE5" w:rsidRDefault="00685FE5">
            <w:pPr>
              <w:pStyle w:val="2para"/>
              <w:numPr>
                <w:ilvl w:val="0"/>
                <w:numId w:val="0"/>
              </w:numPr>
              <w:jc w:val="center"/>
              <w:rPr>
                <w:rFonts w:eastAsia="MS Mincho"/>
                <w:noProof/>
                <w:lang w:val="fr-FR" w:eastAsia="fr-FR"/>
              </w:rPr>
            </w:pPr>
            <w:r>
              <w:rPr>
                <w:noProof/>
                <w:lang w:val="en-CA" w:eastAsia="zh-CN"/>
              </w:rPr>
              <w:drawing>
                <wp:inline distT="0" distB="0" distL="0" distR="0" wp14:anchorId="6CC5C9C7" wp14:editId="7ADAD52B">
                  <wp:extent cx="1924050" cy="1808480"/>
                  <wp:effectExtent l="0" t="0" r="0" b="12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1808480"/>
                          </a:xfrm>
                          <a:prstGeom prst="rect">
                            <a:avLst/>
                          </a:prstGeom>
                          <a:noFill/>
                          <a:ln>
                            <a:noFill/>
                          </a:ln>
                        </pic:spPr>
                      </pic:pic>
                    </a:graphicData>
                  </a:graphic>
                </wp:inline>
              </w:drawing>
            </w:r>
          </w:p>
          <w:p w:rsidR="00685FE5" w:rsidRDefault="00685FE5">
            <w:pPr>
              <w:pStyle w:val="2para"/>
              <w:numPr>
                <w:ilvl w:val="0"/>
                <w:numId w:val="0"/>
              </w:numPr>
              <w:jc w:val="center"/>
            </w:pPr>
            <w:r>
              <w:rPr>
                <w:noProof/>
                <w:lang w:val="fr-FR" w:eastAsia="fr-FR"/>
              </w:rPr>
              <w:t>Transversal plan</w:t>
            </w:r>
          </w:p>
        </w:tc>
      </w:tr>
      <w:tr w:rsidR="00685FE5" w:rsidTr="00685FE5">
        <w:tc>
          <w:tcPr>
            <w:tcW w:w="10187" w:type="dxa"/>
            <w:gridSpan w:val="3"/>
            <w:tcBorders>
              <w:top w:val="single" w:sz="4" w:space="0" w:color="auto"/>
              <w:left w:val="single" w:sz="4" w:space="0" w:color="auto"/>
              <w:bottom w:val="single" w:sz="4" w:space="0" w:color="auto"/>
              <w:right w:val="single" w:sz="4" w:space="0" w:color="auto"/>
            </w:tcBorders>
            <w:shd w:val="clear" w:color="auto" w:fill="5B9BD5"/>
            <w:hideMark/>
          </w:tcPr>
          <w:p w:rsidR="00685FE5" w:rsidRDefault="00685FE5">
            <w:pPr>
              <w:pStyle w:val="2para"/>
              <w:numPr>
                <w:ilvl w:val="0"/>
                <w:numId w:val="0"/>
              </w:numPr>
              <w:rPr>
                <w:b/>
                <w:color w:val="FFFFFF"/>
              </w:rPr>
            </w:pPr>
            <w:r>
              <w:rPr>
                <w:b/>
                <w:color w:val="FFFFFF"/>
              </w:rPr>
              <w:t>127 MHz, Copolar</w:t>
            </w:r>
          </w:p>
        </w:tc>
      </w:tr>
      <w:tr w:rsidR="00685FE5" w:rsidTr="00685FE5">
        <w:tc>
          <w:tcPr>
            <w:tcW w:w="3746" w:type="dxa"/>
            <w:tcBorders>
              <w:top w:val="single" w:sz="4" w:space="0" w:color="auto"/>
              <w:left w:val="single" w:sz="4" w:space="0" w:color="auto"/>
              <w:bottom w:val="single" w:sz="4" w:space="0" w:color="auto"/>
              <w:right w:val="single" w:sz="4" w:space="0" w:color="auto"/>
            </w:tcBorders>
            <w:hideMark/>
          </w:tcPr>
          <w:p w:rsidR="00685FE5" w:rsidRDefault="00685FE5">
            <w:pPr>
              <w:pStyle w:val="2para"/>
              <w:numPr>
                <w:ilvl w:val="0"/>
                <w:numId w:val="0"/>
              </w:numPr>
              <w:jc w:val="center"/>
              <w:rPr>
                <w:rFonts w:eastAsia="MS Mincho"/>
                <w:noProof/>
                <w:lang w:val="fr-FR" w:eastAsia="fr-FR"/>
              </w:rPr>
            </w:pPr>
            <w:r>
              <w:rPr>
                <w:noProof/>
                <w:lang w:val="en-CA" w:eastAsia="zh-CN"/>
              </w:rPr>
              <w:lastRenderedPageBreak/>
              <w:drawing>
                <wp:inline distT="0" distB="0" distL="0" distR="0" wp14:anchorId="3830D8D2" wp14:editId="44FAB00E">
                  <wp:extent cx="2094865" cy="1992630"/>
                  <wp:effectExtent l="0" t="0" r="635"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4865" cy="1992630"/>
                          </a:xfrm>
                          <a:prstGeom prst="rect">
                            <a:avLst/>
                          </a:prstGeom>
                          <a:noFill/>
                          <a:ln>
                            <a:noFill/>
                          </a:ln>
                        </pic:spPr>
                      </pic:pic>
                    </a:graphicData>
                  </a:graphic>
                </wp:inline>
              </w:drawing>
            </w:r>
          </w:p>
          <w:p w:rsidR="00685FE5" w:rsidRDefault="00685FE5">
            <w:pPr>
              <w:pStyle w:val="2para"/>
              <w:numPr>
                <w:ilvl w:val="0"/>
                <w:numId w:val="0"/>
              </w:numPr>
              <w:jc w:val="center"/>
            </w:pPr>
            <w:r>
              <w:rPr>
                <w:noProof/>
                <w:lang w:val="fr-FR" w:eastAsia="fr-FR"/>
              </w:rPr>
              <w:t>Horizontal plan</w:t>
            </w:r>
          </w:p>
        </w:tc>
        <w:tc>
          <w:tcPr>
            <w:tcW w:w="3801" w:type="dxa"/>
            <w:tcBorders>
              <w:top w:val="single" w:sz="4" w:space="0" w:color="auto"/>
              <w:left w:val="single" w:sz="4" w:space="0" w:color="auto"/>
              <w:bottom w:val="single" w:sz="4" w:space="0" w:color="auto"/>
              <w:right w:val="single" w:sz="4" w:space="0" w:color="auto"/>
            </w:tcBorders>
            <w:hideMark/>
          </w:tcPr>
          <w:p w:rsidR="00685FE5" w:rsidRDefault="00685FE5">
            <w:pPr>
              <w:pStyle w:val="2para"/>
              <w:numPr>
                <w:ilvl w:val="0"/>
                <w:numId w:val="0"/>
              </w:numPr>
              <w:jc w:val="center"/>
              <w:rPr>
                <w:rFonts w:eastAsia="MS Mincho"/>
                <w:noProof/>
                <w:lang w:val="fr-FR" w:eastAsia="fr-FR"/>
              </w:rPr>
            </w:pPr>
            <w:r>
              <w:rPr>
                <w:noProof/>
                <w:lang w:val="en-CA" w:eastAsia="zh-CN"/>
              </w:rPr>
              <w:drawing>
                <wp:inline distT="0" distB="0" distL="0" distR="0" wp14:anchorId="6040D2AA" wp14:editId="31DEABD6">
                  <wp:extent cx="2047240" cy="19653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7240" cy="1965325"/>
                          </a:xfrm>
                          <a:prstGeom prst="rect">
                            <a:avLst/>
                          </a:prstGeom>
                          <a:noFill/>
                          <a:ln>
                            <a:noFill/>
                          </a:ln>
                        </pic:spPr>
                      </pic:pic>
                    </a:graphicData>
                  </a:graphic>
                </wp:inline>
              </w:drawing>
            </w:r>
          </w:p>
          <w:p w:rsidR="00685FE5" w:rsidRDefault="00685FE5">
            <w:pPr>
              <w:pStyle w:val="2para"/>
              <w:numPr>
                <w:ilvl w:val="0"/>
                <w:numId w:val="0"/>
              </w:numPr>
              <w:jc w:val="center"/>
            </w:pPr>
            <w:r>
              <w:rPr>
                <w:noProof/>
                <w:lang w:val="fr-FR" w:eastAsia="fr-FR"/>
              </w:rPr>
              <w:t>Longitudinal plan</w:t>
            </w:r>
          </w:p>
        </w:tc>
        <w:tc>
          <w:tcPr>
            <w:tcW w:w="2640" w:type="dxa"/>
            <w:tcBorders>
              <w:top w:val="single" w:sz="4" w:space="0" w:color="auto"/>
              <w:left w:val="single" w:sz="4" w:space="0" w:color="auto"/>
              <w:bottom w:val="single" w:sz="4" w:space="0" w:color="auto"/>
              <w:right w:val="single" w:sz="4" w:space="0" w:color="auto"/>
            </w:tcBorders>
            <w:hideMark/>
          </w:tcPr>
          <w:p w:rsidR="00685FE5" w:rsidRDefault="00685FE5">
            <w:pPr>
              <w:pStyle w:val="2para"/>
              <w:numPr>
                <w:ilvl w:val="0"/>
                <w:numId w:val="0"/>
              </w:numPr>
              <w:jc w:val="center"/>
              <w:rPr>
                <w:rFonts w:eastAsia="MS Mincho"/>
                <w:noProof/>
                <w:lang w:val="fr-FR" w:eastAsia="fr-FR"/>
              </w:rPr>
            </w:pPr>
            <w:r>
              <w:rPr>
                <w:noProof/>
                <w:lang w:val="en-CA" w:eastAsia="zh-CN"/>
              </w:rPr>
              <w:drawing>
                <wp:inline distT="0" distB="0" distL="0" distR="0" wp14:anchorId="4672EFAF" wp14:editId="4261D63B">
                  <wp:extent cx="2012950" cy="1896745"/>
                  <wp:effectExtent l="0" t="0" r="635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2950" cy="1896745"/>
                          </a:xfrm>
                          <a:prstGeom prst="rect">
                            <a:avLst/>
                          </a:prstGeom>
                          <a:noFill/>
                          <a:ln>
                            <a:noFill/>
                          </a:ln>
                        </pic:spPr>
                      </pic:pic>
                    </a:graphicData>
                  </a:graphic>
                </wp:inline>
              </w:drawing>
            </w:r>
          </w:p>
          <w:p w:rsidR="00685FE5" w:rsidRDefault="00685FE5">
            <w:pPr>
              <w:pStyle w:val="2para"/>
              <w:numPr>
                <w:ilvl w:val="0"/>
                <w:numId w:val="0"/>
              </w:numPr>
              <w:jc w:val="center"/>
            </w:pPr>
            <w:r>
              <w:rPr>
                <w:noProof/>
                <w:lang w:val="fr-FR" w:eastAsia="fr-FR"/>
              </w:rPr>
              <w:t>Transversal plan</w:t>
            </w:r>
          </w:p>
        </w:tc>
      </w:tr>
      <w:tr w:rsidR="00685FE5" w:rsidTr="00685FE5">
        <w:tc>
          <w:tcPr>
            <w:tcW w:w="10187" w:type="dxa"/>
            <w:gridSpan w:val="3"/>
            <w:tcBorders>
              <w:top w:val="single" w:sz="4" w:space="0" w:color="auto"/>
              <w:left w:val="single" w:sz="4" w:space="0" w:color="auto"/>
              <w:bottom w:val="single" w:sz="4" w:space="0" w:color="auto"/>
              <w:right w:val="single" w:sz="4" w:space="0" w:color="auto"/>
            </w:tcBorders>
            <w:shd w:val="clear" w:color="auto" w:fill="5B9BD5"/>
            <w:hideMark/>
          </w:tcPr>
          <w:p w:rsidR="00685FE5" w:rsidRDefault="00685FE5">
            <w:pPr>
              <w:pStyle w:val="2para"/>
              <w:numPr>
                <w:ilvl w:val="0"/>
                <w:numId w:val="0"/>
              </w:numPr>
              <w:rPr>
                <w:b/>
                <w:color w:val="FFFFFF"/>
              </w:rPr>
            </w:pPr>
            <w:r>
              <w:rPr>
                <w:b/>
                <w:color w:val="FFFFFF"/>
              </w:rPr>
              <w:t>137 MHz, Copolar</w:t>
            </w:r>
          </w:p>
        </w:tc>
      </w:tr>
      <w:tr w:rsidR="00685FE5" w:rsidTr="00685FE5">
        <w:tc>
          <w:tcPr>
            <w:tcW w:w="3746" w:type="dxa"/>
            <w:tcBorders>
              <w:top w:val="single" w:sz="4" w:space="0" w:color="auto"/>
              <w:left w:val="single" w:sz="4" w:space="0" w:color="auto"/>
              <w:bottom w:val="single" w:sz="4" w:space="0" w:color="auto"/>
              <w:right w:val="single" w:sz="4" w:space="0" w:color="auto"/>
            </w:tcBorders>
            <w:hideMark/>
          </w:tcPr>
          <w:p w:rsidR="00685FE5" w:rsidRDefault="00685FE5">
            <w:pPr>
              <w:pStyle w:val="2para"/>
              <w:numPr>
                <w:ilvl w:val="0"/>
                <w:numId w:val="0"/>
              </w:numPr>
              <w:jc w:val="center"/>
              <w:rPr>
                <w:rFonts w:eastAsia="MS Mincho"/>
                <w:noProof/>
                <w:lang w:val="fr-FR" w:eastAsia="fr-FR"/>
              </w:rPr>
            </w:pPr>
            <w:r>
              <w:rPr>
                <w:noProof/>
                <w:lang w:val="en-CA" w:eastAsia="zh-CN"/>
              </w:rPr>
              <w:drawing>
                <wp:inline distT="0" distB="0" distL="0" distR="0" wp14:anchorId="3E645E1D" wp14:editId="2B7B5FB8">
                  <wp:extent cx="1999615" cy="1903730"/>
                  <wp:effectExtent l="0" t="0" r="635" b="127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99615" cy="1903730"/>
                          </a:xfrm>
                          <a:prstGeom prst="rect">
                            <a:avLst/>
                          </a:prstGeom>
                          <a:noFill/>
                          <a:ln>
                            <a:noFill/>
                          </a:ln>
                        </pic:spPr>
                      </pic:pic>
                    </a:graphicData>
                  </a:graphic>
                </wp:inline>
              </w:drawing>
            </w:r>
          </w:p>
          <w:p w:rsidR="00685FE5" w:rsidRDefault="00685FE5">
            <w:pPr>
              <w:pStyle w:val="2para"/>
              <w:numPr>
                <w:ilvl w:val="0"/>
                <w:numId w:val="0"/>
              </w:numPr>
              <w:jc w:val="center"/>
            </w:pPr>
            <w:r>
              <w:rPr>
                <w:noProof/>
                <w:lang w:val="fr-FR" w:eastAsia="fr-FR"/>
              </w:rPr>
              <w:t>Horizontal plan</w:t>
            </w:r>
          </w:p>
        </w:tc>
        <w:tc>
          <w:tcPr>
            <w:tcW w:w="3801" w:type="dxa"/>
            <w:tcBorders>
              <w:top w:val="single" w:sz="4" w:space="0" w:color="auto"/>
              <w:left w:val="single" w:sz="4" w:space="0" w:color="auto"/>
              <w:bottom w:val="single" w:sz="4" w:space="0" w:color="auto"/>
              <w:right w:val="single" w:sz="4" w:space="0" w:color="auto"/>
            </w:tcBorders>
            <w:hideMark/>
          </w:tcPr>
          <w:p w:rsidR="00685FE5" w:rsidRDefault="00685FE5">
            <w:pPr>
              <w:pStyle w:val="2para"/>
              <w:numPr>
                <w:ilvl w:val="0"/>
                <w:numId w:val="0"/>
              </w:numPr>
              <w:jc w:val="center"/>
              <w:rPr>
                <w:rFonts w:eastAsia="MS Mincho"/>
                <w:noProof/>
                <w:lang w:val="fr-FR" w:eastAsia="fr-FR"/>
              </w:rPr>
            </w:pPr>
            <w:r>
              <w:rPr>
                <w:noProof/>
                <w:lang w:val="en-CA" w:eastAsia="zh-CN"/>
              </w:rPr>
              <w:drawing>
                <wp:inline distT="0" distB="0" distL="0" distR="0" wp14:anchorId="3713DFE0" wp14:editId="10805989">
                  <wp:extent cx="1978660" cy="1883410"/>
                  <wp:effectExtent l="0" t="0" r="254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8660" cy="1883410"/>
                          </a:xfrm>
                          <a:prstGeom prst="rect">
                            <a:avLst/>
                          </a:prstGeom>
                          <a:noFill/>
                          <a:ln>
                            <a:noFill/>
                          </a:ln>
                        </pic:spPr>
                      </pic:pic>
                    </a:graphicData>
                  </a:graphic>
                </wp:inline>
              </w:drawing>
            </w:r>
          </w:p>
          <w:p w:rsidR="00685FE5" w:rsidRDefault="00685FE5">
            <w:pPr>
              <w:pStyle w:val="2para"/>
              <w:numPr>
                <w:ilvl w:val="0"/>
                <w:numId w:val="0"/>
              </w:numPr>
              <w:jc w:val="center"/>
            </w:pPr>
            <w:r>
              <w:rPr>
                <w:noProof/>
                <w:lang w:val="fr-FR" w:eastAsia="fr-FR"/>
              </w:rPr>
              <w:t>Longitudinal plan</w:t>
            </w:r>
          </w:p>
        </w:tc>
        <w:tc>
          <w:tcPr>
            <w:tcW w:w="2640" w:type="dxa"/>
            <w:tcBorders>
              <w:top w:val="single" w:sz="4" w:space="0" w:color="auto"/>
              <w:left w:val="single" w:sz="4" w:space="0" w:color="auto"/>
              <w:bottom w:val="single" w:sz="4" w:space="0" w:color="auto"/>
              <w:right w:val="single" w:sz="4" w:space="0" w:color="auto"/>
            </w:tcBorders>
            <w:hideMark/>
          </w:tcPr>
          <w:p w:rsidR="00685FE5" w:rsidRDefault="00685FE5">
            <w:pPr>
              <w:pStyle w:val="2para"/>
              <w:numPr>
                <w:ilvl w:val="0"/>
                <w:numId w:val="0"/>
              </w:numPr>
              <w:jc w:val="center"/>
              <w:rPr>
                <w:rFonts w:eastAsia="MS Mincho"/>
                <w:noProof/>
                <w:lang w:val="fr-FR" w:eastAsia="fr-FR"/>
              </w:rPr>
            </w:pPr>
            <w:r>
              <w:rPr>
                <w:noProof/>
                <w:lang w:val="en-CA" w:eastAsia="zh-CN"/>
              </w:rPr>
              <w:drawing>
                <wp:inline distT="0" distB="0" distL="0" distR="0" wp14:anchorId="26F7A959" wp14:editId="0628873D">
                  <wp:extent cx="1924050" cy="185610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24050" cy="1856105"/>
                          </a:xfrm>
                          <a:prstGeom prst="rect">
                            <a:avLst/>
                          </a:prstGeom>
                          <a:noFill/>
                          <a:ln>
                            <a:noFill/>
                          </a:ln>
                        </pic:spPr>
                      </pic:pic>
                    </a:graphicData>
                  </a:graphic>
                </wp:inline>
              </w:drawing>
            </w:r>
          </w:p>
          <w:p w:rsidR="00685FE5" w:rsidRDefault="00685FE5">
            <w:pPr>
              <w:pStyle w:val="2para"/>
              <w:numPr>
                <w:ilvl w:val="0"/>
                <w:numId w:val="0"/>
              </w:numPr>
              <w:jc w:val="center"/>
            </w:pPr>
            <w:r>
              <w:rPr>
                <w:noProof/>
                <w:lang w:val="fr-FR" w:eastAsia="fr-FR"/>
              </w:rPr>
              <w:t>Transversal plan</w:t>
            </w:r>
          </w:p>
        </w:tc>
      </w:tr>
    </w:tbl>
    <w:p w:rsidR="00685FE5" w:rsidRDefault="00685FE5" w:rsidP="00685FE5">
      <w:pPr>
        <w:rPr>
          <w:rFonts w:eastAsia="MS Mincho"/>
        </w:rPr>
      </w:pPr>
    </w:p>
    <w:p w:rsidR="005B1102" w:rsidRDefault="005B1102" w:rsidP="002D3495">
      <w:pPr>
        <w:pStyle w:val="1Heading"/>
        <w:outlineLvl w:val="0"/>
      </w:pPr>
      <w:r w:rsidRPr="005B1102">
        <w:t>Aircraft VHF receiver performance requirement</w:t>
      </w:r>
    </w:p>
    <w:p w:rsidR="005B1102" w:rsidRDefault="00EA37D2" w:rsidP="002D3495">
      <w:pPr>
        <w:pStyle w:val="2para"/>
        <w:outlineLvl w:val="9"/>
      </w:pPr>
      <w:r>
        <w:t>Two different values were noted by ITU</w:t>
      </w:r>
      <w:r w:rsidR="000B39D1">
        <w:t>-R based on the available literature</w:t>
      </w:r>
      <w:r>
        <w:t>:</w:t>
      </w:r>
    </w:p>
    <w:p w:rsidR="00EA37D2" w:rsidRPr="00F57D6D" w:rsidRDefault="00EA37D2" w:rsidP="002D3495">
      <w:pPr>
        <w:pStyle w:val="2para"/>
        <w:numPr>
          <w:ilvl w:val="0"/>
          <w:numId w:val="19"/>
        </w:numPr>
        <w:outlineLvl w:val="9"/>
      </w:pPr>
      <w:r>
        <w:t xml:space="preserve">The first one is coming from the ICAO </w:t>
      </w:r>
      <w:r w:rsidRPr="00EA37D2">
        <w:t>Annex 10 Volume III Part II</w:t>
      </w:r>
      <w:r>
        <w:t xml:space="preserve"> (</w:t>
      </w:r>
      <w:r w:rsidRPr="00F57D6D">
        <w:rPr>
          <w:lang w:val="en-US"/>
        </w:rPr>
        <w:t>section 2.3.2.2.1).</w:t>
      </w:r>
      <w:r w:rsidR="00F57D6D" w:rsidRPr="00F57D6D">
        <w:rPr>
          <w:lang w:val="en-US"/>
        </w:rPr>
        <w:t xml:space="preserve"> T</w:t>
      </w:r>
      <w:r w:rsidR="00BC5F34">
        <w:rPr>
          <w:lang w:val="en-US"/>
        </w:rPr>
        <w:t xml:space="preserve">he field strength value of </w:t>
      </w:r>
      <w:r w:rsidR="00F57D6D" w:rsidRPr="00F57D6D">
        <w:rPr>
          <w:lang w:val="en-US"/>
        </w:rPr>
        <w:t>30 microvolts per</w:t>
      </w:r>
      <w:r w:rsidR="00F57D6D">
        <w:rPr>
          <w:lang w:val="en-US"/>
        </w:rPr>
        <w:t xml:space="preserve"> </w:t>
      </w:r>
      <w:r w:rsidR="00F57D6D" w:rsidRPr="00F57D6D">
        <w:rPr>
          <w:lang w:val="en-US"/>
        </w:rPr>
        <w:t>meter</w:t>
      </w:r>
      <w:r w:rsidR="00F57D6D">
        <w:rPr>
          <w:lang w:val="en-US"/>
        </w:rPr>
        <w:t xml:space="preserve"> (- 116</w:t>
      </w:r>
      <w:r w:rsidR="00F57D6D" w:rsidRPr="00F57D6D">
        <w:rPr>
          <w:lang w:val="en-US"/>
        </w:rPr>
        <w:t xml:space="preserve"> dBW/m2</w:t>
      </w:r>
      <w:r w:rsidR="00BC5F34">
        <w:rPr>
          <w:lang w:val="en-US"/>
        </w:rPr>
        <w:t xml:space="preserve"> which becomes -90 dBm through an isotropic antenna</w:t>
      </w:r>
      <w:r w:rsidR="00F57D6D" w:rsidRPr="00F57D6D">
        <w:rPr>
          <w:lang w:val="en-US"/>
        </w:rPr>
        <w:t>)</w:t>
      </w:r>
      <w:r w:rsidR="00F57D6D">
        <w:rPr>
          <w:lang w:val="en-US"/>
        </w:rPr>
        <w:t xml:space="preserve"> is assumed for </w:t>
      </w:r>
      <w:r w:rsidR="00F57D6D" w:rsidRPr="00F57D6D">
        <w:rPr>
          <w:lang w:val="en-US"/>
        </w:rPr>
        <w:t>planning extended range VHF facilities</w:t>
      </w:r>
      <w:r w:rsidR="00F57D6D">
        <w:rPr>
          <w:lang w:val="en-US"/>
        </w:rPr>
        <w:t xml:space="preserve">. The section also recommends a field strength of </w:t>
      </w:r>
      <w:r w:rsidR="00F57D6D" w:rsidRPr="00F57D6D">
        <w:rPr>
          <w:lang w:val="en-US"/>
        </w:rPr>
        <w:t>75 microvolts per meter (</w:t>
      </w:r>
      <w:r w:rsidR="00F57D6D">
        <w:rPr>
          <w:lang w:val="en-US"/>
        </w:rPr>
        <w:t>-</w:t>
      </w:r>
      <w:r w:rsidR="00F57D6D" w:rsidRPr="00F57D6D">
        <w:rPr>
          <w:lang w:val="en-US"/>
        </w:rPr>
        <w:t xml:space="preserve"> 109 dBW/m2</w:t>
      </w:r>
      <w:r w:rsidR="00BC5F34">
        <w:rPr>
          <w:lang w:val="en-US"/>
        </w:rPr>
        <w:t xml:space="preserve"> which becomes -83 dBm through an isotropic antenna</w:t>
      </w:r>
      <w:r w:rsidR="00F57D6D" w:rsidRPr="00F57D6D">
        <w:rPr>
          <w:lang w:val="en-US"/>
        </w:rPr>
        <w:t>)</w:t>
      </w:r>
      <w:r w:rsidR="00F57D6D">
        <w:rPr>
          <w:lang w:val="en-US"/>
        </w:rPr>
        <w:t>.</w:t>
      </w:r>
    </w:p>
    <w:p w:rsidR="00F57D6D" w:rsidRDefault="00F57D6D" w:rsidP="002D3495">
      <w:pPr>
        <w:pStyle w:val="2para"/>
        <w:numPr>
          <w:ilvl w:val="0"/>
          <w:numId w:val="0"/>
        </w:numPr>
        <w:ind w:left="720" w:hanging="720"/>
        <w:outlineLvl w:val="9"/>
      </w:pPr>
      <w:r>
        <w:rPr>
          <w:noProof/>
          <w:lang w:val="en-CA" w:eastAsia="zh-CN"/>
        </w:rPr>
        <w:lastRenderedPageBreak/>
        <w:drawing>
          <wp:inline distT="0" distB="0" distL="0" distR="0" wp14:anchorId="061E50FE" wp14:editId="5415C224">
            <wp:extent cx="5972810" cy="1360170"/>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72810" cy="1360170"/>
                    </a:xfrm>
                    <a:prstGeom prst="rect">
                      <a:avLst/>
                    </a:prstGeom>
                  </pic:spPr>
                </pic:pic>
              </a:graphicData>
            </a:graphic>
          </wp:inline>
        </w:drawing>
      </w:r>
    </w:p>
    <w:p w:rsidR="002D3E38" w:rsidRPr="00EA37D2" w:rsidRDefault="002D3E38" w:rsidP="00663277">
      <w:pPr>
        <w:pStyle w:val="Quote"/>
        <w:spacing w:after="240"/>
        <w:jc w:val="center"/>
      </w:pPr>
      <w:r>
        <w:t>Figure 1: Extract from the section 2.3.2.2.1 of ICAO Annex 10 Volume III</w:t>
      </w:r>
    </w:p>
    <w:p w:rsidR="00EA37D2" w:rsidRDefault="00F57D6D" w:rsidP="002D3495">
      <w:pPr>
        <w:pStyle w:val="2para"/>
        <w:numPr>
          <w:ilvl w:val="0"/>
          <w:numId w:val="19"/>
        </w:numPr>
        <w:outlineLvl w:val="9"/>
      </w:pPr>
      <w:r>
        <w:t>The second one is coming from aeronautical standards were the value of -93 dBm with a SINAD of 6dB is given.</w:t>
      </w:r>
    </w:p>
    <w:p w:rsidR="00F57D6D" w:rsidRDefault="00F57D6D" w:rsidP="002D3495">
      <w:pPr>
        <w:pStyle w:val="2para"/>
        <w:numPr>
          <w:ilvl w:val="0"/>
          <w:numId w:val="0"/>
        </w:numPr>
        <w:ind w:left="720" w:hanging="720"/>
        <w:outlineLvl w:val="9"/>
      </w:pPr>
      <w:r>
        <w:rPr>
          <w:noProof/>
          <w:lang w:val="en-CA" w:eastAsia="zh-CN"/>
        </w:rPr>
        <w:drawing>
          <wp:inline distT="0" distB="0" distL="0" distR="0" wp14:anchorId="50B2BACF" wp14:editId="73B5729C">
            <wp:extent cx="5972810" cy="1129030"/>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72810" cy="1129030"/>
                    </a:xfrm>
                    <a:prstGeom prst="rect">
                      <a:avLst/>
                    </a:prstGeom>
                  </pic:spPr>
                </pic:pic>
              </a:graphicData>
            </a:graphic>
          </wp:inline>
        </w:drawing>
      </w:r>
    </w:p>
    <w:p w:rsidR="002D3E38" w:rsidRPr="00EA37D2" w:rsidRDefault="002D3E38" w:rsidP="00663277">
      <w:pPr>
        <w:pStyle w:val="Quote"/>
        <w:spacing w:after="240"/>
        <w:jc w:val="center"/>
      </w:pPr>
      <w:r>
        <w:t>Figure 2: Extract from Aeronautical Standards (ED-23C)</w:t>
      </w:r>
    </w:p>
    <w:p w:rsidR="002D3E38" w:rsidRDefault="002D3E38" w:rsidP="002D3495">
      <w:pPr>
        <w:pStyle w:val="2para"/>
        <w:numPr>
          <w:ilvl w:val="0"/>
          <w:numId w:val="0"/>
        </w:numPr>
        <w:ind w:left="720" w:hanging="720"/>
        <w:outlineLvl w:val="9"/>
      </w:pPr>
    </w:p>
    <w:p w:rsidR="00BC5F34" w:rsidRDefault="00BC5F34" w:rsidP="002D3495">
      <w:pPr>
        <w:pStyle w:val="2para"/>
        <w:numPr>
          <w:ilvl w:val="0"/>
          <w:numId w:val="0"/>
        </w:numPr>
        <w:ind w:left="720" w:hanging="720"/>
        <w:outlineLvl w:val="9"/>
      </w:pPr>
      <w:r w:rsidRPr="00BC5F34">
        <w:rPr>
          <w:highlight w:val="yellow"/>
        </w:rPr>
        <w:t>[TBC by Response of the Communication Panel or its working group]</w:t>
      </w:r>
    </w:p>
    <w:p w:rsidR="00F57D6D" w:rsidRPr="005B1102" w:rsidRDefault="00F57D6D" w:rsidP="002D3495">
      <w:pPr>
        <w:pStyle w:val="2para"/>
        <w:numPr>
          <w:ilvl w:val="0"/>
          <w:numId w:val="0"/>
        </w:numPr>
        <w:ind w:left="720" w:hanging="720"/>
        <w:outlineLvl w:val="9"/>
      </w:pPr>
    </w:p>
    <w:p w:rsidR="005B1102" w:rsidRPr="002D3495" w:rsidRDefault="005B1102" w:rsidP="00E64997">
      <w:pPr>
        <w:pStyle w:val="1Heading"/>
        <w:outlineLvl w:val="0"/>
      </w:pPr>
      <w:r w:rsidRPr="002D3495">
        <w:t>Ionospheric propagation losses and required availability performance</w:t>
      </w:r>
    </w:p>
    <w:p w:rsidR="00CB1F05" w:rsidRDefault="00CB1F05" w:rsidP="00CB1F05">
      <w:r w:rsidRPr="00CB1F05">
        <w:t>In the envisaged frequency band, Faraday rotation and scintillation will be very dimensioning in the VHF satellite system design, as they correspond to very significant propagation losses. These two effects depend on factors such as time of year, time of day, solar cycle, and geomagnetic conditions. Unfortunately, the current available models at ITU-R do not provide a granularity that would allow to split the estimation by region, and possibly between day and night period (for instance 18:00-00:00, and 00:00-18:00), which would be very helpful in order to quantify the link availability per period of the day and per location.</w:t>
      </w:r>
      <w:r>
        <w:t xml:space="preserve"> WP 5B is seeking information from ICAO if a reference availability target can be identified for aeronautical VHF voice communications, and if such a reference could depend upon time and location.</w:t>
      </w:r>
    </w:p>
    <w:p w:rsidR="00CB1F05" w:rsidRDefault="001A225C" w:rsidP="00DA3EFA">
      <w:pPr>
        <w:tabs>
          <w:tab w:val="left" w:pos="4363"/>
        </w:tabs>
        <w:spacing w:after="240"/>
        <w:jc w:val="left"/>
      </w:pPr>
      <w:r>
        <w:tab/>
      </w:r>
    </w:p>
    <w:p w:rsidR="00BC5F34" w:rsidRPr="00BC5F34" w:rsidRDefault="00BC5F34" w:rsidP="00BC5F34">
      <w:pPr>
        <w:spacing w:after="240"/>
        <w:jc w:val="left"/>
      </w:pPr>
      <w:r w:rsidRPr="00BC5F34">
        <w:t>In France, the availability of the VHF ground stations depends on the operational usage (ATC control or ATC information) of the VHF link. For example:</w:t>
      </w:r>
    </w:p>
    <w:p w:rsidR="00BC5F34" w:rsidRPr="00DA3EFA" w:rsidRDefault="00BC5F34" w:rsidP="00BC5F34">
      <w:pPr>
        <w:pStyle w:val="ListParagraph"/>
        <w:numPr>
          <w:ilvl w:val="0"/>
          <w:numId w:val="19"/>
        </w:numPr>
        <w:spacing w:after="240"/>
        <w:jc w:val="left"/>
        <w:rPr>
          <w:rFonts w:ascii="Times New Roman" w:eastAsia="Times New Roman" w:hAnsi="Times New Roman"/>
          <w:sz w:val="22"/>
          <w:szCs w:val="20"/>
        </w:rPr>
      </w:pPr>
      <w:r w:rsidRPr="00DA3EFA">
        <w:rPr>
          <w:rFonts w:ascii="Times New Roman" w:eastAsia="Times New Roman" w:hAnsi="Times New Roman"/>
          <w:sz w:val="22"/>
          <w:szCs w:val="20"/>
        </w:rPr>
        <w:t>ATC information: 99,852%,</w:t>
      </w:r>
    </w:p>
    <w:p w:rsidR="00BC5F34" w:rsidRPr="00DA3EFA" w:rsidRDefault="00BC5F34" w:rsidP="00BC5F34">
      <w:pPr>
        <w:pStyle w:val="ListParagraph"/>
        <w:numPr>
          <w:ilvl w:val="0"/>
          <w:numId w:val="19"/>
        </w:numPr>
        <w:spacing w:after="240"/>
        <w:jc w:val="left"/>
        <w:rPr>
          <w:rFonts w:ascii="Times New Roman" w:eastAsia="Times New Roman" w:hAnsi="Times New Roman"/>
          <w:sz w:val="22"/>
          <w:szCs w:val="20"/>
        </w:rPr>
      </w:pPr>
      <w:r w:rsidRPr="00DA3EFA">
        <w:rPr>
          <w:rFonts w:ascii="Times New Roman" w:eastAsia="Times New Roman" w:hAnsi="Times New Roman"/>
          <w:sz w:val="22"/>
          <w:szCs w:val="20"/>
        </w:rPr>
        <w:t>ATC control: 99,9991%.</w:t>
      </w:r>
    </w:p>
    <w:p w:rsidR="009232DE" w:rsidRDefault="009232DE" w:rsidP="009232DE">
      <w:pPr>
        <w:spacing w:after="240"/>
        <w:jc w:val="left"/>
      </w:pPr>
      <w:r>
        <w:lastRenderedPageBreak/>
        <w:t>One can note that these values highly depends on the weaker part of the system which is often the fixed service link used.</w:t>
      </w:r>
    </w:p>
    <w:p w:rsidR="001A225C" w:rsidRDefault="001A225C" w:rsidP="009232DE">
      <w:pPr>
        <w:spacing w:after="240"/>
        <w:jc w:val="left"/>
      </w:pPr>
      <w:r>
        <w:t xml:space="preserve">A satellite aeronautical VHF voice communications system would represent a breakthrough towards so-called “seamless ATM plan”: on </w:t>
      </w:r>
      <w:r w:rsidR="007F1ED7">
        <w:t xml:space="preserve">the </w:t>
      </w:r>
      <w:r>
        <w:t xml:space="preserve">one hand it would possibly make the voice service available worldwide, </w:t>
      </w:r>
      <w:r w:rsidR="007F1ED7">
        <w:t>including</w:t>
      </w:r>
      <w:r>
        <w:t xml:space="preserve"> over oceanic and remote areas, and on the other hand it could also backup terrestrial stations in case they are affected by a catastrophic event. As such, </w:t>
      </w:r>
      <w:r w:rsidR="00EB21AA">
        <w:t>there is no</w:t>
      </w:r>
      <w:r>
        <w:t xml:space="preserve"> </w:t>
      </w:r>
      <w:r w:rsidR="00EB21AA">
        <w:t xml:space="preserve">existing </w:t>
      </w:r>
      <w:r>
        <w:t xml:space="preserve">performance requirement for a </w:t>
      </w:r>
      <w:r w:rsidR="00EB21AA">
        <w:t xml:space="preserve">VHF </w:t>
      </w:r>
      <w:r>
        <w:t xml:space="preserve">satellite system, but it is expected that the availability performance should be close to </w:t>
      </w:r>
      <w:r w:rsidR="00D40109">
        <w:t>that of the VHF ATC ground stations.</w:t>
      </w:r>
    </w:p>
    <w:p w:rsidR="00EB21AA" w:rsidRDefault="00D40109" w:rsidP="009232DE">
      <w:pPr>
        <w:spacing w:after="240"/>
        <w:jc w:val="left"/>
      </w:pPr>
      <w:r>
        <w:t>Once a satellite system is designed, its availability performance will be evaluated, and will represent an important input for ANSPs interested by the service</w:t>
      </w:r>
      <w:r w:rsidR="00E62B3E">
        <w:t xml:space="preserve">. They will </w:t>
      </w:r>
      <w:r>
        <w:t xml:space="preserve">define </w:t>
      </w:r>
      <w:r w:rsidR="007F1ED7">
        <w:t xml:space="preserve">a set of </w:t>
      </w:r>
      <w:r>
        <w:t xml:space="preserve">operational measures required in order to </w:t>
      </w:r>
      <w:r w:rsidR="007F1ED7">
        <w:t>reach</w:t>
      </w:r>
      <w:r>
        <w:t xml:space="preserve"> a given safety objective. It is understood that VHF scintillation is very </w:t>
      </w:r>
      <w:r w:rsidR="007F1ED7">
        <w:t>dimensioning over specific regions (for instance at low latitudes), and is maximum at sunset with very strong variations between day and night periods.</w:t>
      </w:r>
      <w:r w:rsidR="00E62B3E">
        <w:t xml:space="preserve"> Depending on system trade-offs, it may be of interest not to dimension the satellite system to account for the worst case propagation loss, which is very much time and location specific, and to compensate with appropriate measures (like appropriate flight planning) over the concerned regions when affected.</w:t>
      </w:r>
    </w:p>
    <w:p w:rsidR="00D40109" w:rsidRDefault="00EB21AA" w:rsidP="009232DE">
      <w:pPr>
        <w:spacing w:after="240"/>
        <w:jc w:val="left"/>
      </w:pPr>
      <w:r>
        <w:t>An example of such measure exists in French Polynesia for flights</w:t>
      </w:r>
      <w:r>
        <w:rPr>
          <w:lang w:val="en-US"/>
        </w:rPr>
        <w:t xml:space="preserve"> over large oceanic areas using HF communications, which avoid certain time slots in order to avoid facing strong propagation losses.</w:t>
      </w:r>
    </w:p>
    <w:p w:rsidR="005B1102" w:rsidRPr="00BC5F34" w:rsidRDefault="005B1102" w:rsidP="002D3495">
      <w:pPr>
        <w:pStyle w:val="2para"/>
        <w:outlineLvl w:val="9"/>
      </w:pPr>
    </w:p>
    <w:p w:rsidR="005B1102" w:rsidRDefault="005B1102" w:rsidP="00E64997">
      <w:pPr>
        <w:pStyle w:val="1Heading"/>
        <w:outlineLvl w:val="0"/>
      </w:pPr>
      <w:r>
        <w:t>Compatibility study between AM(R)S and AMS(R)S</w:t>
      </w:r>
    </w:p>
    <w:p w:rsidR="00BC5F34" w:rsidRDefault="00CB1F05" w:rsidP="00BC5F34">
      <w:pPr>
        <w:spacing w:after="240"/>
        <w:jc w:val="left"/>
      </w:pPr>
      <w:r>
        <w:t>Even if not covered in the WP 5B’s liaison statement, it has to be noted that d</w:t>
      </w:r>
      <w:r w:rsidR="00BC5F34">
        <w:t xml:space="preserve">uring the last WP5B, questions were raised about the need to perform a compatibility analysis between the existing terrestrial VHF communications operating under the AM(R)S </w:t>
      </w:r>
      <w:r>
        <w:t xml:space="preserve">allocation </w:t>
      </w:r>
      <w:r w:rsidR="00BC5F34">
        <w:t xml:space="preserve">and the </w:t>
      </w:r>
      <w:r w:rsidR="00E62B3E">
        <w:t xml:space="preserve">possible </w:t>
      </w:r>
      <w:r w:rsidR="00BC5F34">
        <w:t>future satellite VHF communication</w:t>
      </w:r>
      <w:r w:rsidR="00E62B3E">
        <w:t>s</w:t>
      </w:r>
      <w:r w:rsidR="00BC5F34">
        <w:t xml:space="preserve"> that </w:t>
      </w:r>
      <w:r w:rsidR="00E62B3E">
        <w:t xml:space="preserve">would </w:t>
      </w:r>
      <w:r w:rsidR="00BC5F34">
        <w:t xml:space="preserve">be operating under </w:t>
      </w:r>
      <w:r w:rsidR="00E62B3E">
        <w:t xml:space="preserve">a new </w:t>
      </w:r>
      <w:r w:rsidR="00BC5F34">
        <w:t>AMS(R)S</w:t>
      </w:r>
      <w:r>
        <w:t xml:space="preserve"> allocation</w:t>
      </w:r>
      <w:r w:rsidR="00BC5F34">
        <w:t>.</w:t>
      </w:r>
    </w:p>
    <w:p w:rsidR="00BC5F34" w:rsidRDefault="00CB1F05" w:rsidP="00BC5F34">
      <w:pPr>
        <w:spacing w:after="240"/>
        <w:jc w:val="left"/>
      </w:pPr>
      <w:r>
        <w:t>It should be noted</w:t>
      </w:r>
      <w:r w:rsidR="00BC5F34">
        <w:t xml:space="preserve"> that even if </w:t>
      </w:r>
      <w:r>
        <w:t>the</w:t>
      </w:r>
      <w:r w:rsidR="00BC5F34">
        <w:t xml:space="preserve"> </w:t>
      </w:r>
      <w:r>
        <w:t xml:space="preserve">two </w:t>
      </w:r>
      <w:r w:rsidR="00BC5F34">
        <w:t xml:space="preserve">services </w:t>
      </w:r>
      <w:r w:rsidR="00E62B3E">
        <w:t>wou</w:t>
      </w:r>
      <w:r w:rsidR="001A1B06">
        <w:t>l</w:t>
      </w:r>
      <w:r w:rsidR="00E62B3E">
        <w:t>d</w:t>
      </w:r>
      <w:r>
        <w:t xml:space="preserve"> be used</w:t>
      </w:r>
      <w:r w:rsidR="00BC5F34">
        <w:t xml:space="preserve"> </w:t>
      </w:r>
      <w:r>
        <w:t>under different “allocations” at</w:t>
      </w:r>
      <w:r w:rsidR="00BC5F34">
        <w:t xml:space="preserve"> ITU</w:t>
      </w:r>
      <w:r>
        <w:t>-R level</w:t>
      </w:r>
      <w:r w:rsidR="00BC5F34">
        <w:t xml:space="preserve">, the system on-board the aircraft </w:t>
      </w:r>
      <w:r w:rsidR="00E62B3E">
        <w:t xml:space="preserve">would </w:t>
      </w:r>
      <w:r w:rsidR="00BC5F34">
        <w:t xml:space="preserve">not be changed and </w:t>
      </w:r>
      <w:r w:rsidR="00E62B3E">
        <w:t>would</w:t>
      </w:r>
      <w:r w:rsidR="00BC5F34">
        <w:t xml:space="preserve"> communicate with the ground or satellite station</w:t>
      </w:r>
      <w:r w:rsidR="00E62B3E">
        <w:t>s</w:t>
      </w:r>
      <w:r w:rsidR="00BC5F34">
        <w:t xml:space="preserve"> without any discrimination.</w:t>
      </w:r>
    </w:p>
    <w:p w:rsidR="002D3E38" w:rsidRPr="00BC5F34" w:rsidRDefault="001A1B06" w:rsidP="00BC5F34">
      <w:pPr>
        <w:spacing w:after="240"/>
        <w:jc w:val="left"/>
      </w:pPr>
      <w:r>
        <w:t xml:space="preserve">A VHF satellite system would likely correspond to relatively low gain and non-directional satellite antennas, which would result in the inability to reuse via satellite any frequency already operated by terrestrial stations within its coverage. In order for interested countries to benefit from a new satellite aeronautical VHF voice communication service, </w:t>
      </w:r>
      <w:r w:rsidR="002D3E38">
        <w:t xml:space="preserve">ICAO </w:t>
      </w:r>
      <w:r>
        <w:t xml:space="preserve">would have to </w:t>
      </w:r>
      <w:r w:rsidR="002D3E38">
        <w:t xml:space="preserve">perform a conventional </w:t>
      </w:r>
      <w:r>
        <w:t xml:space="preserve">frequency </w:t>
      </w:r>
      <w:r w:rsidR="002D3E38">
        <w:t xml:space="preserve">planning </w:t>
      </w:r>
      <w:r>
        <w:t xml:space="preserve">exercise, assigning frequencies to the satellite system over interested regions, so as </w:t>
      </w:r>
      <w:r w:rsidR="002D3E38">
        <w:t xml:space="preserve">to ensure </w:t>
      </w:r>
      <w:r>
        <w:t>compatibility</w:t>
      </w:r>
      <w:r w:rsidR="002D3E38">
        <w:t xml:space="preserve"> between ground and satellite facilities.</w:t>
      </w:r>
    </w:p>
    <w:p w:rsidR="005B1102" w:rsidRPr="005B1102" w:rsidRDefault="002D3E38" w:rsidP="002D3E38">
      <w:pPr>
        <w:spacing w:after="240"/>
        <w:jc w:val="left"/>
      </w:pPr>
      <w:r>
        <w:t xml:space="preserve">Therefore, </w:t>
      </w:r>
      <w:r w:rsidR="00CB1F05">
        <w:t>from an</w:t>
      </w:r>
      <w:r>
        <w:t xml:space="preserve"> ICAO </w:t>
      </w:r>
      <w:r w:rsidR="00CB1F05">
        <w:t xml:space="preserve">perspective there is no need </w:t>
      </w:r>
      <w:r>
        <w:t xml:space="preserve">to </w:t>
      </w:r>
      <w:r w:rsidR="00CB1F05">
        <w:t xml:space="preserve">perform </w:t>
      </w:r>
      <w:r>
        <w:t xml:space="preserve">a compatibility study </w:t>
      </w:r>
      <w:r w:rsidR="00667448">
        <w:t xml:space="preserve">within </w:t>
      </w:r>
      <w:r>
        <w:t>ITU</w:t>
      </w:r>
      <w:r w:rsidR="00CB1F05">
        <w:t>-R</w:t>
      </w:r>
      <w:r>
        <w:t xml:space="preserve"> between the</w:t>
      </w:r>
      <w:r w:rsidR="00CB1F05">
        <w:t>se</w:t>
      </w:r>
      <w:r>
        <w:t xml:space="preserve"> two different services</w:t>
      </w:r>
      <w:r w:rsidR="00CB1F05">
        <w:t>,</w:t>
      </w:r>
      <w:r>
        <w:t xml:space="preserve"> that in reality cover the same system on-board the aircraft.</w:t>
      </w:r>
    </w:p>
    <w:p w:rsidR="00770160" w:rsidRDefault="00770160" w:rsidP="00E64997">
      <w:pPr>
        <w:pStyle w:val="1Heading"/>
        <w:outlineLvl w:val="0"/>
      </w:pPr>
      <w:r>
        <w:t>ACTION BY THE MEETING</w:t>
      </w:r>
    </w:p>
    <w:p w:rsidR="00770160" w:rsidRDefault="00E64997" w:rsidP="00E64997">
      <w:pPr>
        <w:pStyle w:val="2para"/>
        <w:numPr>
          <w:ilvl w:val="0"/>
          <w:numId w:val="0"/>
        </w:numPr>
        <w:outlineLvl w:val="9"/>
      </w:pPr>
      <w:r>
        <w:tab/>
      </w:r>
      <w:r w:rsidR="00770160">
        <w:t>The meeting is invited to:</w:t>
      </w:r>
    </w:p>
    <w:p w:rsidR="00770160" w:rsidRDefault="00770160">
      <w:pPr>
        <w:pStyle w:val="Listabc"/>
      </w:pPr>
      <w:r>
        <w:rPr>
          <w:lang w:val="en-GB"/>
        </w:rPr>
        <w:t>n</w:t>
      </w:r>
      <w:r>
        <w:t>ote and review the contents of this working paper;</w:t>
      </w:r>
    </w:p>
    <w:p w:rsidR="00602DE9" w:rsidRDefault="00BC5F34">
      <w:pPr>
        <w:pStyle w:val="Listabc"/>
      </w:pPr>
      <w:r>
        <w:lastRenderedPageBreak/>
        <w:t xml:space="preserve">Complete the elements </w:t>
      </w:r>
      <w:r w:rsidR="00CB1F05">
        <w:t xml:space="preserve">of </w:t>
      </w:r>
      <w:r>
        <w:t>the LS to be sent to WP5B</w:t>
      </w:r>
      <w:r w:rsidR="00CA0E7A">
        <w:t>.</w:t>
      </w:r>
    </w:p>
    <w:p w:rsidR="00A12CBA" w:rsidRDefault="00770160">
      <w:pPr>
        <w:spacing w:before="600"/>
        <w:jc w:val="center"/>
      </w:pPr>
      <w:r>
        <w:t>— END —</w:t>
      </w:r>
    </w:p>
    <w:p w:rsidR="005B1102" w:rsidRDefault="005B1102">
      <w:pPr>
        <w:jc w:val="left"/>
        <w:rPr>
          <w:rFonts w:asciiTheme="majorHAnsi" w:eastAsiaTheme="majorEastAsia" w:hAnsiTheme="majorHAnsi" w:cstheme="majorBidi"/>
          <w:color w:val="17365D" w:themeColor="text2" w:themeShade="BF"/>
          <w:spacing w:val="5"/>
          <w:kern w:val="28"/>
          <w:sz w:val="52"/>
          <w:szCs w:val="52"/>
        </w:rPr>
      </w:pPr>
      <w:r>
        <w:br w:type="page"/>
      </w:r>
    </w:p>
    <w:p w:rsidR="005B1102" w:rsidRDefault="005B1102" w:rsidP="002D3495">
      <w:pPr>
        <w:pStyle w:val="Title"/>
        <w:jc w:val="center"/>
        <w:outlineLvl w:val="0"/>
      </w:pPr>
      <w:r>
        <w:lastRenderedPageBreak/>
        <w:t>Annex</w:t>
      </w:r>
    </w:p>
    <w:p w:rsidR="005B1102" w:rsidRDefault="005B1102" w:rsidP="005B1102">
      <w:pPr>
        <w:pStyle w:val="1Heading"/>
        <w:numPr>
          <w:ilvl w:val="0"/>
          <w:numId w:val="0"/>
        </w:numPr>
        <w:ind w:left="720"/>
        <w:outlineLvl w:val="0"/>
      </w:pPr>
      <w:r>
        <w:t xml:space="preserve">Elements for </w:t>
      </w:r>
      <w:r w:rsidR="00242999">
        <w:t xml:space="preserve">a liaison to </w:t>
      </w:r>
      <w:r>
        <w:t>WP5B</w:t>
      </w:r>
      <w:r w:rsidR="00242999">
        <w:t xml:space="preserve"> on SAT VHF (Agenda Item 1.7)</w:t>
      </w:r>
    </w:p>
    <w:p w:rsidR="00692AE1" w:rsidRDefault="00692AE1" w:rsidP="002D3495">
      <w:pPr>
        <w:pStyle w:val="2para"/>
        <w:outlineLvl w:val="9"/>
      </w:pPr>
    </w:p>
    <w:p w:rsidR="00692AE1" w:rsidRPr="00692AE1" w:rsidRDefault="00692AE1" w:rsidP="00692AE1">
      <w:pPr>
        <w:tabs>
          <w:tab w:val="left" w:pos="1134"/>
          <w:tab w:val="left" w:pos="1588"/>
          <w:tab w:val="left" w:pos="1985"/>
        </w:tabs>
        <w:overflowPunct w:val="0"/>
        <w:autoSpaceDE w:val="0"/>
        <w:autoSpaceDN w:val="0"/>
        <w:adjustRightInd w:val="0"/>
        <w:spacing w:before="120"/>
        <w:jc w:val="left"/>
        <w:textAlignment w:val="baseline"/>
        <w:rPr>
          <w:sz w:val="24"/>
          <w:szCs w:val="24"/>
        </w:rPr>
      </w:pPr>
      <w:r>
        <w:rPr>
          <w:sz w:val="24"/>
          <w:szCs w:val="24"/>
        </w:rPr>
        <w:t>ICAO would like to thank</w:t>
      </w:r>
      <w:r w:rsidRPr="00692AE1">
        <w:rPr>
          <w:sz w:val="24"/>
          <w:szCs w:val="24"/>
        </w:rPr>
        <w:t xml:space="preserve"> </w:t>
      </w:r>
      <w:r>
        <w:rPr>
          <w:sz w:val="24"/>
          <w:szCs w:val="24"/>
        </w:rPr>
        <w:t>ITU-R WP 5B</w:t>
      </w:r>
      <w:r w:rsidRPr="00692AE1">
        <w:rPr>
          <w:sz w:val="24"/>
          <w:szCs w:val="24"/>
        </w:rPr>
        <w:t xml:space="preserve"> for its liaison statement </w:t>
      </w:r>
      <w:r>
        <w:rPr>
          <w:sz w:val="24"/>
          <w:szCs w:val="24"/>
        </w:rPr>
        <w:t xml:space="preserve">related to ongoing studies on </w:t>
      </w:r>
      <w:r w:rsidRPr="00692AE1">
        <w:rPr>
          <w:sz w:val="24"/>
          <w:szCs w:val="24"/>
        </w:rPr>
        <w:t xml:space="preserve">space-based aeronautical VHF communications system in </w:t>
      </w:r>
      <w:r>
        <w:rPr>
          <w:sz w:val="24"/>
          <w:szCs w:val="24"/>
        </w:rPr>
        <w:t xml:space="preserve">the </w:t>
      </w:r>
      <w:r w:rsidRPr="00692AE1">
        <w:rPr>
          <w:sz w:val="24"/>
          <w:szCs w:val="24"/>
        </w:rPr>
        <w:t xml:space="preserve">117.975-137 MHz frequency band, under WRC-23 agenda item 1.7. </w:t>
      </w:r>
      <w:r>
        <w:rPr>
          <w:sz w:val="24"/>
          <w:szCs w:val="24"/>
        </w:rPr>
        <w:t>ICAO reviewed the provided material by WP 5B and would like to provide the following comments and information</w:t>
      </w:r>
      <w:r w:rsidRPr="00692AE1">
        <w:rPr>
          <w:sz w:val="24"/>
          <w:szCs w:val="24"/>
        </w:rPr>
        <w:t xml:space="preserve">.  </w:t>
      </w:r>
    </w:p>
    <w:p w:rsidR="00692AE1" w:rsidRPr="00692AE1" w:rsidRDefault="00692AE1" w:rsidP="002D3495">
      <w:pPr>
        <w:pStyle w:val="2para"/>
        <w:outlineLvl w:val="9"/>
      </w:pPr>
    </w:p>
    <w:p w:rsidR="005B1102" w:rsidRDefault="004A217F" w:rsidP="002D3495">
      <w:pPr>
        <w:pStyle w:val="Subtitle"/>
        <w:spacing w:after="120"/>
        <w:outlineLvl w:val="1"/>
        <w:rPr>
          <w:lang w:val="en-US"/>
        </w:rPr>
      </w:pPr>
      <w:r w:rsidRPr="00344A5A">
        <w:rPr>
          <w:lang w:val="en-US"/>
        </w:rPr>
        <w:t>Available measured pattern for aircraft VHF antenna</w:t>
      </w:r>
    </w:p>
    <w:p w:rsidR="004F3BC3" w:rsidRDefault="004F3BC3" w:rsidP="004F3BC3">
      <w:pPr>
        <w:pStyle w:val="2para"/>
        <w:numPr>
          <w:ilvl w:val="0"/>
          <w:numId w:val="0"/>
        </w:numPr>
      </w:pPr>
      <w:r w:rsidRPr="004F3BC3">
        <w:t>One can find below example of pattern for the VHF COBHAM Blade type Antenna. Radiation patterns of antenna have been measured in the three main plans at 118 / 127 / 137 MHz. Those patterns were measured on a 2X1m rectangular metallic reflector.</w:t>
      </w:r>
      <w:r w:rsidR="00667448">
        <w:t xml:space="preserve"> They essentially confirm the information already available to WP5B. It is believed that a more representative antenna pattern should be used in order to obtain a more accurate link budget, that takes into account the fuselage reflection. </w:t>
      </w:r>
      <w:r w:rsidR="00667448" w:rsidRPr="00DA3EFA">
        <w:rPr>
          <w:i/>
        </w:rPr>
        <w:t>[adapt the rest of the text, depending on the availability of additional material regarding measurements of aircraft VHF antenna]</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3440"/>
        <w:gridCol w:w="3396"/>
      </w:tblGrid>
      <w:tr w:rsidR="004F3BC3" w:rsidTr="004F3BC3">
        <w:tc>
          <w:tcPr>
            <w:tcW w:w="10187" w:type="dxa"/>
            <w:gridSpan w:val="3"/>
            <w:tcBorders>
              <w:top w:val="single" w:sz="4" w:space="0" w:color="auto"/>
              <w:left w:val="single" w:sz="4" w:space="0" w:color="auto"/>
              <w:bottom w:val="single" w:sz="4" w:space="0" w:color="auto"/>
              <w:right w:val="single" w:sz="4" w:space="0" w:color="auto"/>
            </w:tcBorders>
            <w:shd w:val="clear" w:color="auto" w:fill="5B9BD5"/>
            <w:hideMark/>
          </w:tcPr>
          <w:p w:rsidR="004F3BC3" w:rsidRDefault="004F3BC3">
            <w:pPr>
              <w:pStyle w:val="2para"/>
              <w:numPr>
                <w:ilvl w:val="0"/>
                <w:numId w:val="0"/>
              </w:numPr>
              <w:rPr>
                <w:b/>
                <w:color w:val="FFFFFF"/>
              </w:rPr>
            </w:pPr>
            <w:r>
              <w:rPr>
                <w:b/>
                <w:color w:val="FFFFFF"/>
              </w:rPr>
              <w:t>118 MHz, Copolar</w:t>
            </w:r>
          </w:p>
        </w:tc>
      </w:tr>
      <w:tr w:rsidR="004F3BC3" w:rsidTr="004F3BC3">
        <w:tc>
          <w:tcPr>
            <w:tcW w:w="3746" w:type="dxa"/>
            <w:tcBorders>
              <w:top w:val="single" w:sz="4" w:space="0" w:color="auto"/>
              <w:left w:val="single" w:sz="4" w:space="0" w:color="auto"/>
              <w:bottom w:val="single" w:sz="4" w:space="0" w:color="auto"/>
              <w:right w:val="single" w:sz="4" w:space="0" w:color="auto"/>
            </w:tcBorders>
            <w:hideMark/>
          </w:tcPr>
          <w:p w:rsidR="004F3BC3" w:rsidRDefault="004F3BC3">
            <w:pPr>
              <w:pStyle w:val="2para"/>
              <w:numPr>
                <w:ilvl w:val="0"/>
                <w:numId w:val="0"/>
              </w:numPr>
              <w:jc w:val="center"/>
              <w:rPr>
                <w:rFonts w:eastAsia="MS Mincho"/>
                <w:noProof/>
                <w:lang w:val="fr-FR" w:eastAsia="fr-FR"/>
              </w:rPr>
            </w:pPr>
            <w:r>
              <w:rPr>
                <w:noProof/>
                <w:lang w:val="en-CA" w:eastAsia="zh-CN"/>
              </w:rPr>
              <w:drawing>
                <wp:inline distT="0" distB="0" distL="0" distR="0" wp14:anchorId="3CFE0AEE" wp14:editId="78F610B8">
                  <wp:extent cx="2074545" cy="1849120"/>
                  <wp:effectExtent l="0" t="0" r="190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4545" cy="1849120"/>
                          </a:xfrm>
                          <a:prstGeom prst="rect">
                            <a:avLst/>
                          </a:prstGeom>
                          <a:noFill/>
                          <a:ln>
                            <a:noFill/>
                          </a:ln>
                        </pic:spPr>
                      </pic:pic>
                    </a:graphicData>
                  </a:graphic>
                </wp:inline>
              </w:drawing>
            </w:r>
          </w:p>
          <w:p w:rsidR="004F3BC3" w:rsidRDefault="004F3BC3">
            <w:pPr>
              <w:pStyle w:val="2para"/>
              <w:numPr>
                <w:ilvl w:val="0"/>
                <w:numId w:val="0"/>
              </w:numPr>
              <w:jc w:val="center"/>
            </w:pPr>
            <w:r>
              <w:rPr>
                <w:noProof/>
                <w:lang w:val="fr-FR" w:eastAsia="fr-FR"/>
              </w:rPr>
              <w:t>Horizontal plan</w:t>
            </w:r>
          </w:p>
        </w:tc>
        <w:tc>
          <w:tcPr>
            <w:tcW w:w="3801" w:type="dxa"/>
            <w:tcBorders>
              <w:top w:val="single" w:sz="4" w:space="0" w:color="auto"/>
              <w:left w:val="single" w:sz="4" w:space="0" w:color="auto"/>
              <w:bottom w:val="single" w:sz="4" w:space="0" w:color="auto"/>
              <w:right w:val="single" w:sz="4" w:space="0" w:color="auto"/>
            </w:tcBorders>
            <w:hideMark/>
          </w:tcPr>
          <w:p w:rsidR="004F3BC3" w:rsidRDefault="004F3BC3">
            <w:pPr>
              <w:pStyle w:val="2para"/>
              <w:numPr>
                <w:ilvl w:val="0"/>
                <w:numId w:val="0"/>
              </w:numPr>
              <w:jc w:val="center"/>
              <w:rPr>
                <w:rFonts w:eastAsia="MS Mincho"/>
                <w:noProof/>
                <w:lang w:val="fr-FR" w:eastAsia="fr-FR"/>
              </w:rPr>
            </w:pPr>
            <w:r>
              <w:rPr>
                <w:noProof/>
                <w:lang w:val="en-CA" w:eastAsia="zh-CN"/>
              </w:rPr>
              <w:drawing>
                <wp:inline distT="0" distB="0" distL="0" distR="0" wp14:anchorId="12EC4EE5" wp14:editId="0E9B57F9">
                  <wp:extent cx="1951355" cy="18288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1355" cy="1828800"/>
                          </a:xfrm>
                          <a:prstGeom prst="rect">
                            <a:avLst/>
                          </a:prstGeom>
                          <a:noFill/>
                          <a:ln>
                            <a:noFill/>
                          </a:ln>
                        </pic:spPr>
                      </pic:pic>
                    </a:graphicData>
                  </a:graphic>
                </wp:inline>
              </w:drawing>
            </w:r>
          </w:p>
          <w:p w:rsidR="004F3BC3" w:rsidRDefault="004F3BC3">
            <w:pPr>
              <w:pStyle w:val="2para"/>
              <w:numPr>
                <w:ilvl w:val="0"/>
                <w:numId w:val="0"/>
              </w:numPr>
              <w:jc w:val="center"/>
            </w:pPr>
            <w:r>
              <w:rPr>
                <w:noProof/>
                <w:lang w:val="fr-FR" w:eastAsia="fr-FR"/>
              </w:rPr>
              <w:t>Longitudinal plan</w:t>
            </w:r>
          </w:p>
        </w:tc>
        <w:tc>
          <w:tcPr>
            <w:tcW w:w="2640" w:type="dxa"/>
            <w:tcBorders>
              <w:top w:val="single" w:sz="4" w:space="0" w:color="auto"/>
              <w:left w:val="single" w:sz="4" w:space="0" w:color="auto"/>
              <w:bottom w:val="single" w:sz="4" w:space="0" w:color="auto"/>
              <w:right w:val="single" w:sz="4" w:space="0" w:color="auto"/>
            </w:tcBorders>
            <w:hideMark/>
          </w:tcPr>
          <w:p w:rsidR="004F3BC3" w:rsidRDefault="004F3BC3">
            <w:pPr>
              <w:pStyle w:val="2para"/>
              <w:numPr>
                <w:ilvl w:val="0"/>
                <w:numId w:val="0"/>
              </w:numPr>
              <w:jc w:val="center"/>
              <w:rPr>
                <w:rFonts w:eastAsia="MS Mincho"/>
                <w:noProof/>
                <w:lang w:val="fr-FR" w:eastAsia="fr-FR"/>
              </w:rPr>
            </w:pPr>
            <w:r>
              <w:rPr>
                <w:noProof/>
                <w:lang w:val="en-CA" w:eastAsia="zh-CN"/>
              </w:rPr>
              <w:drawing>
                <wp:inline distT="0" distB="0" distL="0" distR="0" wp14:anchorId="788AA872" wp14:editId="7A6D1812">
                  <wp:extent cx="1924050" cy="1808480"/>
                  <wp:effectExtent l="0" t="0" r="0" b="127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1808480"/>
                          </a:xfrm>
                          <a:prstGeom prst="rect">
                            <a:avLst/>
                          </a:prstGeom>
                          <a:noFill/>
                          <a:ln>
                            <a:noFill/>
                          </a:ln>
                        </pic:spPr>
                      </pic:pic>
                    </a:graphicData>
                  </a:graphic>
                </wp:inline>
              </w:drawing>
            </w:r>
          </w:p>
          <w:p w:rsidR="004F3BC3" w:rsidRDefault="004F3BC3">
            <w:pPr>
              <w:pStyle w:val="2para"/>
              <w:numPr>
                <w:ilvl w:val="0"/>
                <w:numId w:val="0"/>
              </w:numPr>
              <w:jc w:val="center"/>
            </w:pPr>
            <w:r>
              <w:rPr>
                <w:noProof/>
                <w:lang w:val="fr-FR" w:eastAsia="fr-FR"/>
              </w:rPr>
              <w:t>Transversal plan</w:t>
            </w:r>
          </w:p>
        </w:tc>
      </w:tr>
      <w:tr w:rsidR="004F3BC3" w:rsidTr="004F3BC3">
        <w:tc>
          <w:tcPr>
            <w:tcW w:w="10187" w:type="dxa"/>
            <w:gridSpan w:val="3"/>
            <w:tcBorders>
              <w:top w:val="single" w:sz="4" w:space="0" w:color="auto"/>
              <w:left w:val="single" w:sz="4" w:space="0" w:color="auto"/>
              <w:bottom w:val="single" w:sz="4" w:space="0" w:color="auto"/>
              <w:right w:val="single" w:sz="4" w:space="0" w:color="auto"/>
            </w:tcBorders>
            <w:shd w:val="clear" w:color="auto" w:fill="5B9BD5"/>
            <w:hideMark/>
          </w:tcPr>
          <w:p w:rsidR="004F3BC3" w:rsidRDefault="004F3BC3">
            <w:pPr>
              <w:pStyle w:val="2para"/>
              <w:numPr>
                <w:ilvl w:val="0"/>
                <w:numId w:val="0"/>
              </w:numPr>
              <w:rPr>
                <w:b/>
                <w:color w:val="FFFFFF"/>
              </w:rPr>
            </w:pPr>
            <w:r>
              <w:rPr>
                <w:b/>
                <w:color w:val="FFFFFF"/>
              </w:rPr>
              <w:t>127 MHz, Copolar</w:t>
            </w:r>
          </w:p>
        </w:tc>
      </w:tr>
      <w:tr w:rsidR="004F3BC3" w:rsidTr="004F3BC3">
        <w:tc>
          <w:tcPr>
            <w:tcW w:w="3746" w:type="dxa"/>
            <w:tcBorders>
              <w:top w:val="single" w:sz="4" w:space="0" w:color="auto"/>
              <w:left w:val="single" w:sz="4" w:space="0" w:color="auto"/>
              <w:bottom w:val="single" w:sz="4" w:space="0" w:color="auto"/>
              <w:right w:val="single" w:sz="4" w:space="0" w:color="auto"/>
            </w:tcBorders>
            <w:hideMark/>
          </w:tcPr>
          <w:p w:rsidR="004F3BC3" w:rsidRDefault="004F3BC3">
            <w:pPr>
              <w:pStyle w:val="2para"/>
              <w:numPr>
                <w:ilvl w:val="0"/>
                <w:numId w:val="0"/>
              </w:numPr>
              <w:jc w:val="center"/>
              <w:rPr>
                <w:rFonts w:eastAsia="MS Mincho"/>
                <w:noProof/>
                <w:lang w:val="fr-FR" w:eastAsia="fr-FR"/>
              </w:rPr>
            </w:pPr>
            <w:r>
              <w:rPr>
                <w:noProof/>
                <w:lang w:val="en-CA" w:eastAsia="zh-CN"/>
              </w:rPr>
              <w:lastRenderedPageBreak/>
              <w:drawing>
                <wp:inline distT="0" distB="0" distL="0" distR="0" wp14:anchorId="464151B7" wp14:editId="52E8B7F7">
                  <wp:extent cx="2094865" cy="1992630"/>
                  <wp:effectExtent l="0" t="0" r="635"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4865" cy="1992630"/>
                          </a:xfrm>
                          <a:prstGeom prst="rect">
                            <a:avLst/>
                          </a:prstGeom>
                          <a:noFill/>
                          <a:ln>
                            <a:noFill/>
                          </a:ln>
                        </pic:spPr>
                      </pic:pic>
                    </a:graphicData>
                  </a:graphic>
                </wp:inline>
              </w:drawing>
            </w:r>
          </w:p>
          <w:p w:rsidR="004F3BC3" w:rsidRDefault="004F3BC3">
            <w:pPr>
              <w:pStyle w:val="2para"/>
              <w:numPr>
                <w:ilvl w:val="0"/>
                <w:numId w:val="0"/>
              </w:numPr>
              <w:jc w:val="center"/>
            </w:pPr>
            <w:r>
              <w:rPr>
                <w:noProof/>
                <w:lang w:val="fr-FR" w:eastAsia="fr-FR"/>
              </w:rPr>
              <w:t>Horizontal plan</w:t>
            </w:r>
          </w:p>
        </w:tc>
        <w:tc>
          <w:tcPr>
            <w:tcW w:w="3801" w:type="dxa"/>
            <w:tcBorders>
              <w:top w:val="single" w:sz="4" w:space="0" w:color="auto"/>
              <w:left w:val="single" w:sz="4" w:space="0" w:color="auto"/>
              <w:bottom w:val="single" w:sz="4" w:space="0" w:color="auto"/>
              <w:right w:val="single" w:sz="4" w:space="0" w:color="auto"/>
            </w:tcBorders>
            <w:hideMark/>
          </w:tcPr>
          <w:p w:rsidR="004F3BC3" w:rsidRDefault="004F3BC3">
            <w:pPr>
              <w:pStyle w:val="2para"/>
              <w:numPr>
                <w:ilvl w:val="0"/>
                <w:numId w:val="0"/>
              </w:numPr>
              <w:jc w:val="center"/>
              <w:rPr>
                <w:rFonts w:eastAsia="MS Mincho"/>
                <w:noProof/>
                <w:lang w:val="fr-FR" w:eastAsia="fr-FR"/>
              </w:rPr>
            </w:pPr>
            <w:r>
              <w:rPr>
                <w:noProof/>
                <w:lang w:val="en-CA" w:eastAsia="zh-CN"/>
              </w:rPr>
              <w:drawing>
                <wp:inline distT="0" distB="0" distL="0" distR="0" wp14:anchorId="44E65A71" wp14:editId="5428877A">
                  <wp:extent cx="2047240" cy="196532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7240" cy="1965325"/>
                          </a:xfrm>
                          <a:prstGeom prst="rect">
                            <a:avLst/>
                          </a:prstGeom>
                          <a:noFill/>
                          <a:ln>
                            <a:noFill/>
                          </a:ln>
                        </pic:spPr>
                      </pic:pic>
                    </a:graphicData>
                  </a:graphic>
                </wp:inline>
              </w:drawing>
            </w:r>
          </w:p>
          <w:p w:rsidR="004F3BC3" w:rsidRDefault="004F3BC3">
            <w:pPr>
              <w:pStyle w:val="2para"/>
              <w:numPr>
                <w:ilvl w:val="0"/>
                <w:numId w:val="0"/>
              </w:numPr>
              <w:jc w:val="center"/>
            </w:pPr>
            <w:r>
              <w:rPr>
                <w:noProof/>
                <w:lang w:val="fr-FR" w:eastAsia="fr-FR"/>
              </w:rPr>
              <w:t>Longitudinal plan</w:t>
            </w:r>
          </w:p>
        </w:tc>
        <w:tc>
          <w:tcPr>
            <w:tcW w:w="2640" w:type="dxa"/>
            <w:tcBorders>
              <w:top w:val="single" w:sz="4" w:space="0" w:color="auto"/>
              <w:left w:val="single" w:sz="4" w:space="0" w:color="auto"/>
              <w:bottom w:val="single" w:sz="4" w:space="0" w:color="auto"/>
              <w:right w:val="single" w:sz="4" w:space="0" w:color="auto"/>
            </w:tcBorders>
            <w:hideMark/>
          </w:tcPr>
          <w:p w:rsidR="004F3BC3" w:rsidRDefault="004F3BC3">
            <w:pPr>
              <w:pStyle w:val="2para"/>
              <w:numPr>
                <w:ilvl w:val="0"/>
                <w:numId w:val="0"/>
              </w:numPr>
              <w:jc w:val="center"/>
              <w:rPr>
                <w:rFonts w:eastAsia="MS Mincho"/>
                <w:noProof/>
                <w:lang w:val="fr-FR" w:eastAsia="fr-FR"/>
              </w:rPr>
            </w:pPr>
            <w:r>
              <w:rPr>
                <w:noProof/>
                <w:lang w:val="en-CA" w:eastAsia="zh-CN"/>
              </w:rPr>
              <w:drawing>
                <wp:inline distT="0" distB="0" distL="0" distR="0" wp14:anchorId="31E238C6" wp14:editId="4EA8DB85">
                  <wp:extent cx="2012950" cy="1896745"/>
                  <wp:effectExtent l="0" t="0" r="6350" b="825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2950" cy="1896745"/>
                          </a:xfrm>
                          <a:prstGeom prst="rect">
                            <a:avLst/>
                          </a:prstGeom>
                          <a:noFill/>
                          <a:ln>
                            <a:noFill/>
                          </a:ln>
                        </pic:spPr>
                      </pic:pic>
                    </a:graphicData>
                  </a:graphic>
                </wp:inline>
              </w:drawing>
            </w:r>
          </w:p>
          <w:p w:rsidR="004F3BC3" w:rsidRDefault="004F3BC3">
            <w:pPr>
              <w:pStyle w:val="2para"/>
              <w:numPr>
                <w:ilvl w:val="0"/>
                <w:numId w:val="0"/>
              </w:numPr>
              <w:jc w:val="center"/>
            </w:pPr>
            <w:r>
              <w:rPr>
                <w:noProof/>
                <w:lang w:val="fr-FR" w:eastAsia="fr-FR"/>
              </w:rPr>
              <w:t>Transversal plan</w:t>
            </w:r>
          </w:p>
        </w:tc>
      </w:tr>
      <w:tr w:rsidR="004F3BC3" w:rsidTr="004F3BC3">
        <w:tc>
          <w:tcPr>
            <w:tcW w:w="10187" w:type="dxa"/>
            <w:gridSpan w:val="3"/>
            <w:tcBorders>
              <w:top w:val="single" w:sz="4" w:space="0" w:color="auto"/>
              <w:left w:val="single" w:sz="4" w:space="0" w:color="auto"/>
              <w:bottom w:val="single" w:sz="4" w:space="0" w:color="auto"/>
              <w:right w:val="single" w:sz="4" w:space="0" w:color="auto"/>
            </w:tcBorders>
            <w:shd w:val="clear" w:color="auto" w:fill="5B9BD5"/>
            <w:hideMark/>
          </w:tcPr>
          <w:p w:rsidR="004F3BC3" w:rsidRDefault="004F3BC3">
            <w:pPr>
              <w:pStyle w:val="2para"/>
              <w:numPr>
                <w:ilvl w:val="0"/>
                <w:numId w:val="0"/>
              </w:numPr>
              <w:rPr>
                <w:b/>
                <w:color w:val="FFFFFF"/>
              </w:rPr>
            </w:pPr>
            <w:r>
              <w:rPr>
                <w:b/>
                <w:color w:val="FFFFFF"/>
              </w:rPr>
              <w:t>137 MHz, Copolar</w:t>
            </w:r>
          </w:p>
        </w:tc>
      </w:tr>
      <w:tr w:rsidR="004F3BC3" w:rsidTr="004F3BC3">
        <w:tc>
          <w:tcPr>
            <w:tcW w:w="3746" w:type="dxa"/>
            <w:tcBorders>
              <w:top w:val="single" w:sz="4" w:space="0" w:color="auto"/>
              <w:left w:val="single" w:sz="4" w:space="0" w:color="auto"/>
              <w:bottom w:val="single" w:sz="4" w:space="0" w:color="auto"/>
              <w:right w:val="single" w:sz="4" w:space="0" w:color="auto"/>
            </w:tcBorders>
            <w:hideMark/>
          </w:tcPr>
          <w:p w:rsidR="004F3BC3" w:rsidRDefault="004F3BC3">
            <w:pPr>
              <w:pStyle w:val="2para"/>
              <w:numPr>
                <w:ilvl w:val="0"/>
                <w:numId w:val="0"/>
              </w:numPr>
              <w:jc w:val="center"/>
              <w:rPr>
                <w:rFonts w:eastAsia="MS Mincho"/>
                <w:noProof/>
                <w:lang w:val="fr-FR" w:eastAsia="fr-FR"/>
              </w:rPr>
            </w:pPr>
            <w:r>
              <w:rPr>
                <w:noProof/>
                <w:lang w:val="en-CA" w:eastAsia="zh-CN"/>
              </w:rPr>
              <w:drawing>
                <wp:inline distT="0" distB="0" distL="0" distR="0" wp14:anchorId="3EFA641E" wp14:editId="26DFB4D5">
                  <wp:extent cx="1999615" cy="1903730"/>
                  <wp:effectExtent l="0" t="0" r="635" b="127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99615" cy="1903730"/>
                          </a:xfrm>
                          <a:prstGeom prst="rect">
                            <a:avLst/>
                          </a:prstGeom>
                          <a:noFill/>
                          <a:ln>
                            <a:noFill/>
                          </a:ln>
                        </pic:spPr>
                      </pic:pic>
                    </a:graphicData>
                  </a:graphic>
                </wp:inline>
              </w:drawing>
            </w:r>
          </w:p>
          <w:p w:rsidR="004F3BC3" w:rsidRDefault="004F3BC3">
            <w:pPr>
              <w:pStyle w:val="2para"/>
              <w:numPr>
                <w:ilvl w:val="0"/>
                <w:numId w:val="0"/>
              </w:numPr>
              <w:jc w:val="center"/>
            </w:pPr>
            <w:r>
              <w:rPr>
                <w:noProof/>
                <w:lang w:val="fr-FR" w:eastAsia="fr-FR"/>
              </w:rPr>
              <w:t>Horizontal plan</w:t>
            </w:r>
          </w:p>
        </w:tc>
        <w:tc>
          <w:tcPr>
            <w:tcW w:w="3801" w:type="dxa"/>
            <w:tcBorders>
              <w:top w:val="single" w:sz="4" w:space="0" w:color="auto"/>
              <w:left w:val="single" w:sz="4" w:space="0" w:color="auto"/>
              <w:bottom w:val="single" w:sz="4" w:space="0" w:color="auto"/>
              <w:right w:val="single" w:sz="4" w:space="0" w:color="auto"/>
            </w:tcBorders>
            <w:hideMark/>
          </w:tcPr>
          <w:p w:rsidR="004F3BC3" w:rsidRDefault="004F3BC3">
            <w:pPr>
              <w:pStyle w:val="2para"/>
              <w:numPr>
                <w:ilvl w:val="0"/>
                <w:numId w:val="0"/>
              </w:numPr>
              <w:jc w:val="center"/>
              <w:rPr>
                <w:rFonts w:eastAsia="MS Mincho"/>
                <w:noProof/>
                <w:lang w:val="fr-FR" w:eastAsia="fr-FR"/>
              </w:rPr>
            </w:pPr>
            <w:r>
              <w:rPr>
                <w:noProof/>
                <w:lang w:val="en-CA" w:eastAsia="zh-CN"/>
              </w:rPr>
              <w:drawing>
                <wp:inline distT="0" distB="0" distL="0" distR="0" wp14:anchorId="6F29125D" wp14:editId="15B26277">
                  <wp:extent cx="1978660" cy="1883410"/>
                  <wp:effectExtent l="0" t="0" r="2540" b="254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8660" cy="1883410"/>
                          </a:xfrm>
                          <a:prstGeom prst="rect">
                            <a:avLst/>
                          </a:prstGeom>
                          <a:noFill/>
                          <a:ln>
                            <a:noFill/>
                          </a:ln>
                        </pic:spPr>
                      </pic:pic>
                    </a:graphicData>
                  </a:graphic>
                </wp:inline>
              </w:drawing>
            </w:r>
          </w:p>
          <w:p w:rsidR="004F3BC3" w:rsidRDefault="004F3BC3">
            <w:pPr>
              <w:pStyle w:val="2para"/>
              <w:numPr>
                <w:ilvl w:val="0"/>
                <w:numId w:val="0"/>
              </w:numPr>
              <w:jc w:val="center"/>
            </w:pPr>
            <w:r>
              <w:rPr>
                <w:noProof/>
                <w:lang w:val="fr-FR" w:eastAsia="fr-FR"/>
              </w:rPr>
              <w:t>Longitudinal plan</w:t>
            </w:r>
          </w:p>
        </w:tc>
        <w:tc>
          <w:tcPr>
            <w:tcW w:w="2640" w:type="dxa"/>
            <w:tcBorders>
              <w:top w:val="single" w:sz="4" w:space="0" w:color="auto"/>
              <w:left w:val="single" w:sz="4" w:space="0" w:color="auto"/>
              <w:bottom w:val="single" w:sz="4" w:space="0" w:color="auto"/>
              <w:right w:val="single" w:sz="4" w:space="0" w:color="auto"/>
            </w:tcBorders>
            <w:hideMark/>
          </w:tcPr>
          <w:p w:rsidR="004F3BC3" w:rsidRDefault="004F3BC3">
            <w:pPr>
              <w:pStyle w:val="2para"/>
              <w:numPr>
                <w:ilvl w:val="0"/>
                <w:numId w:val="0"/>
              </w:numPr>
              <w:jc w:val="center"/>
              <w:rPr>
                <w:rFonts w:eastAsia="MS Mincho"/>
                <w:noProof/>
                <w:lang w:val="fr-FR" w:eastAsia="fr-FR"/>
              </w:rPr>
            </w:pPr>
            <w:r>
              <w:rPr>
                <w:noProof/>
                <w:lang w:val="en-CA" w:eastAsia="zh-CN"/>
              </w:rPr>
              <w:drawing>
                <wp:inline distT="0" distB="0" distL="0" distR="0" wp14:anchorId="77781943" wp14:editId="556E1BB8">
                  <wp:extent cx="1924050" cy="185610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24050" cy="1856105"/>
                          </a:xfrm>
                          <a:prstGeom prst="rect">
                            <a:avLst/>
                          </a:prstGeom>
                          <a:noFill/>
                          <a:ln>
                            <a:noFill/>
                          </a:ln>
                        </pic:spPr>
                      </pic:pic>
                    </a:graphicData>
                  </a:graphic>
                </wp:inline>
              </w:drawing>
            </w:r>
          </w:p>
          <w:p w:rsidR="004F3BC3" w:rsidRDefault="004F3BC3">
            <w:pPr>
              <w:pStyle w:val="2para"/>
              <w:numPr>
                <w:ilvl w:val="0"/>
                <w:numId w:val="0"/>
              </w:numPr>
              <w:jc w:val="center"/>
            </w:pPr>
            <w:r>
              <w:rPr>
                <w:noProof/>
                <w:lang w:val="fr-FR" w:eastAsia="fr-FR"/>
              </w:rPr>
              <w:t>Transversal plan</w:t>
            </w:r>
          </w:p>
        </w:tc>
      </w:tr>
    </w:tbl>
    <w:p w:rsidR="004F3BC3" w:rsidRDefault="004F3BC3" w:rsidP="004F3BC3">
      <w:pPr>
        <w:rPr>
          <w:rFonts w:eastAsia="MS Mincho"/>
        </w:rPr>
      </w:pPr>
    </w:p>
    <w:p w:rsidR="004A217F" w:rsidRDefault="004A217F" w:rsidP="005E4D70">
      <w:pPr>
        <w:spacing w:after="120"/>
        <w:rPr>
          <w:lang w:val="en-US"/>
        </w:rPr>
      </w:pPr>
    </w:p>
    <w:p w:rsidR="004A217F" w:rsidRDefault="004A217F" w:rsidP="002D3495">
      <w:pPr>
        <w:pStyle w:val="Subtitle"/>
        <w:spacing w:after="120"/>
        <w:outlineLvl w:val="1"/>
        <w:rPr>
          <w:lang w:val="en-US"/>
        </w:rPr>
      </w:pPr>
      <w:r w:rsidRPr="00344A5A">
        <w:rPr>
          <w:lang w:val="en-US"/>
        </w:rPr>
        <w:t>Aircraft VHF receiver performance requirement</w:t>
      </w:r>
    </w:p>
    <w:p w:rsidR="0018620D" w:rsidRDefault="0018620D" w:rsidP="0018620D">
      <w:pPr>
        <w:spacing w:after="120"/>
        <w:rPr>
          <w:lang w:val="en-US"/>
        </w:rPr>
      </w:pPr>
      <w:r>
        <w:rPr>
          <w:lang w:val="en-US"/>
        </w:rPr>
        <w:t>[TBC by the Communication Panel]</w:t>
      </w:r>
    </w:p>
    <w:p w:rsidR="00EB21AA" w:rsidRPr="0018620D" w:rsidRDefault="00EB21AA" w:rsidP="0018620D">
      <w:pPr>
        <w:spacing w:after="120"/>
        <w:rPr>
          <w:lang w:val="en-US"/>
        </w:rPr>
      </w:pPr>
    </w:p>
    <w:p w:rsidR="004A217F" w:rsidRDefault="004A217F" w:rsidP="002D3495">
      <w:pPr>
        <w:pStyle w:val="Subtitle"/>
        <w:spacing w:after="120"/>
        <w:outlineLvl w:val="1"/>
        <w:rPr>
          <w:lang w:val="en-US"/>
        </w:rPr>
      </w:pPr>
      <w:r w:rsidRPr="00344A5A">
        <w:rPr>
          <w:lang w:val="en-US"/>
        </w:rPr>
        <w:t>Ionospheric propagation losses and required availability performance</w:t>
      </w:r>
    </w:p>
    <w:p w:rsidR="00EB21AA" w:rsidRDefault="00EB21AA" w:rsidP="00EB21AA">
      <w:pPr>
        <w:spacing w:after="240"/>
        <w:jc w:val="left"/>
      </w:pPr>
      <w:r>
        <w:t>No performance requirement exists for a satellite system, but it is expected that the availability performance should be close to that of the VHF ATC ground stations.</w:t>
      </w:r>
    </w:p>
    <w:p w:rsidR="00EB21AA" w:rsidRDefault="00EB21AA" w:rsidP="00EB21AA">
      <w:pPr>
        <w:spacing w:after="240"/>
        <w:jc w:val="left"/>
      </w:pPr>
      <w:r>
        <w:t xml:space="preserve">Once a satellite system is designed, its availability performance will be evaluated, and will represent an important input for ANSPs interested by the service. They will define a set of operational measures required in order to reach a given safety objective. It is understood that VHF scintillation is very dimensioning over specific regions (for instance at low latitudes), and is maximum at sunset with very strong variations between day and night periods. Depending on system trade-offs, it may be of interest not to dimension the satellite </w:t>
      </w:r>
      <w:r>
        <w:lastRenderedPageBreak/>
        <w:t>system to account for the worst case propagation loss, which is very much time and location specific, and to compensate with appropriate measures (like appropriate flight planning) over the concerned regions when affected.</w:t>
      </w:r>
    </w:p>
    <w:p w:rsidR="00EB21AA" w:rsidRDefault="00EB21AA" w:rsidP="00EB21AA">
      <w:pPr>
        <w:spacing w:after="240"/>
        <w:jc w:val="left"/>
      </w:pPr>
      <w:r>
        <w:t>An example of such measure exists in French Polynesia for flights</w:t>
      </w:r>
      <w:r>
        <w:rPr>
          <w:lang w:val="en-US"/>
        </w:rPr>
        <w:t xml:space="preserve"> over large oceanic areas using HF communications, which avoid certain time slots in order to avoid facing strong propagation losses.</w:t>
      </w:r>
    </w:p>
    <w:p w:rsidR="004A217F" w:rsidRDefault="004A217F" w:rsidP="002D3495">
      <w:pPr>
        <w:pStyle w:val="Subtitle"/>
        <w:spacing w:after="120"/>
        <w:outlineLvl w:val="1"/>
        <w:rPr>
          <w:lang w:val="en-US"/>
        </w:rPr>
      </w:pPr>
      <w:r>
        <w:rPr>
          <w:lang w:val="en-US"/>
        </w:rPr>
        <w:t>AMS(R)S and AM(R)S compatibility</w:t>
      </w:r>
    </w:p>
    <w:p w:rsidR="005E4D70" w:rsidRDefault="003F5902" w:rsidP="005E4D70">
      <w:pPr>
        <w:spacing w:after="120"/>
        <w:rPr>
          <w:lang w:val="en-US"/>
        </w:rPr>
      </w:pPr>
      <w:r>
        <w:t>A possible future satellite VHF communications system would be operating under a new AMS(R)S allocation</w:t>
      </w:r>
      <w:r w:rsidRPr="003F5902">
        <w:rPr>
          <w:lang w:val="en-US"/>
        </w:rPr>
        <w:t xml:space="preserve"> </w:t>
      </w:r>
      <w:r>
        <w:rPr>
          <w:lang w:val="en-US"/>
        </w:rPr>
        <w:t>decided by WRC-23 under its Agenda Item 1.7</w:t>
      </w:r>
      <w:r>
        <w:t xml:space="preserve">. It is to be noted that </w:t>
      </w:r>
      <w:r>
        <w:rPr>
          <w:lang w:val="en-US"/>
        </w:rPr>
        <w:t>e</w:t>
      </w:r>
      <w:r w:rsidR="005E4D70">
        <w:rPr>
          <w:lang w:val="en-US"/>
        </w:rPr>
        <w:t xml:space="preserve">ven </w:t>
      </w:r>
      <w:r>
        <w:rPr>
          <w:lang w:val="en-US"/>
        </w:rPr>
        <w:t xml:space="preserve">though AM(R)S and AMS(R)S would represent two different </w:t>
      </w:r>
      <w:r w:rsidR="005E4D70">
        <w:rPr>
          <w:lang w:val="en-US"/>
        </w:rPr>
        <w:t>ITU</w:t>
      </w:r>
      <w:r w:rsidR="00CB1F05">
        <w:rPr>
          <w:lang w:val="en-US"/>
        </w:rPr>
        <w:t>-R</w:t>
      </w:r>
      <w:r w:rsidR="005E4D70">
        <w:rPr>
          <w:lang w:val="en-US"/>
        </w:rPr>
        <w:t xml:space="preserve"> services</w:t>
      </w:r>
      <w:r w:rsidR="005E4D70" w:rsidRPr="005E4D70">
        <w:rPr>
          <w:lang w:val="en-US"/>
        </w:rPr>
        <w:t xml:space="preserve"> </w:t>
      </w:r>
      <w:r w:rsidR="005E4D70">
        <w:rPr>
          <w:lang w:val="en-US"/>
        </w:rPr>
        <w:t>within the frequency band 11</w:t>
      </w:r>
      <w:r>
        <w:rPr>
          <w:lang w:val="en-US"/>
        </w:rPr>
        <w:t>7.975</w:t>
      </w:r>
      <w:r w:rsidR="005E4D70">
        <w:rPr>
          <w:lang w:val="en-US"/>
        </w:rPr>
        <w:t xml:space="preserve">-137 MHz, the same </w:t>
      </w:r>
      <w:r w:rsidR="00CB1F05">
        <w:rPr>
          <w:lang w:val="en-US"/>
        </w:rPr>
        <w:t xml:space="preserve">on-board </w:t>
      </w:r>
      <w:r w:rsidR="005E4D70">
        <w:rPr>
          <w:lang w:val="en-US"/>
        </w:rPr>
        <w:t>system (for ATC VHF communications) w</w:t>
      </w:r>
      <w:r>
        <w:rPr>
          <w:lang w:val="en-US"/>
        </w:rPr>
        <w:t>ould</w:t>
      </w:r>
      <w:r w:rsidR="005E4D70">
        <w:rPr>
          <w:lang w:val="en-US"/>
        </w:rPr>
        <w:t xml:space="preserve"> be </w:t>
      </w:r>
      <w:r w:rsidR="00CB1F05">
        <w:rPr>
          <w:lang w:val="en-US"/>
        </w:rPr>
        <w:t xml:space="preserve">used for </w:t>
      </w:r>
      <w:r>
        <w:rPr>
          <w:lang w:val="en-US"/>
        </w:rPr>
        <w:t>ground and s</w:t>
      </w:r>
      <w:r w:rsidR="00CB1F05">
        <w:rPr>
          <w:lang w:val="en-US"/>
        </w:rPr>
        <w:t>atellite communication</w:t>
      </w:r>
      <w:r>
        <w:rPr>
          <w:lang w:val="en-US"/>
        </w:rPr>
        <w:t>s</w:t>
      </w:r>
      <w:r w:rsidR="005E4D70">
        <w:rPr>
          <w:lang w:val="en-US"/>
        </w:rPr>
        <w:t>.</w:t>
      </w:r>
    </w:p>
    <w:p w:rsidR="003F5902" w:rsidRPr="00BC5F34" w:rsidRDefault="003F5902" w:rsidP="003F5902">
      <w:pPr>
        <w:spacing w:after="240"/>
        <w:jc w:val="left"/>
      </w:pPr>
      <w:r>
        <w:t>A VHF satellite system would likely correspond to relatively low gain and non-directional satellite antennas, which would result in the inability to reuse via satellite any frequency already operated by terrestrial stations within its coverage. In order for interested countries to benefit from a new satellite aeronautical VHF voice communication service, ICAO would have to perform a conventional frequency planning exercise, assigning frequencies to the satellite system over interested regions, so as to ensure compatibility between ground and satellite facilities.</w:t>
      </w:r>
    </w:p>
    <w:p w:rsidR="003F5902" w:rsidRPr="005B1102" w:rsidRDefault="003F5902" w:rsidP="003F5902">
      <w:pPr>
        <w:spacing w:after="240"/>
        <w:jc w:val="left"/>
      </w:pPr>
      <w:r>
        <w:t>Therefore, from an ICAO perspective there is no need to perform a compatibility study within ITU-R between these two different services, that in reality cover the same system on-board the aircraft.</w:t>
      </w:r>
    </w:p>
    <w:p w:rsidR="005B1102" w:rsidRDefault="005B1102" w:rsidP="005B1102"/>
    <w:p w:rsidR="00692AE1" w:rsidRPr="00A06CB7" w:rsidRDefault="00692AE1" w:rsidP="00692AE1">
      <w:pPr>
        <w:rPr>
          <w:lang w:eastAsia="zh-CN"/>
        </w:rPr>
      </w:pPr>
      <w:r>
        <w:rPr>
          <w:lang w:eastAsia="zh-CN"/>
        </w:rPr>
        <w:t>ICAO looks forward to continued fruitful cooperation with ITU-R WP 5B regarding this work.</w:t>
      </w:r>
    </w:p>
    <w:p w:rsidR="00692AE1" w:rsidRDefault="00692AE1" w:rsidP="005B1102"/>
    <w:p w:rsidR="003F5902" w:rsidRPr="005B1102" w:rsidRDefault="003F5902" w:rsidP="005B1102"/>
    <w:sectPr w:rsidR="003F5902" w:rsidRPr="005B1102">
      <w:headerReference w:type="even" r:id="rId25"/>
      <w:headerReference w:type="default" r:id="rId26"/>
      <w:footerReference w:type="even" r:id="rId27"/>
      <w:footerReference w:type="default" r:id="rId28"/>
      <w:headerReference w:type="first" r:id="rId29"/>
      <w:footerReference w:type="first" r:id="rId30"/>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6C" w:rsidRDefault="0044566C">
      <w:r>
        <w:separator/>
      </w:r>
    </w:p>
  </w:endnote>
  <w:endnote w:type="continuationSeparator" w:id="0">
    <w:p w:rsidR="0044566C" w:rsidRDefault="0044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ECC" w:rsidRDefault="00AD4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ECC" w:rsidRDefault="00AD4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60" w:rsidRPr="00F242DD" w:rsidRDefault="00770160">
    <w:pPr>
      <w:pStyle w:val="Footer"/>
      <w:rPr>
        <w:sz w:val="18"/>
      </w:rPr>
    </w:pPr>
    <w:r w:rsidRPr="00F242DD">
      <w:rPr>
        <w:sz w:val="18"/>
      </w:rPr>
      <w:t>(</w:t>
    </w:r>
    <w:r>
      <w:rPr>
        <w:sz w:val="18"/>
        <w:lang w:val="en-US"/>
      </w:rPr>
      <w:fldChar w:fldCharType="begin"/>
    </w:r>
    <w:r w:rsidRPr="00F242DD">
      <w:rPr>
        <w:sz w:val="18"/>
      </w:rPr>
      <w:instrText xml:space="preserve"> NUMPAGES  \* MERGEFORMAT </w:instrText>
    </w:r>
    <w:r>
      <w:rPr>
        <w:sz w:val="18"/>
        <w:lang w:val="en-US"/>
      </w:rPr>
      <w:fldChar w:fldCharType="separate"/>
    </w:r>
    <w:r w:rsidR="00AD4ECC">
      <w:rPr>
        <w:noProof/>
        <w:sz w:val="18"/>
      </w:rPr>
      <w:t>9</w:t>
    </w:r>
    <w:r>
      <w:rPr>
        <w:sz w:val="18"/>
        <w:lang w:val="en-US"/>
      </w:rPr>
      <w:fldChar w:fldCharType="end"/>
    </w:r>
    <w:r w:rsidRPr="00F242DD">
      <w:rPr>
        <w:sz w:val="18"/>
      </w:rPr>
      <w:t xml:space="preserve"> pages)</w:t>
    </w:r>
  </w:p>
  <w:p w:rsidR="00770160" w:rsidRPr="00821FD0" w:rsidRDefault="00770160">
    <w:pPr>
      <w:pStyle w:val="Footer"/>
      <w:rPr>
        <w:lang w:val="en-US"/>
      </w:rPr>
    </w:pPr>
    <w:r>
      <w:rPr>
        <w:sz w:val="18"/>
        <w:lang w:val="en-US"/>
      </w:rPr>
      <w:fldChar w:fldCharType="begin"/>
    </w:r>
    <w:r w:rsidRPr="00821FD0">
      <w:rPr>
        <w:sz w:val="18"/>
        <w:lang w:val="en-US"/>
      </w:rPr>
      <w:instrText xml:space="preserve"> FILENAME  \* MERGEFORMAT </w:instrText>
    </w:r>
    <w:r>
      <w:rPr>
        <w:sz w:val="18"/>
        <w:lang w:val="en-US"/>
      </w:rPr>
      <w:fldChar w:fldCharType="separate"/>
    </w:r>
    <w:r w:rsidR="00821FD0" w:rsidRPr="00821FD0">
      <w:rPr>
        <w:noProof/>
        <w:sz w:val="18"/>
        <w:lang w:val="en-US"/>
      </w:rPr>
      <w:t>FSMP-WG11-</w:t>
    </w:r>
    <w:r w:rsidR="00AD4ECC">
      <w:rPr>
        <w:noProof/>
        <w:sz w:val="18"/>
        <w:lang w:val="en-US"/>
      </w:rPr>
      <w:t>WP12_</w:t>
    </w:r>
    <w:r w:rsidR="00821FD0" w:rsidRPr="00821FD0">
      <w:rPr>
        <w:noProof/>
        <w:sz w:val="18"/>
        <w:lang w:val="en-US"/>
      </w:rPr>
      <w:t>Proposal LS for AI 1.7_Model.docx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6C" w:rsidRDefault="0044566C">
      <w:r>
        <w:separator/>
      </w:r>
    </w:p>
  </w:footnote>
  <w:footnote w:type="continuationSeparator" w:id="0">
    <w:p w:rsidR="0044566C" w:rsidRDefault="00445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60" w:rsidRDefault="000D26D5" w:rsidP="00AD4ECC">
    <w:pPr>
      <w:tabs>
        <w:tab w:val="center" w:pos="4876"/>
      </w:tabs>
      <w:spacing w:after="600"/>
    </w:pPr>
    <w:r>
      <w:t>FS</w:t>
    </w:r>
    <w:r w:rsidR="00725205">
      <w:t>MP</w:t>
    </w:r>
    <w:r w:rsidR="007E6A06">
      <w:t>-WG</w:t>
    </w:r>
    <w:r w:rsidR="00770160">
      <w:t>/</w:t>
    </w:r>
    <w:r w:rsidR="00B36011">
      <w:t>1</w:t>
    </w:r>
    <w:r w:rsidR="00BC2AD1">
      <w:t>1</w:t>
    </w:r>
    <w:r w:rsidR="007E6A06">
      <w:t xml:space="preserve"> </w:t>
    </w:r>
    <w:r w:rsidR="00770160">
      <w:t>WP/</w:t>
    </w:r>
    <w:r w:rsidR="00AD4ECC">
      <w:t>12</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AD4ECC">
      <w:rPr>
        <w:rStyle w:val="PageNumber"/>
        <w:noProof/>
      </w:rPr>
      <w:t>6</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60" w:rsidRDefault="00770160" w:rsidP="00AD4ECC">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AD4ECC">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BC2AD1">
      <w:t>11</w:t>
    </w:r>
    <w:r w:rsidR="007E6A06">
      <w:t xml:space="preserve"> </w:t>
    </w:r>
    <w:r>
      <w:t>WP/</w:t>
    </w:r>
    <w:r w:rsidR="00AD4ECC">
      <w:t>12</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Tr="00664C07">
      <w:trPr>
        <w:trHeight w:val="1790"/>
      </w:trPr>
      <w:tc>
        <w:tcPr>
          <w:tcW w:w="1915" w:type="dxa"/>
          <w:shd w:val="clear" w:color="auto" w:fill="FFFFFF"/>
        </w:tcPr>
        <w:p w:rsidR="00920C27" w:rsidRDefault="00254FC0" w:rsidP="00664C07">
          <w:bookmarkStart w:id="3" w:name="logo"/>
          <w:r>
            <w:rPr>
              <w:noProof/>
              <w:lang w:val="en-CA" w:eastAsia="zh-CN"/>
            </w:rPr>
            <w:drawing>
              <wp:inline distT="0" distB="0" distL="0" distR="0" wp14:anchorId="756FAAD2" wp14:editId="57F93180">
                <wp:extent cx="1089025" cy="874395"/>
                <wp:effectExtent l="0" t="0" r="0" b="1905"/>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874395"/>
                        </a:xfrm>
                        <a:prstGeom prst="rect">
                          <a:avLst/>
                        </a:prstGeom>
                        <a:noFill/>
                        <a:ln>
                          <a:noFill/>
                        </a:ln>
                      </pic:spPr>
                    </pic:pic>
                  </a:graphicData>
                </a:graphic>
              </wp:inline>
            </w:drawing>
          </w:r>
          <w:bookmarkEnd w:id="3"/>
        </w:p>
      </w:tc>
      <w:tc>
        <w:tcPr>
          <w:tcW w:w="3895" w:type="dxa"/>
          <w:shd w:val="clear" w:color="auto" w:fill="FFFFFF"/>
          <w:tcMar>
            <w:right w:w="0" w:type="dxa"/>
          </w:tcMar>
        </w:tcPr>
        <w:p w:rsidR="00920C27" w:rsidRPr="00066AB7" w:rsidRDefault="00254FC0" w:rsidP="00664C07">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61312" behindDoc="0" locked="0" layoutInCell="1" allowOverlap="1" wp14:anchorId="0DECD50B" wp14:editId="51B5BCCB">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5875E"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rsidR="00920C27" w:rsidRPr="00066AB7" w:rsidRDefault="00920C27" w:rsidP="00664C07">
          <w:pPr>
            <w:rPr>
              <w:rFonts w:ascii="Arial" w:hAnsi="Arial" w:cs="Arial"/>
              <w:szCs w:val="22"/>
            </w:rPr>
          </w:pPr>
        </w:p>
        <w:p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rsidTr="00664C07">
            <w:trPr>
              <w:jc w:val="right"/>
            </w:trPr>
            <w:tc>
              <w:tcPr>
                <w:tcW w:w="0" w:type="auto"/>
              </w:tcPr>
              <w:p w:rsidR="00920C27" w:rsidRPr="00066AB7" w:rsidRDefault="000D26D5" w:rsidP="00AD4ECC">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074BAC">
                  <w:rPr>
                    <w:szCs w:val="22"/>
                  </w:rPr>
                  <w:t>11</w:t>
                </w:r>
                <w:r w:rsidR="007E6A06">
                  <w:rPr>
                    <w:szCs w:val="22"/>
                  </w:rPr>
                  <w:t xml:space="preserve"> </w:t>
                </w:r>
                <w:r w:rsidR="00920C27" w:rsidRPr="00066AB7">
                  <w:rPr>
                    <w:szCs w:val="22"/>
                  </w:rPr>
                  <w:t>WP/</w:t>
                </w:r>
                <w:bookmarkEnd w:id="4"/>
                <w:r w:rsidR="00AD4ECC">
                  <w:rPr>
                    <w:szCs w:val="22"/>
                  </w:rPr>
                  <w:t>12</w:t>
                </w:r>
              </w:p>
              <w:p w:rsidR="00920C27" w:rsidRPr="00B36011" w:rsidRDefault="00074BAC" w:rsidP="00AD4ECC">
                <w:pPr>
                  <w:framePr w:hSpace="180" w:wrap="around" w:vAnchor="text" w:hAnchor="text" w:y="1"/>
                  <w:suppressOverlap/>
                  <w:jc w:val="left"/>
                  <w:rPr>
                    <w:bCs/>
                  </w:rPr>
                </w:pPr>
                <w:bookmarkStart w:id="5" w:name="restricted"/>
                <w:bookmarkStart w:id="6" w:name="addendum_corrigendum_appendix"/>
                <w:bookmarkStart w:id="7" w:name="revision_no"/>
                <w:bookmarkStart w:id="8" w:name="revision_date"/>
                <w:bookmarkStart w:id="9" w:name="related_to"/>
                <w:bookmarkStart w:id="10" w:name="info_paper"/>
                <w:bookmarkEnd w:id="5"/>
                <w:bookmarkEnd w:id="6"/>
                <w:bookmarkEnd w:id="7"/>
                <w:bookmarkEnd w:id="8"/>
                <w:bookmarkEnd w:id="9"/>
                <w:bookmarkEnd w:id="10"/>
                <w:r>
                  <w:rPr>
                    <w:bCs/>
                  </w:rPr>
                  <w:t>2</w:t>
                </w:r>
                <w:r w:rsidR="00AD4ECC">
                  <w:rPr>
                    <w:bCs/>
                  </w:rPr>
                  <w:t>021-02</w:t>
                </w:r>
                <w:r w:rsidR="00B36011" w:rsidRPr="00B36011">
                  <w:rPr>
                    <w:bCs/>
                  </w:rPr>
                  <w:t>-</w:t>
                </w:r>
                <w:r w:rsidR="00AD4ECC">
                  <w:rPr>
                    <w:bCs/>
                  </w:rPr>
                  <w:t>22</w:t>
                </w:r>
              </w:p>
            </w:tc>
          </w:tr>
          <w:tr w:rsidR="00920C27" w:rsidTr="00664C07">
            <w:trPr>
              <w:jc w:val="right"/>
            </w:trPr>
            <w:tc>
              <w:tcPr>
                <w:tcW w:w="0" w:type="auto"/>
              </w:tcPr>
              <w:p w:rsidR="00920C27" w:rsidRPr="00066AB7" w:rsidRDefault="00920C27" w:rsidP="00AD4ECC">
                <w:pPr>
                  <w:framePr w:hSpace="180" w:wrap="around" w:vAnchor="text" w:hAnchor="text" w:y="1"/>
                  <w:suppressOverlap/>
                  <w:jc w:val="left"/>
                  <w:rPr>
                    <w:szCs w:val="22"/>
                  </w:rPr>
                </w:pPr>
              </w:p>
            </w:tc>
          </w:tr>
        </w:tbl>
        <w:p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rsidR="00770160" w:rsidRDefault="00A12CBA">
    <w:pPr>
      <w:pStyle w:val="3para"/>
      <w:numPr>
        <w:ilvl w:val="0"/>
        <w:numId w:val="0"/>
      </w:numPr>
      <w:tabs>
        <w:tab w:val="left" w:pos="6480"/>
      </w:tabs>
      <w:spacing w:after="0"/>
      <w:outlineLvl w:val="9"/>
    </w:pPr>
    <w:r>
      <w:tab/>
      <w:t>ATMRPP-WG/WHL/4</w:t>
    </w:r>
    <w:r w:rsidR="00770160">
      <w:t>-WP/</w:t>
    </w:r>
  </w:p>
  <w:p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8D63DB"/>
    <w:multiLevelType w:val="hybridMultilevel"/>
    <w:tmpl w:val="31F8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938E2"/>
    <w:multiLevelType w:val="hybridMultilevel"/>
    <w:tmpl w:val="D2301A18"/>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4"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15:restartNumberingAfterBreak="0">
    <w:nsid w:val="5D206676"/>
    <w:multiLevelType w:val="hybridMultilevel"/>
    <w:tmpl w:val="05641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CF18D3"/>
    <w:multiLevelType w:val="hybridMultilevel"/>
    <w:tmpl w:val="1D30F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8" w15:restartNumberingAfterBreak="0">
    <w:nsid w:val="69AF392D"/>
    <w:multiLevelType w:val="hybridMultilevel"/>
    <w:tmpl w:val="2ED4E3E6"/>
    <w:lvl w:ilvl="0" w:tplc="040C0001">
      <w:start w:val="1"/>
      <w:numFmt w:val="bullet"/>
      <w:lvlText w:val=""/>
      <w:lvlJc w:val="left"/>
      <w:pPr>
        <w:ind w:left="1440" w:hanging="360"/>
      </w:pPr>
      <w:rPr>
        <w:rFonts w:ascii="Symbol" w:hAnsi="Symbol" w:hint="default"/>
      </w:rPr>
    </w:lvl>
    <w:lvl w:ilvl="1" w:tplc="A928CC76">
      <w:numFmt w:val="bullet"/>
      <w:lvlText w:val="•"/>
      <w:lvlJc w:val="left"/>
      <w:pPr>
        <w:ind w:left="2160" w:hanging="360"/>
      </w:pPr>
      <w:rPr>
        <w:rFonts w:ascii="Times New Roman" w:eastAsia="Times New Roman" w:hAnsi="Times New Roman"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7B98538A"/>
    <w:multiLevelType w:val="hybridMultilevel"/>
    <w:tmpl w:val="4F2E19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DF44BE1"/>
    <w:multiLevelType w:val="hybridMultilevel"/>
    <w:tmpl w:val="53F2C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4B6395"/>
    <w:multiLevelType w:val="hybridMultilevel"/>
    <w:tmpl w:val="7D1E8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4"/>
  </w:num>
  <w:num w:numId="9">
    <w:abstractNumId w:val="4"/>
  </w:num>
  <w:num w:numId="10">
    <w:abstractNumId w:val="4"/>
  </w:num>
  <w:num w:numId="11">
    <w:abstractNumId w:val="4"/>
  </w:num>
  <w:num w:numId="12">
    <w:abstractNumId w:val="3"/>
  </w:num>
  <w:num w:numId="13">
    <w:abstractNumId w:val="2"/>
  </w:num>
  <w:num w:numId="14">
    <w:abstractNumId w:val="6"/>
  </w:num>
  <w:num w:numId="15">
    <w:abstractNumId w:val="5"/>
  </w:num>
  <w:num w:numId="16">
    <w:abstractNumId w:val="4"/>
  </w:num>
  <w:num w:numId="17">
    <w:abstractNumId w:val="4"/>
  </w:num>
  <w:num w:numId="18">
    <w:abstractNumId w:val="10"/>
  </w:num>
  <w:num w:numId="19">
    <w:abstractNumId w:val="11"/>
  </w:num>
  <w:num w:numId="20">
    <w:abstractNumId w:val="4"/>
  </w:num>
  <w:num w:numId="21">
    <w:abstractNumId w:val="4"/>
  </w:num>
  <w:num w:numId="22">
    <w:abstractNumId w:val="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16792"/>
    <w:rsid w:val="000273D2"/>
    <w:rsid w:val="00030A23"/>
    <w:rsid w:val="00074BAC"/>
    <w:rsid w:val="000755F0"/>
    <w:rsid w:val="000871A9"/>
    <w:rsid w:val="000B39D1"/>
    <w:rsid w:val="000D26D5"/>
    <w:rsid w:val="000E218A"/>
    <w:rsid w:val="000E78EA"/>
    <w:rsid w:val="00106FF7"/>
    <w:rsid w:val="00121B3A"/>
    <w:rsid w:val="00123C20"/>
    <w:rsid w:val="001471A4"/>
    <w:rsid w:val="0018016C"/>
    <w:rsid w:val="0018620D"/>
    <w:rsid w:val="00196709"/>
    <w:rsid w:val="001A0084"/>
    <w:rsid w:val="001A1B06"/>
    <w:rsid w:val="001A225C"/>
    <w:rsid w:val="001E5A44"/>
    <w:rsid w:val="001F69EF"/>
    <w:rsid w:val="00240598"/>
    <w:rsid w:val="00242057"/>
    <w:rsid w:val="00242999"/>
    <w:rsid w:val="002447C3"/>
    <w:rsid w:val="00247545"/>
    <w:rsid w:val="00252149"/>
    <w:rsid w:val="00254FC0"/>
    <w:rsid w:val="002B05AA"/>
    <w:rsid w:val="002B45E3"/>
    <w:rsid w:val="002D3495"/>
    <w:rsid w:val="002D3E38"/>
    <w:rsid w:val="002E5A18"/>
    <w:rsid w:val="00323450"/>
    <w:rsid w:val="003279C4"/>
    <w:rsid w:val="00346238"/>
    <w:rsid w:val="00352DFE"/>
    <w:rsid w:val="00356308"/>
    <w:rsid w:val="00360EF3"/>
    <w:rsid w:val="00366FBE"/>
    <w:rsid w:val="0037215C"/>
    <w:rsid w:val="00385981"/>
    <w:rsid w:val="003B1B26"/>
    <w:rsid w:val="003B5BFA"/>
    <w:rsid w:val="003D181B"/>
    <w:rsid w:val="003D7FD8"/>
    <w:rsid w:val="003F5902"/>
    <w:rsid w:val="004015B9"/>
    <w:rsid w:val="00423C6F"/>
    <w:rsid w:val="004367DF"/>
    <w:rsid w:val="0044566C"/>
    <w:rsid w:val="004735BC"/>
    <w:rsid w:val="004763D2"/>
    <w:rsid w:val="004800FE"/>
    <w:rsid w:val="0049280E"/>
    <w:rsid w:val="00495B9B"/>
    <w:rsid w:val="004A217F"/>
    <w:rsid w:val="004A4580"/>
    <w:rsid w:val="004C7632"/>
    <w:rsid w:val="004F3BC3"/>
    <w:rsid w:val="00505F6E"/>
    <w:rsid w:val="005706FD"/>
    <w:rsid w:val="005B1102"/>
    <w:rsid w:val="005C6A2A"/>
    <w:rsid w:val="005E4D70"/>
    <w:rsid w:val="005F4D08"/>
    <w:rsid w:val="00602DE9"/>
    <w:rsid w:val="00625E2A"/>
    <w:rsid w:val="0063675E"/>
    <w:rsid w:val="00663277"/>
    <w:rsid w:val="00664C07"/>
    <w:rsid w:val="00667448"/>
    <w:rsid w:val="00685FE5"/>
    <w:rsid w:val="00692AE1"/>
    <w:rsid w:val="006A4020"/>
    <w:rsid w:val="006A559B"/>
    <w:rsid w:val="006C220A"/>
    <w:rsid w:val="006C23BC"/>
    <w:rsid w:val="006F36AD"/>
    <w:rsid w:val="0071222B"/>
    <w:rsid w:val="00725205"/>
    <w:rsid w:val="00753D7E"/>
    <w:rsid w:val="00760654"/>
    <w:rsid w:val="00764379"/>
    <w:rsid w:val="00770160"/>
    <w:rsid w:val="00784B01"/>
    <w:rsid w:val="007B21FE"/>
    <w:rsid w:val="007C1C98"/>
    <w:rsid w:val="007E2C9F"/>
    <w:rsid w:val="007E56DC"/>
    <w:rsid w:val="007E6A06"/>
    <w:rsid w:val="007F1ED7"/>
    <w:rsid w:val="008105EF"/>
    <w:rsid w:val="00821FD0"/>
    <w:rsid w:val="008463A9"/>
    <w:rsid w:val="00860FB4"/>
    <w:rsid w:val="008A39CC"/>
    <w:rsid w:val="008B54C4"/>
    <w:rsid w:val="008E1442"/>
    <w:rsid w:val="008E25A7"/>
    <w:rsid w:val="0090204A"/>
    <w:rsid w:val="009050DE"/>
    <w:rsid w:val="00911745"/>
    <w:rsid w:val="00920C27"/>
    <w:rsid w:val="009232DE"/>
    <w:rsid w:val="00957024"/>
    <w:rsid w:val="009602EE"/>
    <w:rsid w:val="00962ED4"/>
    <w:rsid w:val="00971A87"/>
    <w:rsid w:val="00996919"/>
    <w:rsid w:val="009D25E9"/>
    <w:rsid w:val="009E217A"/>
    <w:rsid w:val="009F121F"/>
    <w:rsid w:val="009F3D1A"/>
    <w:rsid w:val="00A03CFF"/>
    <w:rsid w:val="00A12CBA"/>
    <w:rsid w:val="00A232A8"/>
    <w:rsid w:val="00A3220A"/>
    <w:rsid w:val="00A55E34"/>
    <w:rsid w:val="00A57E26"/>
    <w:rsid w:val="00A664DF"/>
    <w:rsid w:val="00A73D74"/>
    <w:rsid w:val="00A86CA6"/>
    <w:rsid w:val="00A971EC"/>
    <w:rsid w:val="00AC73B9"/>
    <w:rsid w:val="00AD4ECC"/>
    <w:rsid w:val="00AF71A2"/>
    <w:rsid w:val="00B01A2B"/>
    <w:rsid w:val="00B12FC5"/>
    <w:rsid w:val="00B25A08"/>
    <w:rsid w:val="00B33A62"/>
    <w:rsid w:val="00B36011"/>
    <w:rsid w:val="00B76EC7"/>
    <w:rsid w:val="00BA1D99"/>
    <w:rsid w:val="00BC2AD1"/>
    <w:rsid w:val="00BC5F34"/>
    <w:rsid w:val="00BD0ED1"/>
    <w:rsid w:val="00BE1887"/>
    <w:rsid w:val="00BF3EEE"/>
    <w:rsid w:val="00C2608A"/>
    <w:rsid w:val="00C632B2"/>
    <w:rsid w:val="00C8308B"/>
    <w:rsid w:val="00C97B1F"/>
    <w:rsid w:val="00CA0E7A"/>
    <w:rsid w:val="00CB1F05"/>
    <w:rsid w:val="00CE1078"/>
    <w:rsid w:val="00CE60B3"/>
    <w:rsid w:val="00CF585C"/>
    <w:rsid w:val="00CF72A2"/>
    <w:rsid w:val="00D1646C"/>
    <w:rsid w:val="00D16675"/>
    <w:rsid w:val="00D16FCE"/>
    <w:rsid w:val="00D22255"/>
    <w:rsid w:val="00D31339"/>
    <w:rsid w:val="00D35FBA"/>
    <w:rsid w:val="00D40109"/>
    <w:rsid w:val="00D501AD"/>
    <w:rsid w:val="00D537A2"/>
    <w:rsid w:val="00D8375B"/>
    <w:rsid w:val="00D94FD3"/>
    <w:rsid w:val="00DA3EFA"/>
    <w:rsid w:val="00DB2781"/>
    <w:rsid w:val="00DB6660"/>
    <w:rsid w:val="00DC6BA1"/>
    <w:rsid w:val="00DD5213"/>
    <w:rsid w:val="00DE3503"/>
    <w:rsid w:val="00DE5EBD"/>
    <w:rsid w:val="00DF76D3"/>
    <w:rsid w:val="00E22059"/>
    <w:rsid w:val="00E4683E"/>
    <w:rsid w:val="00E62B3E"/>
    <w:rsid w:val="00E64997"/>
    <w:rsid w:val="00E77340"/>
    <w:rsid w:val="00E874A7"/>
    <w:rsid w:val="00EA3043"/>
    <w:rsid w:val="00EA32B8"/>
    <w:rsid w:val="00EA37D2"/>
    <w:rsid w:val="00EB21AA"/>
    <w:rsid w:val="00EB790E"/>
    <w:rsid w:val="00EC5431"/>
    <w:rsid w:val="00EF6465"/>
    <w:rsid w:val="00F0451E"/>
    <w:rsid w:val="00F11941"/>
    <w:rsid w:val="00F14A7B"/>
    <w:rsid w:val="00F242DD"/>
    <w:rsid w:val="00F56F90"/>
    <w:rsid w:val="00F57D6D"/>
    <w:rsid w:val="00F80665"/>
    <w:rsid w:val="00F86C62"/>
    <w:rsid w:val="00F92AF8"/>
    <w:rsid w:val="00F975FD"/>
    <w:rsid w:val="00FB314E"/>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DC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B01A2B"/>
    <w:rPr>
      <w:rFonts w:ascii="Tahoma" w:hAnsi="Tahoma" w:cs="Tahoma"/>
      <w:sz w:val="16"/>
      <w:szCs w:val="16"/>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B01A2B"/>
    <w:rPr>
      <w:rFonts w:ascii="Tahoma" w:hAnsi="Tahoma" w:cs="Tahoma"/>
      <w:sz w:val="16"/>
      <w:szCs w:val="16"/>
      <w:lang w:val="en-GB" w:eastAsia="en-US"/>
    </w:rPr>
  </w:style>
  <w:style w:type="character" w:styleId="Hyperlink">
    <w:name w:val="Hyperlink"/>
    <w:rsid w:val="00123C20"/>
    <w:rPr>
      <w:color w:val="0000FF"/>
      <w:u w:val="single"/>
    </w:rPr>
  </w:style>
  <w:style w:type="character" w:styleId="CommentReference">
    <w:name w:val="annotation reference"/>
    <w:uiPriority w:val="99"/>
    <w:rsid w:val="00F0451E"/>
    <w:rPr>
      <w:sz w:val="16"/>
      <w:szCs w:val="16"/>
    </w:rPr>
  </w:style>
  <w:style w:type="paragraph" w:styleId="CommentText">
    <w:name w:val="annotation text"/>
    <w:basedOn w:val="Normal"/>
    <w:link w:val="CommentTextChar"/>
    <w:rsid w:val="00F0451E"/>
    <w:rPr>
      <w:sz w:val="20"/>
    </w:rPr>
  </w:style>
  <w:style w:type="character" w:customStyle="1" w:styleId="CommentTextChar">
    <w:name w:val="Comment Text Char"/>
    <w:link w:val="CommentText"/>
    <w:rsid w:val="00F0451E"/>
    <w:rPr>
      <w:lang w:val="en-GB" w:eastAsia="en-US"/>
    </w:rPr>
  </w:style>
  <w:style w:type="paragraph" w:styleId="CommentSubject">
    <w:name w:val="annotation subject"/>
    <w:basedOn w:val="CommentText"/>
    <w:next w:val="CommentText"/>
    <w:link w:val="CommentSubjectChar"/>
    <w:rsid w:val="00F0451E"/>
    <w:rPr>
      <w:b/>
      <w:bCs/>
    </w:rPr>
  </w:style>
  <w:style w:type="character" w:customStyle="1" w:styleId="CommentSubjectChar">
    <w:name w:val="Comment Subject Char"/>
    <w:link w:val="CommentSubject"/>
    <w:rsid w:val="00F0451E"/>
    <w:rPr>
      <w:b/>
      <w:bCs/>
      <w:lang w:val="en-GB" w:eastAsia="en-US"/>
    </w:rPr>
  </w:style>
  <w:style w:type="character" w:customStyle="1" w:styleId="ECCParagraph">
    <w:name w:val="ECC Paragraph"/>
    <w:basedOn w:val="DefaultParagraphFont"/>
    <w:uiPriority w:val="1"/>
    <w:qFormat/>
    <w:rsid w:val="00EC5431"/>
    <w:rPr>
      <w:rFonts w:ascii="Arial" w:hAnsi="Arial"/>
      <w:noProof w:val="0"/>
      <w:sz w:val="20"/>
      <w:bdr w:val="none" w:sz="0" w:space="0" w:color="auto"/>
      <w:lang w:val="en-GB"/>
    </w:rPr>
  </w:style>
  <w:style w:type="paragraph" w:styleId="ListParagraph">
    <w:name w:val="List Paragraph"/>
    <w:basedOn w:val="Normal"/>
    <w:uiPriority w:val="34"/>
    <w:qFormat/>
    <w:rsid w:val="00EC5431"/>
    <w:pPr>
      <w:spacing w:before="240" w:after="60"/>
      <w:ind w:left="720"/>
      <w:contextualSpacing/>
    </w:pPr>
    <w:rPr>
      <w:rFonts w:ascii="Arial" w:eastAsia="Calibri" w:hAnsi="Arial"/>
      <w:sz w:val="20"/>
      <w:szCs w:val="22"/>
    </w:rPr>
  </w:style>
  <w:style w:type="paragraph" w:styleId="Title">
    <w:name w:val="Title"/>
    <w:basedOn w:val="Normal"/>
    <w:next w:val="Normal"/>
    <w:link w:val="TitleChar"/>
    <w:qFormat/>
    <w:rsid w:val="005B11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B1102"/>
    <w:rPr>
      <w:rFonts w:asciiTheme="majorHAnsi" w:eastAsiaTheme="majorEastAsia" w:hAnsiTheme="majorHAnsi" w:cstheme="majorBidi"/>
      <w:color w:val="17365D" w:themeColor="text2" w:themeShade="BF"/>
      <w:spacing w:val="5"/>
      <w:kern w:val="28"/>
      <w:sz w:val="52"/>
      <w:szCs w:val="52"/>
      <w:lang w:val="en-GB" w:eastAsia="en-US"/>
    </w:rPr>
  </w:style>
  <w:style w:type="paragraph" w:styleId="Subtitle">
    <w:name w:val="Subtitle"/>
    <w:basedOn w:val="Normal"/>
    <w:next w:val="Normal"/>
    <w:link w:val="SubtitleChar"/>
    <w:qFormat/>
    <w:rsid w:val="005E4D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D70"/>
    <w:rPr>
      <w:rFonts w:asciiTheme="majorHAnsi" w:eastAsiaTheme="majorEastAsia" w:hAnsiTheme="majorHAnsi" w:cstheme="majorBidi"/>
      <w:i/>
      <w:iCs/>
      <w:color w:val="4F81BD" w:themeColor="accent1"/>
      <w:spacing w:val="15"/>
      <w:sz w:val="24"/>
      <w:szCs w:val="24"/>
      <w:lang w:val="en-GB" w:eastAsia="en-US"/>
    </w:rPr>
  </w:style>
  <w:style w:type="paragraph" w:styleId="Quote">
    <w:name w:val="Quote"/>
    <w:basedOn w:val="Normal"/>
    <w:next w:val="Normal"/>
    <w:link w:val="QuoteChar"/>
    <w:uiPriority w:val="29"/>
    <w:qFormat/>
    <w:rsid w:val="002D3E38"/>
    <w:rPr>
      <w:i/>
      <w:iCs/>
      <w:color w:val="000000" w:themeColor="text1"/>
    </w:rPr>
  </w:style>
  <w:style w:type="character" w:customStyle="1" w:styleId="QuoteChar">
    <w:name w:val="Quote Char"/>
    <w:basedOn w:val="DefaultParagraphFont"/>
    <w:link w:val="Quote"/>
    <w:uiPriority w:val="29"/>
    <w:rsid w:val="002D3E38"/>
    <w:rPr>
      <w:i/>
      <w:iCs/>
      <w:color w:val="000000" w:themeColor="text1"/>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77682">
      <w:bodyDiv w:val="1"/>
      <w:marLeft w:val="0"/>
      <w:marRight w:val="0"/>
      <w:marTop w:val="0"/>
      <w:marBottom w:val="0"/>
      <w:divBdr>
        <w:top w:val="none" w:sz="0" w:space="0" w:color="auto"/>
        <w:left w:val="none" w:sz="0" w:space="0" w:color="auto"/>
        <w:bottom w:val="none" w:sz="0" w:space="0" w:color="auto"/>
        <w:right w:val="none" w:sz="0" w:space="0" w:color="auto"/>
      </w:divBdr>
    </w:div>
    <w:div w:id="1629778923">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dms_ties/itu-r/md/19/wp5b/c/R19-WP5B-C-0225!N26!MSW-E.docx"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www.itu.int/dms_ties/itu-r/md/19/wp5b/c/R19-WP5B-C-0225!N26!MSW-E.docx"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ties/itu-r/md/19/wp5b/c/R19-WP5B-C-0225!N40!MSW-E.docx"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8CE0E-60E1-4244-9201-74D65A99E766}">
  <ds:schemaRefs>
    <ds:schemaRef ds:uri="http://schemas.microsoft.com/sharepoint/v3/contenttype/forms"/>
  </ds:schemaRefs>
</ds:datastoreItem>
</file>

<file path=customXml/itemProps2.xml><?xml version="1.0" encoding="utf-8"?>
<ds:datastoreItem xmlns:ds="http://schemas.openxmlformats.org/officeDocument/2006/customXml" ds:itemID="{D0E9E5C6-E572-43EA-9990-48D1C6C94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3F9BF2-F3DF-4DF9-B7F4-D4B1FE92D6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D6A843-9C4C-46A1-9433-BDEC6106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1901</Words>
  <Characters>10287</Characters>
  <Application>Microsoft Office Word</Application>
  <DocSecurity>0</DocSecurity>
  <Lines>228</Lines>
  <Paragraphs>110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12078</CharactersWithSpaces>
  <SharedDoc>false</SharedDoc>
  <HLinks>
    <vt:vector size="12" baseType="variant">
      <vt:variant>
        <vt:i4>6160426</vt:i4>
      </vt:variant>
      <vt:variant>
        <vt:i4>3</vt:i4>
      </vt:variant>
      <vt:variant>
        <vt:i4>0</vt:i4>
      </vt:variant>
      <vt:variant>
        <vt:i4>5</vt:i4>
      </vt:variant>
      <vt:variant>
        <vt:lpwstr>https://www.itu.int/dms_pub/itu-r/md/16/wrc19/c/R16-WRC19-C-0011!A24-A18!MSW-E.docx</vt:lpwstr>
      </vt:variant>
      <vt:variant>
        <vt:lpwstr/>
      </vt:variant>
      <vt:variant>
        <vt:i4>6160426</vt:i4>
      </vt:variant>
      <vt:variant>
        <vt:i4>0</vt:i4>
      </vt:variant>
      <vt:variant>
        <vt:i4>0</vt:i4>
      </vt:variant>
      <vt:variant>
        <vt:i4>5</vt:i4>
      </vt:variant>
      <vt:variant>
        <vt:lpwstr>https://www.itu.int/dms_pub/itu-r/md/16/wrc19/c/R16-WRC19-C-0011!A24-A18!MSW-E.docx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2021-02-17T14:11:00Z</dcterms:created>
  <dcterms:modified xsi:type="dcterms:W3CDTF">2021-02-22T19:14:00Z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