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D10E63" w14:textId="77777777" w:rsidR="00275A29" w:rsidRDefault="00275A29" w:rsidP="00275A29">
      <w:pPr>
        <w:jc w:val="center"/>
        <w:rPr>
          <w:b/>
        </w:rPr>
      </w:pPr>
      <w:r>
        <w:rPr>
          <w:b/>
        </w:rPr>
        <w:t>FREQUENCY SPECTRUM MANAGEMENT PANEL (FSMP)</w:t>
      </w:r>
    </w:p>
    <w:p w14:paraId="1C21B3E6" w14:textId="77777777" w:rsidR="00275A29" w:rsidRDefault="00275A29" w:rsidP="00275A29">
      <w:pPr>
        <w:tabs>
          <w:tab w:val="left" w:pos="6972"/>
        </w:tabs>
        <w:jc w:val="center"/>
        <w:rPr>
          <w:b/>
        </w:rPr>
      </w:pPr>
    </w:p>
    <w:p w14:paraId="53FF406A" w14:textId="77777777" w:rsidR="00275A29" w:rsidRDefault="00275A29" w:rsidP="00275A29">
      <w:pPr>
        <w:pStyle w:val="Maintitle"/>
      </w:pPr>
      <w:r>
        <w:t>Eleventh Working Group meeting</w:t>
      </w:r>
    </w:p>
    <w:p w14:paraId="025715C0" w14:textId="77777777" w:rsidR="00275A29" w:rsidRDefault="00275A29" w:rsidP="00275A29"/>
    <w:p w14:paraId="61EA2829" w14:textId="77777777" w:rsidR="00275A29" w:rsidRDefault="00275A29" w:rsidP="00275A29">
      <w:pPr>
        <w:jc w:val="center"/>
        <w:rPr>
          <w:b/>
          <w:bCs/>
        </w:rPr>
      </w:pPr>
      <w:bookmarkStart w:id="0" w:name="agenda_item"/>
      <w:bookmarkEnd w:id="0"/>
      <w:r>
        <w:rPr>
          <w:b/>
          <w:bCs/>
        </w:rPr>
        <w:t>Web Meeting, 1 – 12 March 2021</w:t>
      </w:r>
    </w:p>
    <w:p w14:paraId="3FDF9A03" w14:textId="77777777" w:rsidR="0029192F" w:rsidRPr="0029192F" w:rsidRDefault="0029192F" w:rsidP="0029192F">
      <w:pPr>
        <w:jc w:val="center"/>
        <w:rPr>
          <w:b/>
          <w:bCs/>
        </w:rPr>
      </w:pPr>
    </w:p>
    <w:p w14:paraId="002441A1" w14:textId="77777777" w:rsidR="0029192F" w:rsidRPr="0029192F" w:rsidRDefault="0029192F" w:rsidP="0029192F">
      <w:pPr>
        <w:jc w:val="center"/>
        <w:rPr>
          <w:b/>
          <w:bCs/>
        </w:rPr>
      </w:pPr>
    </w:p>
    <w:p w14:paraId="632DCD8E" w14:textId="3DC0C43A" w:rsidR="00373594" w:rsidRDefault="001E2302" w:rsidP="00373594">
      <w:pPr>
        <w:kinsoku w:val="0"/>
        <w:overflowPunct w:val="0"/>
        <w:autoSpaceDE w:val="0"/>
        <w:autoSpaceDN w:val="0"/>
        <w:adjustRightInd w:val="0"/>
        <w:spacing w:line="237" w:lineRule="exact"/>
        <w:rPr>
          <w:rFonts w:eastAsia="Calibri"/>
          <w:bCs/>
        </w:rPr>
      </w:pPr>
      <w:r>
        <w:rPr>
          <w:b/>
        </w:rPr>
        <w:t xml:space="preserve">Agenda Item </w:t>
      </w:r>
      <w:r w:rsidR="00373594">
        <w:rPr>
          <w:b/>
        </w:rPr>
        <w:t>5</w:t>
      </w:r>
      <w:r w:rsidR="0029192F" w:rsidRPr="0029192F">
        <w:rPr>
          <w:b/>
        </w:rPr>
        <w:t>:</w:t>
      </w:r>
      <w:r w:rsidR="00373594">
        <w:rPr>
          <w:b/>
        </w:rPr>
        <w:tab/>
      </w:r>
      <w:r w:rsidR="00373594" w:rsidRPr="00373594">
        <w:rPr>
          <w:rFonts w:eastAsia="Calibri"/>
          <w:b/>
        </w:rPr>
        <w:t>Development of (planned) Material for ITU-R Studies on:</w:t>
      </w:r>
    </w:p>
    <w:p w14:paraId="0DB1BC90" w14:textId="77777777" w:rsidR="00373594" w:rsidRDefault="00373594" w:rsidP="00373594">
      <w:pPr>
        <w:kinsoku w:val="0"/>
        <w:overflowPunct w:val="0"/>
        <w:autoSpaceDE w:val="0"/>
        <w:autoSpaceDN w:val="0"/>
        <w:adjustRightInd w:val="0"/>
        <w:spacing w:line="237" w:lineRule="exact"/>
        <w:ind w:left="3060" w:hanging="900"/>
        <w:rPr>
          <w:rFonts w:eastAsia="Calibri"/>
          <w:bCs/>
        </w:rPr>
      </w:pPr>
      <w:r>
        <w:rPr>
          <w:rFonts w:eastAsia="Calibri"/>
          <w:bCs/>
        </w:rPr>
        <w:t>d)</w:t>
      </w:r>
      <w:r>
        <w:rPr>
          <w:rFonts w:eastAsia="Calibri"/>
          <w:bCs/>
        </w:rPr>
        <w:tab/>
        <w:t>WRC-23 AI1.9 Wideband HF</w:t>
      </w:r>
    </w:p>
    <w:p w14:paraId="09F67D7B" w14:textId="207E412A" w:rsidR="0029192F" w:rsidRPr="0029192F" w:rsidRDefault="0029192F" w:rsidP="0029192F">
      <w:pPr>
        <w:jc w:val="left"/>
        <w:rPr>
          <w:b/>
        </w:rPr>
      </w:pPr>
    </w:p>
    <w:p w14:paraId="28966EF2" w14:textId="2D06C8AD" w:rsidR="002779EA" w:rsidRDefault="002779EA">
      <w:pPr>
        <w:pBdr>
          <w:top w:val="nil"/>
          <w:left w:val="nil"/>
          <w:bottom w:val="nil"/>
          <w:right w:val="nil"/>
          <w:between w:val="nil"/>
        </w:pBdr>
        <w:tabs>
          <w:tab w:val="left" w:pos="0"/>
          <w:tab w:val="left" w:pos="1570"/>
          <w:tab w:val="left" w:pos="1857"/>
        </w:tabs>
        <w:ind w:left="1570" w:hanging="1570"/>
      </w:pPr>
      <w:bookmarkStart w:id="1" w:name="30j0zll" w:colFirst="0" w:colLast="0"/>
      <w:bookmarkEnd w:id="1"/>
    </w:p>
    <w:p w14:paraId="5B9E9294" w14:textId="6E93FDB5" w:rsidR="009E6FA0" w:rsidRDefault="009E6FA0" w:rsidP="009E6FA0">
      <w:pPr>
        <w:pStyle w:val="Maintitle"/>
      </w:pPr>
      <w:r>
        <w:t>Liaison Statement from ITU-R W</w:t>
      </w:r>
      <w:r w:rsidR="00FF26CE">
        <w:t>P3L</w:t>
      </w:r>
    </w:p>
    <w:p w14:paraId="6D6A2203" w14:textId="77777777" w:rsidR="009E6FA0" w:rsidRDefault="009E6FA0" w:rsidP="009E6FA0">
      <w:pPr>
        <w:pStyle w:val="Maintitle"/>
      </w:pPr>
      <w:r>
        <w:t>on</w:t>
      </w:r>
    </w:p>
    <w:p w14:paraId="1BA7BCA9" w14:textId="789BE68A" w:rsidR="009E6FA0" w:rsidRDefault="009E6FA0" w:rsidP="009E6FA0">
      <w:pPr>
        <w:pStyle w:val="Maintitle"/>
      </w:pPr>
      <w:r>
        <w:rPr>
          <w:lang w:val="en-US" w:eastAsia="zh-CN"/>
        </w:rPr>
        <w:t>WRC-23 Agenda Item 1.</w:t>
      </w:r>
      <w:r w:rsidR="00612E76">
        <w:rPr>
          <w:lang w:val="en-US" w:eastAsia="zh-CN"/>
        </w:rPr>
        <w:t>9</w:t>
      </w:r>
    </w:p>
    <w:p w14:paraId="0CFD64B5" w14:textId="77777777" w:rsidR="009E6FA0" w:rsidRDefault="009E6FA0" w:rsidP="009E6FA0">
      <w:pPr>
        <w:tabs>
          <w:tab w:val="left" w:pos="6972"/>
        </w:tabs>
      </w:pPr>
    </w:p>
    <w:p w14:paraId="700D27E7" w14:textId="77777777" w:rsidR="009E6FA0" w:rsidRDefault="009E6FA0" w:rsidP="009E6FA0">
      <w:pPr>
        <w:tabs>
          <w:tab w:val="left" w:pos="6972"/>
        </w:tabs>
      </w:pPr>
    </w:p>
    <w:p w14:paraId="43C0B2F1" w14:textId="7A03D18F" w:rsidR="009E6FA0" w:rsidRDefault="009E6FA0" w:rsidP="009E6FA0">
      <w:pPr>
        <w:jc w:val="center"/>
      </w:pPr>
      <w:r>
        <w:t>(Presented by</w:t>
      </w:r>
      <w:bookmarkStart w:id="2" w:name="presented_by"/>
      <w:bookmarkEnd w:id="2"/>
      <w:r>
        <w:t xml:space="preserve"> </w:t>
      </w:r>
      <w:r w:rsidR="00612E76">
        <w:t>the Secretary</w:t>
      </w:r>
      <w:r>
        <w:t>)</w:t>
      </w:r>
    </w:p>
    <w:p w14:paraId="529DA24A" w14:textId="77777777" w:rsidR="009E6FA0" w:rsidRDefault="009E6FA0" w:rsidP="009E6FA0"/>
    <w:p w14:paraId="0467C974" w14:textId="77777777" w:rsidR="009E6FA0" w:rsidRDefault="009E6FA0" w:rsidP="009E6FA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9E6FA0" w14:paraId="765744FC" w14:textId="77777777" w:rsidTr="002D1506">
        <w:trPr>
          <w:cantSplit/>
          <w:trHeight w:hRule="exact" w:val="480"/>
          <w:jc w:val="center"/>
        </w:trPr>
        <w:tc>
          <w:tcPr>
            <w:tcW w:w="7200" w:type="dxa"/>
            <w:vAlign w:val="center"/>
          </w:tcPr>
          <w:p w14:paraId="1CA80F14" w14:textId="77777777" w:rsidR="009E6FA0" w:rsidRDefault="009E6FA0" w:rsidP="002D1506">
            <w:pPr>
              <w:jc w:val="center"/>
              <w:rPr>
                <w:sz w:val="24"/>
              </w:rPr>
            </w:pPr>
            <w:r>
              <w:rPr>
                <w:b/>
              </w:rPr>
              <w:t>SUMMARY</w:t>
            </w:r>
          </w:p>
        </w:tc>
      </w:tr>
      <w:tr w:rsidR="009E6FA0" w14:paraId="6EAECB93" w14:textId="77777777" w:rsidTr="002D1506">
        <w:trPr>
          <w:cantSplit/>
          <w:jc w:val="center"/>
        </w:trPr>
        <w:tc>
          <w:tcPr>
            <w:tcW w:w="7200" w:type="dxa"/>
          </w:tcPr>
          <w:p w14:paraId="0CFE65C5" w14:textId="423240C2" w:rsidR="009E6FA0" w:rsidRDefault="009E6FA0" w:rsidP="002D1506">
            <w:r>
              <w:t>Attached is a liaison statement from ITU-R WP</w:t>
            </w:r>
            <w:r w:rsidR="00FF26CE">
              <w:t>3L</w:t>
            </w:r>
            <w:r>
              <w:t xml:space="preserve"> on WRC-23 Agenda Item 1.</w:t>
            </w:r>
            <w:r w:rsidR="00612E76">
              <w:t>9</w:t>
            </w:r>
            <w:r>
              <w:t>.</w:t>
            </w:r>
          </w:p>
          <w:p w14:paraId="1692F18A" w14:textId="77777777" w:rsidR="009E6FA0" w:rsidRDefault="009E6FA0" w:rsidP="002D1506"/>
          <w:p w14:paraId="1E48ECBD" w14:textId="7DFF01F0" w:rsidR="009E6FA0" w:rsidRDefault="009E6FA0" w:rsidP="002D1506">
            <w:r>
              <w:t>Action:  FSMP WG/1</w:t>
            </w:r>
            <w:r w:rsidR="00275A29">
              <w:t>1</w:t>
            </w:r>
            <w:r>
              <w:t xml:space="preserve"> is invited to review the attached liaison statement and take action as appropriate.</w:t>
            </w:r>
          </w:p>
        </w:tc>
      </w:tr>
    </w:tbl>
    <w:p w14:paraId="42C4BA17" w14:textId="77777777" w:rsidR="009E6FA0" w:rsidRDefault="009E6FA0" w:rsidP="009E6FA0"/>
    <w:p w14:paraId="1023EF95" w14:textId="77777777" w:rsidR="009E6FA0" w:rsidRDefault="009E6FA0" w:rsidP="009E6FA0">
      <w:pPr>
        <w:spacing w:before="600"/>
        <w:jc w:val="center"/>
      </w:pPr>
      <w:r w:rsidRPr="00DC752E">
        <w:t>______________</w:t>
      </w:r>
    </w:p>
    <w:p w14:paraId="784D5BE0" w14:textId="49A518BF" w:rsidR="00612E76" w:rsidRDefault="00612E76">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612E76" w14:paraId="364C6360" w14:textId="77777777" w:rsidTr="00876A8A">
        <w:trPr>
          <w:cantSplit/>
        </w:trPr>
        <w:tc>
          <w:tcPr>
            <w:tcW w:w="6487" w:type="dxa"/>
            <w:vAlign w:val="center"/>
          </w:tcPr>
          <w:p w14:paraId="19C56719" w14:textId="77777777" w:rsidR="00612E76" w:rsidRPr="00D8032B" w:rsidRDefault="00612E76" w:rsidP="009F6520">
            <w:pPr>
              <w:shd w:val="solid" w:color="FFFFFF" w:fill="FFFFFF"/>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4510F323" w14:textId="77777777" w:rsidR="00612E76" w:rsidRDefault="00612E76" w:rsidP="009F7D3E">
            <w:pPr>
              <w:shd w:val="solid" w:color="FFFFFF" w:fill="FFFFFF"/>
              <w:spacing w:line="240" w:lineRule="atLeast"/>
            </w:pPr>
            <w:bookmarkStart w:id="3" w:name="ditulogo"/>
            <w:bookmarkEnd w:id="3"/>
            <w:r>
              <w:rPr>
                <w:noProof/>
              </w:rPr>
              <w:drawing>
                <wp:inline distT="0" distB="0" distL="0" distR="0" wp14:anchorId="2D3AB323" wp14:editId="3FF72300">
                  <wp:extent cx="765175" cy="765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612E76" w:rsidRPr="0051782D" w14:paraId="229003B7" w14:textId="77777777" w:rsidTr="00876A8A">
        <w:trPr>
          <w:cantSplit/>
        </w:trPr>
        <w:tc>
          <w:tcPr>
            <w:tcW w:w="6487" w:type="dxa"/>
            <w:tcBorders>
              <w:bottom w:val="single" w:sz="12" w:space="0" w:color="auto"/>
            </w:tcBorders>
          </w:tcPr>
          <w:p w14:paraId="2B8D35AA" w14:textId="77777777" w:rsidR="00612E76" w:rsidRPr="00163271" w:rsidRDefault="00612E76" w:rsidP="00A5173C">
            <w:pPr>
              <w:shd w:val="solid" w:color="FFFFFF" w:fill="FFFFFF"/>
              <w:spacing w:after="48"/>
              <w:rPr>
                <w:rFonts w:ascii="Verdana" w:hAnsi="Verdana" w:cs="Times New Roman Bold"/>
                <w:b/>
              </w:rPr>
            </w:pPr>
          </w:p>
        </w:tc>
        <w:tc>
          <w:tcPr>
            <w:tcW w:w="3402" w:type="dxa"/>
            <w:tcBorders>
              <w:bottom w:val="single" w:sz="12" w:space="0" w:color="auto"/>
            </w:tcBorders>
          </w:tcPr>
          <w:p w14:paraId="635081CA" w14:textId="77777777" w:rsidR="00612E76" w:rsidRPr="0051782D" w:rsidRDefault="00612E76" w:rsidP="00A5173C">
            <w:pPr>
              <w:shd w:val="solid" w:color="FFFFFF" w:fill="FFFFFF"/>
              <w:spacing w:after="48" w:line="240" w:lineRule="atLeast"/>
            </w:pPr>
          </w:p>
        </w:tc>
      </w:tr>
      <w:tr w:rsidR="00612E76" w14:paraId="58D404FD" w14:textId="77777777" w:rsidTr="00876A8A">
        <w:trPr>
          <w:cantSplit/>
        </w:trPr>
        <w:tc>
          <w:tcPr>
            <w:tcW w:w="6487" w:type="dxa"/>
            <w:tcBorders>
              <w:top w:val="single" w:sz="12" w:space="0" w:color="auto"/>
            </w:tcBorders>
          </w:tcPr>
          <w:p w14:paraId="09EB5B73" w14:textId="77777777" w:rsidR="00612E76" w:rsidRPr="0051782D" w:rsidRDefault="00612E76" w:rsidP="00A5173C">
            <w:pPr>
              <w:shd w:val="solid" w:color="FFFFFF" w:fill="FFFFFF"/>
              <w:spacing w:after="48"/>
              <w:rPr>
                <w:rFonts w:ascii="Verdana" w:hAnsi="Verdana" w:cs="Times New Roman Bold"/>
                <w:bCs/>
              </w:rPr>
            </w:pPr>
          </w:p>
        </w:tc>
        <w:tc>
          <w:tcPr>
            <w:tcW w:w="3402" w:type="dxa"/>
            <w:tcBorders>
              <w:top w:val="single" w:sz="12" w:space="0" w:color="auto"/>
            </w:tcBorders>
          </w:tcPr>
          <w:p w14:paraId="252007B2" w14:textId="77777777" w:rsidR="00612E76" w:rsidRPr="00710D66" w:rsidRDefault="00612E76" w:rsidP="00A5173C">
            <w:pPr>
              <w:shd w:val="solid" w:color="FFFFFF" w:fill="FFFFFF"/>
              <w:spacing w:after="48" w:line="240" w:lineRule="atLeast"/>
            </w:pPr>
          </w:p>
        </w:tc>
      </w:tr>
      <w:tr w:rsidR="00FF26CE" w:rsidRPr="004016CB" w14:paraId="2C0F5EB6" w14:textId="77777777" w:rsidTr="00417D4F">
        <w:trPr>
          <w:cantSplit/>
        </w:trPr>
        <w:tc>
          <w:tcPr>
            <w:tcW w:w="6487" w:type="dxa"/>
            <w:vMerge w:val="restart"/>
          </w:tcPr>
          <w:p w14:paraId="7EF04F90" w14:textId="77777777" w:rsidR="00FF26CE" w:rsidRPr="005C63B3" w:rsidRDefault="00FF26CE" w:rsidP="00417D4F">
            <w:pPr>
              <w:shd w:val="clear" w:color="auto" w:fill="FFFFFF" w:themeFill="background1"/>
              <w:spacing w:after="240"/>
              <w:ind w:left="1134" w:hanging="1134"/>
              <w:rPr>
                <w:rFonts w:ascii="Verdana" w:hAnsi="Verdana"/>
                <w:sz w:val="20"/>
                <w:lang w:val="fr-FR"/>
              </w:rPr>
            </w:pPr>
            <w:bookmarkStart w:id="4" w:name="recibido"/>
            <w:bookmarkStart w:id="5" w:name="dnum" w:colFirst="1" w:colLast="1"/>
            <w:bookmarkEnd w:id="4"/>
            <w:proofErr w:type="gramStart"/>
            <w:r w:rsidRPr="005C63B3">
              <w:rPr>
                <w:rFonts w:ascii="Verdana" w:hAnsi="Verdana"/>
                <w:sz w:val="20"/>
                <w:lang w:val="fr-FR"/>
              </w:rPr>
              <w:t>Source:</w:t>
            </w:r>
            <w:proofErr w:type="gramEnd"/>
            <w:r w:rsidRPr="005C63B3">
              <w:rPr>
                <w:rFonts w:ascii="Verdana" w:hAnsi="Verdana"/>
                <w:sz w:val="20"/>
                <w:lang w:val="fr-FR"/>
              </w:rPr>
              <w:tab/>
              <w:t xml:space="preserve">Document </w:t>
            </w:r>
            <w:hyperlink r:id="rId12" w:history="1">
              <w:r w:rsidRPr="005C63B3">
                <w:rPr>
                  <w:rStyle w:val="Hyperlink"/>
                  <w:rFonts w:ascii="Verdana" w:hAnsi="Verdana"/>
                  <w:sz w:val="20"/>
                  <w:lang w:val="fr-FR"/>
                </w:rPr>
                <w:t>3L/25</w:t>
              </w:r>
            </w:hyperlink>
            <w:r w:rsidRPr="005C63B3">
              <w:rPr>
                <w:rFonts w:ascii="Verdana" w:hAnsi="Verdana"/>
                <w:sz w:val="20"/>
                <w:lang w:val="fr-FR"/>
              </w:rPr>
              <w:t>, 3L/TEMP/15</w:t>
            </w:r>
          </w:p>
          <w:p w14:paraId="64295107" w14:textId="77777777" w:rsidR="00FF26CE" w:rsidRPr="004E09E7" w:rsidRDefault="00FF26CE" w:rsidP="00417D4F">
            <w:pPr>
              <w:shd w:val="clear" w:color="auto" w:fill="FFFFFF" w:themeFill="background1"/>
              <w:spacing w:after="240"/>
              <w:ind w:left="1134" w:hanging="1134"/>
              <w:rPr>
                <w:rFonts w:ascii="Verdana" w:hAnsi="Verdana"/>
                <w:sz w:val="20"/>
              </w:rPr>
            </w:pPr>
            <w:r w:rsidRPr="004E09E7">
              <w:rPr>
                <w:rFonts w:ascii="Verdana" w:hAnsi="Verdana"/>
                <w:sz w:val="20"/>
              </w:rPr>
              <w:t>Subject:</w:t>
            </w:r>
            <w:r w:rsidRPr="004E09E7">
              <w:rPr>
                <w:rFonts w:ascii="Verdana" w:hAnsi="Verdana"/>
                <w:sz w:val="20"/>
              </w:rPr>
              <w:tab/>
              <w:t>WRC-23 agenda item 1.9</w:t>
            </w:r>
          </w:p>
          <w:p w14:paraId="2016745A" w14:textId="77777777" w:rsidR="00FF26CE" w:rsidRPr="004E09E7" w:rsidRDefault="00FF26CE" w:rsidP="00417D4F">
            <w:pPr>
              <w:shd w:val="solid" w:color="FFFFFF" w:fill="FFFFFF"/>
              <w:spacing w:after="240"/>
              <w:ind w:left="1134" w:hanging="1134"/>
              <w:rPr>
                <w:rFonts w:ascii="Verdana" w:hAnsi="Verdana"/>
                <w:sz w:val="20"/>
              </w:rPr>
            </w:pPr>
          </w:p>
        </w:tc>
        <w:tc>
          <w:tcPr>
            <w:tcW w:w="3402" w:type="dxa"/>
          </w:tcPr>
          <w:p w14:paraId="187A6F5F" w14:textId="77777777" w:rsidR="00FF26CE" w:rsidRPr="00B439F2" w:rsidRDefault="00FF26CE" w:rsidP="00417D4F">
            <w:pPr>
              <w:shd w:val="solid" w:color="FFFFFF" w:fill="FFFFFF"/>
              <w:spacing w:line="240" w:lineRule="atLeast"/>
              <w:rPr>
                <w:rFonts w:ascii="Verdana" w:hAnsi="Verdana"/>
                <w:b/>
                <w:sz w:val="20"/>
                <w:lang w:val="fr-FR" w:eastAsia="zh-CN"/>
              </w:rPr>
            </w:pPr>
          </w:p>
        </w:tc>
      </w:tr>
      <w:tr w:rsidR="00FF26CE" w:rsidRPr="004E09E7" w14:paraId="75A21D90" w14:textId="77777777" w:rsidTr="00417D4F">
        <w:trPr>
          <w:cantSplit/>
        </w:trPr>
        <w:tc>
          <w:tcPr>
            <w:tcW w:w="6487" w:type="dxa"/>
            <w:vMerge/>
          </w:tcPr>
          <w:p w14:paraId="64B145BB" w14:textId="77777777" w:rsidR="00FF26CE" w:rsidRPr="00B439F2" w:rsidRDefault="00FF26CE" w:rsidP="00417D4F">
            <w:pPr>
              <w:spacing w:before="60"/>
              <w:jc w:val="center"/>
              <w:rPr>
                <w:b/>
                <w:smallCaps/>
                <w:sz w:val="32"/>
                <w:lang w:val="fr-FR" w:eastAsia="zh-CN"/>
              </w:rPr>
            </w:pPr>
            <w:bookmarkStart w:id="6" w:name="ddate" w:colFirst="1" w:colLast="1"/>
            <w:bookmarkEnd w:id="5"/>
          </w:p>
        </w:tc>
        <w:tc>
          <w:tcPr>
            <w:tcW w:w="3402" w:type="dxa"/>
          </w:tcPr>
          <w:p w14:paraId="7FCCFA0F" w14:textId="77777777" w:rsidR="00FF26CE" w:rsidRPr="004E09E7" w:rsidRDefault="00FF26CE" w:rsidP="00417D4F">
            <w:pPr>
              <w:shd w:val="clear" w:color="auto" w:fill="FFFFFF" w:themeFill="background1"/>
              <w:spacing w:line="240" w:lineRule="atLeast"/>
              <w:rPr>
                <w:rFonts w:ascii="Verdana" w:hAnsi="Verdana"/>
                <w:sz w:val="20"/>
                <w:lang w:eastAsia="zh-CN"/>
              </w:rPr>
            </w:pPr>
            <w:r>
              <w:rPr>
                <w:rFonts w:ascii="Verdana" w:hAnsi="Verdana"/>
                <w:b/>
                <w:bCs/>
                <w:sz w:val="20"/>
                <w:lang w:eastAsia="zh-CN"/>
              </w:rPr>
              <w:t>27</w:t>
            </w:r>
            <w:r w:rsidRPr="004E09E7">
              <w:rPr>
                <w:rFonts w:ascii="Verdana" w:hAnsi="Verdana"/>
                <w:b/>
                <w:bCs/>
                <w:sz w:val="20"/>
                <w:lang w:eastAsia="zh-CN"/>
              </w:rPr>
              <w:t xml:space="preserve"> August 2020</w:t>
            </w:r>
          </w:p>
        </w:tc>
      </w:tr>
      <w:tr w:rsidR="00FF26CE" w:rsidRPr="004E09E7" w14:paraId="09BC8FC2" w14:textId="77777777" w:rsidTr="00417D4F">
        <w:trPr>
          <w:cantSplit/>
        </w:trPr>
        <w:tc>
          <w:tcPr>
            <w:tcW w:w="6487" w:type="dxa"/>
            <w:vMerge/>
          </w:tcPr>
          <w:p w14:paraId="675510ED" w14:textId="77777777" w:rsidR="00FF26CE" w:rsidRPr="004E09E7" w:rsidRDefault="00FF26CE" w:rsidP="00417D4F">
            <w:pPr>
              <w:spacing w:before="60"/>
              <w:jc w:val="center"/>
              <w:rPr>
                <w:b/>
                <w:smallCaps/>
                <w:sz w:val="32"/>
                <w:lang w:eastAsia="zh-CN"/>
              </w:rPr>
            </w:pPr>
            <w:bookmarkStart w:id="7" w:name="dorlang" w:colFirst="1" w:colLast="1"/>
            <w:bookmarkEnd w:id="6"/>
          </w:p>
        </w:tc>
        <w:tc>
          <w:tcPr>
            <w:tcW w:w="3402" w:type="dxa"/>
          </w:tcPr>
          <w:p w14:paraId="4577386D" w14:textId="77777777" w:rsidR="00FF26CE" w:rsidRPr="004E09E7" w:rsidRDefault="00FF26CE" w:rsidP="00417D4F">
            <w:pPr>
              <w:shd w:val="clear" w:color="auto" w:fill="FFFFFF" w:themeFill="background1"/>
              <w:spacing w:line="240" w:lineRule="atLeast"/>
              <w:rPr>
                <w:rFonts w:ascii="Verdana" w:eastAsia="SimSun" w:hAnsi="Verdana"/>
                <w:sz w:val="20"/>
                <w:lang w:eastAsia="zh-CN"/>
              </w:rPr>
            </w:pPr>
          </w:p>
        </w:tc>
      </w:tr>
      <w:tr w:rsidR="00FF26CE" w:rsidRPr="004E09E7" w14:paraId="37F07DAD" w14:textId="77777777" w:rsidTr="00417D4F">
        <w:trPr>
          <w:cantSplit/>
        </w:trPr>
        <w:tc>
          <w:tcPr>
            <w:tcW w:w="9889" w:type="dxa"/>
            <w:gridSpan w:val="2"/>
          </w:tcPr>
          <w:p w14:paraId="21E3B702" w14:textId="77777777" w:rsidR="00FF26CE" w:rsidRPr="004E09E7" w:rsidRDefault="00FF26CE" w:rsidP="00417D4F">
            <w:pPr>
              <w:pStyle w:val="Source"/>
              <w:rPr>
                <w:lang w:eastAsia="zh-CN"/>
              </w:rPr>
            </w:pPr>
            <w:bookmarkStart w:id="8" w:name="dsource" w:colFirst="0" w:colLast="0"/>
            <w:bookmarkEnd w:id="7"/>
            <w:r w:rsidRPr="004E09E7">
              <w:rPr>
                <w:lang w:eastAsia="zh-CN"/>
              </w:rPr>
              <w:t>Working Party 3L</w:t>
            </w:r>
          </w:p>
        </w:tc>
      </w:tr>
      <w:tr w:rsidR="00FF26CE" w:rsidRPr="004E09E7" w14:paraId="737A5317" w14:textId="77777777" w:rsidTr="00417D4F">
        <w:trPr>
          <w:cantSplit/>
        </w:trPr>
        <w:tc>
          <w:tcPr>
            <w:tcW w:w="9889" w:type="dxa"/>
            <w:gridSpan w:val="2"/>
          </w:tcPr>
          <w:p w14:paraId="2012274C" w14:textId="77777777" w:rsidR="00FF26CE" w:rsidRPr="004E09E7" w:rsidRDefault="00FF26CE" w:rsidP="00417D4F">
            <w:pPr>
              <w:pStyle w:val="Title1"/>
              <w:rPr>
                <w:lang w:eastAsia="zh-CN"/>
              </w:rPr>
            </w:pPr>
            <w:bookmarkStart w:id="9" w:name="_Hlk49415506"/>
            <w:bookmarkStart w:id="10" w:name="drec" w:colFirst="0" w:colLast="0"/>
            <w:bookmarkEnd w:id="8"/>
            <w:r w:rsidRPr="004E09E7">
              <w:rPr>
                <w:lang w:eastAsia="zh-CN"/>
              </w:rPr>
              <w:t xml:space="preserve">REPLY LIAISOn STATEMENT </w:t>
            </w:r>
            <w:r>
              <w:rPr>
                <w:lang w:eastAsia="zh-CN"/>
              </w:rPr>
              <w:t>to</w:t>
            </w:r>
            <w:r w:rsidRPr="004E09E7">
              <w:rPr>
                <w:lang w:eastAsia="zh-CN"/>
              </w:rPr>
              <w:t xml:space="preserve"> working partY 5B</w:t>
            </w:r>
            <w:r w:rsidRPr="004E09E7">
              <w:t xml:space="preserve"> </w:t>
            </w:r>
            <w:r>
              <w:br/>
            </w:r>
            <w:r w:rsidRPr="004E09E7">
              <w:t>(COPIE</w:t>
            </w:r>
            <w:r>
              <w:t>D</w:t>
            </w:r>
            <w:r w:rsidRPr="004E09E7">
              <w:t xml:space="preserve"> TO Working Parties 5A, 5C, 6A and ICAO</w:t>
            </w:r>
            <w:r>
              <w:t xml:space="preserve"> for information</w:t>
            </w:r>
            <w:r w:rsidRPr="004E09E7">
              <w:t>)</w:t>
            </w:r>
            <w:bookmarkEnd w:id="9"/>
          </w:p>
        </w:tc>
      </w:tr>
      <w:tr w:rsidR="00FF26CE" w:rsidRPr="004E09E7" w14:paraId="44607F50" w14:textId="77777777" w:rsidTr="00417D4F">
        <w:trPr>
          <w:cantSplit/>
        </w:trPr>
        <w:tc>
          <w:tcPr>
            <w:tcW w:w="9889" w:type="dxa"/>
            <w:gridSpan w:val="2"/>
          </w:tcPr>
          <w:p w14:paraId="36D29A4F" w14:textId="77777777" w:rsidR="00FF26CE" w:rsidRPr="004E09E7" w:rsidRDefault="00FF26CE" w:rsidP="00417D4F">
            <w:pPr>
              <w:pStyle w:val="Title4"/>
              <w:spacing w:after="120"/>
              <w:rPr>
                <w:lang w:eastAsia="zh-CN"/>
              </w:rPr>
            </w:pPr>
            <w:bookmarkStart w:id="11" w:name="_Hlk49415564"/>
            <w:bookmarkStart w:id="12" w:name="dtitle1" w:colFirst="0" w:colLast="0"/>
            <w:bookmarkEnd w:id="10"/>
            <w:r w:rsidRPr="004E09E7">
              <w:rPr>
                <w:lang w:eastAsia="zh-CN"/>
              </w:rPr>
              <w:t>WRC-23 agenda item 1.9</w:t>
            </w:r>
          </w:p>
          <w:p w14:paraId="48769367" w14:textId="77777777" w:rsidR="00FF26CE" w:rsidRPr="004E09E7" w:rsidRDefault="00FF26CE" w:rsidP="00417D4F">
            <w:pPr>
              <w:pStyle w:val="Title4"/>
              <w:spacing w:before="0" w:line="276" w:lineRule="auto"/>
              <w:rPr>
                <w:lang w:eastAsia="zh-CN"/>
              </w:rPr>
            </w:pPr>
            <w:r w:rsidRPr="004E09E7">
              <w:rPr>
                <w:lang w:eastAsia="zh-CN"/>
              </w:rPr>
              <w:t xml:space="preserve">Review of Appendix 27 of the Radio Regulations to accommodate </w:t>
            </w:r>
          </w:p>
          <w:p w14:paraId="0801B3EF" w14:textId="77777777" w:rsidR="00FF26CE" w:rsidRPr="004E09E7" w:rsidRDefault="00FF26CE" w:rsidP="00417D4F">
            <w:pPr>
              <w:pStyle w:val="Title4"/>
              <w:spacing w:before="0" w:after="240" w:line="276" w:lineRule="auto"/>
              <w:rPr>
                <w:lang w:eastAsia="zh-CN"/>
              </w:rPr>
            </w:pPr>
            <w:r w:rsidRPr="004E09E7">
              <w:rPr>
                <w:lang w:eastAsia="zh-CN"/>
              </w:rPr>
              <w:t>digital aeronautical HF technologies</w:t>
            </w:r>
            <w:bookmarkEnd w:id="11"/>
          </w:p>
        </w:tc>
      </w:tr>
    </w:tbl>
    <w:p w14:paraId="4FEA96D3" w14:textId="77777777" w:rsidR="00FF26CE" w:rsidRPr="005178F9" w:rsidRDefault="00FF26CE" w:rsidP="005178F9">
      <w:pPr>
        <w:spacing w:before="120"/>
        <w:rPr>
          <w:color w:val="000000" w:themeColor="text1"/>
          <w:sz w:val="24"/>
          <w:szCs w:val="24"/>
          <w:lang w:eastAsia="zh-CN"/>
        </w:rPr>
      </w:pPr>
      <w:bookmarkStart w:id="13" w:name="dbreak"/>
      <w:bookmarkStart w:id="14" w:name="_Hlk46038457"/>
      <w:bookmarkEnd w:id="12"/>
      <w:bookmarkEnd w:id="13"/>
      <w:r w:rsidRPr="005178F9">
        <w:rPr>
          <w:color w:val="000000" w:themeColor="text1"/>
          <w:sz w:val="24"/>
          <w:szCs w:val="24"/>
          <w:lang w:eastAsia="zh-CN"/>
        </w:rPr>
        <w:t>Working Party (WP) 3L wishes to thank WP 5B for the request for advice on the radio propagation models that may be relevant to compatibility studies for the introduction of new digital aeronautical wideband HF systems for the AM(R)S between 2 850 and 22 000 kHz.</w:t>
      </w:r>
    </w:p>
    <w:p w14:paraId="75A8FBA9" w14:textId="77777777" w:rsidR="00FF26CE" w:rsidRPr="005178F9" w:rsidRDefault="00FF26CE" w:rsidP="005178F9">
      <w:pPr>
        <w:spacing w:before="120"/>
        <w:rPr>
          <w:color w:val="000000" w:themeColor="text1"/>
          <w:sz w:val="24"/>
          <w:szCs w:val="24"/>
          <w:lang w:eastAsia="zh-CN"/>
        </w:rPr>
      </w:pPr>
      <w:r w:rsidRPr="005178F9">
        <w:rPr>
          <w:color w:val="000000" w:themeColor="text1"/>
          <w:sz w:val="24"/>
          <w:szCs w:val="24"/>
          <w:lang w:eastAsia="zh-CN"/>
        </w:rPr>
        <w:t xml:space="preserve">The propagation of radio waves in the HF band is complicated, principally due to the dynamic </w:t>
      </w:r>
      <w:proofErr w:type="spellStart"/>
      <w:r w:rsidRPr="005178F9">
        <w:rPr>
          <w:color w:val="000000" w:themeColor="text1"/>
          <w:sz w:val="24"/>
          <w:szCs w:val="24"/>
          <w:lang w:eastAsia="zh-CN"/>
        </w:rPr>
        <w:t>behaviour</w:t>
      </w:r>
      <w:proofErr w:type="spellEnd"/>
      <w:r w:rsidRPr="005178F9">
        <w:rPr>
          <w:color w:val="000000" w:themeColor="text1"/>
          <w:sz w:val="24"/>
          <w:szCs w:val="24"/>
          <w:lang w:eastAsia="zh-CN"/>
        </w:rPr>
        <w:t xml:space="preserve"> of the ionosphere. Ionospheric radio wave propagation varies significantly over the day, from season-to-season, over solar cycle and with geomagnetic conditions. </w:t>
      </w:r>
    </w:p>
    <w:p w14:paraId="6ECB6885" w14:textId="77777777" w:rsidR="00FF26CE" w:rsidRPr="005178F9" w:rsidRDefault="00FF26CE" w:rsidP="005178F9">
      <w:pPr>
        <w:spacing w:before="120"/>
        <w:rPr>
          <w:rStyle w:val="Hyperlink"/>
          <w:color w:val="000000" w:themeColor="text1"/>
          <w:sz w:val="24"/>
          <w:szCs w:val="24"/>
          <w:u w:val="none"/>
        </w:rPr>
      </w:pPr>
      <w:r w:rsidRPr="005178F9">
        <w:rPr>
          <w:rStyle w:val="Hyperlink"/>
          <w:color w:val="000000" w:themeColor="text1"/>
          <w:sz w:val="24"/>
          <w:szCs w:val="24"/>
          <w:u w:val="none"/>
        </w:rPr>
        <w:t xml:space="preserve">Anomalies and statistical </w:t>
      </w:r>
      <w:proofErr w:type="spellStart"/>
      <w:r w:rsidRPr="005178F9">
        <w:rPr>
          <w:rStyle w:val="Hyperlink"/>
          <w:color w:val="000000" w:themeColor="text1"/>
          <w:sz w:val="24"/>
          <w:szCs w:val="24"/>
          <w:u w:val="none"/>
        </w:rPr>
        <w:t>behaviours</w:t>
      </w:r>
      <w:proofErr w:type="spellEnd"/>
      <w:r w:rsidRPr="005178F9">
        <w:rPr>
          <w:rStyle w:val="Hyperlink"/>
          <w:color w:val="000000" w:themeColor="text1"/>
          <w:sz w:val="24"/>
          <w:szCs w:val="24"/>
          <w:u w:val="none"/>
        </w:rPr>
        <w:t xml:space="preserve"> of the ionosphere can have numerous effects on radio communications. Ionospheric propagation effects can be subtle and potentially wide ranging. The Annex, Propagation Considerations, appears here to clarify and expand on the most important propagation aspects that may arise in WP 5B’s studies. The annex particularly focuses on ionospheric phenomena that may influence wanted and unwanted propagation paths. </w:t>
      </w:r>
    </w:p>
    <w:p w14:paraId="0C75A656" w14:textId="77777777" w:rsidR="00FF26CE" w:rsidRPr="005178F9" w:rsidRDefault="00FF26CE" w:rsidP="005178F9">
      <w:pPr>
        <w:spacing w:before="120"/>
        <w:rPr>
          <w:color w:val="000000" w:themeColor="text1"/>
          <w:sz w:val="24"/>
          <w:szCs w:val="24"/>
          <w:lang w:eastAsia="zh-CN"/>
        </w:rPr>
      </w:pPr>
      <w:r w:rsidRPr="005178F9">
        <w:rPr>
          <w:rStyle w:val="Hyperlink"/>
          <w:color w:val="000000" w:themeColor="text1"/>
          <w:sz w:val="24"/>
          <w:szCs w:val="24"/>
          <w:u w:val="none"/>
        </w:rPr>
        <w:t xml:space="preserve">In preparing this reply, WP 3L finds that the characteristics and topologies of the new digital systems, that operate in the HF range, are critical to providing accurate and relevant advice to WP 5B. Consequently, WP 3L has taken the liberty to imagine potential coupling scenarios. Without specifics of the propagation links under study, WP 3L will rely on these assumptions which result in identifying </w:t>
      </w:r>
      <w:r w:rsidRPr="005178F9">
        <w:rPr>
          <w:color w:val="000000" w:themeColor="text1"/>
          <w:sz w:val="24"/>
          <w:szCs w:val="24"/>
          <w:lang w:eastAsia="zh-CN"/>
        </w:rPr>
        <w:t>dominant coupling between AM(R)S and victim (potentially interfered station) as line-of-sight, ground wave and/or ionospheric propagation.</w:t>
      </w:r>
    </w:p>
    <w:p w14:paraId="187AFA00" w14:textId="77777777" w:rsidR="00FF26CE" w:rsidRPr="005178F9" w:rsidRDefault="00FF26CE" w:rsidP="005178F9">
      <w:pPr>
        <w:spacing w:before="120"/>
        <w:rPr>
          <w:color w:val="000000" w:themeColor="text1"/>
          <w:sz w:val="24"/>
          <w:szCs w:val="24"/>
          <w:lang w:eastAsia="zh-CN"/>
        </w:rPr>
      </w:pPr>
      <w:r w:rsidRPr="005178F9">
        <w:rPr>
          <w:color w:val="000000" w:themeColor="text1"/>
          <w:sz w:val="24"/>
          <w:szCs w:val="24"/>
          <w:lang w:eastAsia="zh-CN"/>
        </w:rPr>
        <w:t>The most relevant propagation models and coverage calculations are available in the ITU-R Recommendations listed below:</w:t>
      </w:r>
    </w:p>
    <w:p w14:paraId="40D593CA" w14:textId="77777777" w:rsidR="00FF26CE" w:rsidRPr="005178F9" w:rsidRDefault="00FF26CE" w:rsidP="005178F9">
      <w:pPr>
        <w:spacing w:before="120"/>
        <w:rPr>
          <w:color w:val="000000" w:themeColor="text1"/>
          <w:sz w:val="24"/>
          <w:szCs w:val="24"/>
          <w:lang w:eastAsia="zh-CN"/>
        </w:rPr>
      </w:pPr>
      <w:r w:rsidRPr="005178F9">
        <w:rPr>
          <w:color w:val="000000" w:themeColor="text1"/>
          <w:sz w:val="24"/>
          <w:szCs w:val="24"/>
          <w:lang w:eastAsia="zh-CN"/>
        </w:rPr>
        <w:lastRenderedPageBreak/>
        <w:t xml:space="preserve">P.368 - Ground-wave propagation curves for frequencies between 10 kHz and 30 MHz  </w:t>
      </w:r>
    </w:p>
    <w:p w14:paraId="5C93724A" w14:textId="77777777" w:rsidR="00FF26CE" w:rsidRPr="005178F9" w:rsidRDefault="00FF26CE" w:rsidP="005178F9">
      <w:pPr>
        <w:spacing w:before="120"/>
        <w:rPr>
          <w:color w:val="000000" w:themeColor="text1"/>
          <w:sz w:val="24"/>
          <w:szCs w:val="24"/>
          <w:lang w:eastAsia="zh-CN"/>
        </w:rPr>
      </w:pPr>
      <w:r w:rsidRPr="005178F9">
        <w:rPr>
          <w:color w:val="000000" w:themeColor="text1"/>
          <w:sz w:val="24"/>
          <w:szCs w:val="24"/>
          <w:lang w:eastAsia="zh-CN"/>
        </w:rPr>
        <w:t xml:space="preserve">P.371 - Choice of indices for long-term ionospheric predictions   </w:t>
      </w:r>
    </w:p>
    <w:p w14:paraId="1F946CC8" w14:textId="77777777" w:rsidR="00FF26CE" w:rsidRPr="005178F9" w:rsidRDefault="00FF26CE" w:rsidP="005178F9">
      <w:pPr>
        <w:spacing w:before="120"/>
        <w:rPr>
          <w:sz w:val="24"/>
          <w:szCs w:val="24"/>
          <w:lang w:eastAsia="zh-CN"/>
        </w:rPr>
      </w:pPr>
      <w:r w:rsidRPr="005178F9">
        <w:rPr>
          <w:sz w:val="24"/>
          <w:szCs w:val="24"/>
          <w:lang w:eastAsia="zh-CN"/>
        </w:rPr>
        <w:t xml:space="preserve">P.372 - Radio noise  </w:t>
      </w:r>
    </w:p>
    <w:p w14:paraId="1C1DFDB7" w14:textId="77777777" w:rsidR="00FF26CE" w:rsidRPr="005178F9" w:rsidRDefault="00FF26CE" w:rsidP="005178F9">
      <w:pPr>
        <w:spacing w:before="120"/>
        <w:rPr>
          <w:sz w:val="24"/>
          <w:szCs w:val="24"/>
          <w:lang w:eastAsia="zh-CN"/>
        </w:rPr>
      </w:pPr>
      <w:r w:rsidRPr="005178F9">
        <w:rPr>
          <w:sz w:val="24"/>
          <w:szCs w:val="24"/>
          <w:lang w:eastAsia="zh-CN"/>
        </w:rPr>
        <w:t xml:space="preserve">P.373 - Definitions of maximum and minimum transmission frequencies  </w:t>
      </w:r>
    </w:p>
    <w:p w14:paraId="459B0CC7" w14:textId="77777777" w:rsidR="00FF26CE" w:rsidRPr="005178F9" w:rsidRDefault="00FF26CE" w:rsidP="005178F9">
      <w:pPr>
        <w:spacing w:before="120"/>
        <w:rPr>
          <w:sz w:val="24"/>
          <w:szCs w:val="24"/>
          <w:lang w:eastAsia="zh-CN"/>
        </w:rPr>
      </w:pPr>
      <w:r w:rsidRPr="005178F9">
        <w:rPr>
          <w:sz w:val="24"/>
          <w:szCs w:val="24"/>
          <w:lang w:eastAsia="zh-CN"/>
        </w:rPr>
        <w:t xml:space="preserve">P.533 - Method for the prediction of the performance of HF circuits   </w:t>
      </w:r>
    </w:p>
    <w:p w14:paraId="68460A14" w14:textId="77777777" w:rsidR="00FF26CE" w:rsidRPr="005178F9" w:rsidRDefault="00FF26CE" w:rsidP="005178F9">
      <w:pPr>
        <w:spacing w:before="120"/>
        <w:rPr>
          <w:sz w:val="24"/>
          <w:szCs w:val="24"/>
          <w:lang w:eastAsia="zh-CN"/>
        </w:rPr>
      </w:pPr>
      <w:r w:rsidRPr="005178F9">
        <w:rPr>
          <w:sz w:val="24"/>
          <w:szCs w:val="24"/>
          <w:lang w:eastAsia="zh-CN"/>
        </w:rPr>
        <w:t xml:space="preserve">P.534 - Method for calculating sporadic-E field strength   </w:t>
      </w:r>
    </w:p>
    <w:p w14:paraId="61FD8EA9" w14:textId="77777777" w:rsidR="00FF26CE" w:rsidRPr="005178F9" w:rsidRDefault="00FF26CE" w:rsidP="005178F9">
      <w:pPr>
        <w:spacing w:before="120"/>
        <w:rPr>
          <w:sz w:val="24"/>
          <w:szCs w:val="24"/>
          <w:lang w:eastAsia="zh-CN"/>
        </w:rPr>
      </w:pPr>
      <w:r w:rsidRPr="005178F9">
        <w:rPr>
          <w:sz w:val="24"/>
          <w:szCs w:val="24"/>
          <w:lang w:eastAsia="zh-CN"/>
        </w:rPr>
        <w:t xml:space="preserve">P.581 - The concept of "worst month"  </w:t>
      </w:r>
    </w:p>
    <w:p w14:paraId="5756CABA" w14:textId="77777777" w:rsidR="00FF26CE" w:rsidRPr="005178F9" w:rsidRDefault="00FF26CE" w:rsidP="005178F9">
      <w:pPr>
        <w:spacing w:before="120"/>
        <w:rPr>
          <w:sz w:val="24"/>
          <w:szCs w:val="24"/>
          <w:lang w:eastAsia="zh-CN"/>
        </w:rPr>
      </w:pPr>
      <w:r w:rsidRPr="005178F9">
        <w:rPr>
          <w:sz w:val="24"/>
          <w:szCs w:val="24"/>
          <w:lang w:eastAsia="zh-CN"/>
        </w:rPr>
        <w:t xml:space="preserve">P.845 - HF field-strength measurement  </w:t>
      </w:r>
    </w:p>
    <w:p w14:paraId="37AC1989" w14:textId="77777777" w:rsidR="00FF26CE" w:rsidRPr="005178F9" w:rsidRDefault="00FF26CE" w:rsidP="005178F9">
      <w:pPr>
        <w:spacing w:before="120"/>
        <w:rPr>
          <w:sz w:val="24"/>
          <w:szCs w:val="24"/>
          <w:lang w:eastAsia="zh-CN"/>
        </w:rPr>
      </w:pPr>
      <w:r w:rsidRPr="005178F9">
        <w:rPr>
          <w:sz w:val="24"/>
          <w:szCs w:val="24"/>
          <w:lang w:eastAsia="zh-CN"/>
        </w:rPr>
        <w:t>Additionally, more background information can be found in the ITU Handbooks “The ionosphere and its effects on radio wave propagation”.</w:t>
      </w:r>
    </w:p>
    <w:p w14:paraId="605C800C" w14:textId="77777777" w:rsidR="00FF26CE" w:rsidRPr="005178F9" w:rsidRDefault="00C33FB8" w:rsidP="005178F9">
      <w:pPr>
        <w:spacing w:before="120"/>
        <w:rPr>
          <w:sz w:val="24"/>
          <w:szCs w:val="24"/>
        </w:rPr>
      </w:pPr>
      <w:hyperlink r:id="rId13" w:history="1">
        <w:r w:rsidR="00FF26CE" w:rsidRPr="005178F9">
          <w:rPr>
            <w:rStyle w:val="Hyperlink"/>
            <w:sz w:val="24"/>
            <w:szCs w:val="24"/>
          </w:rPr>
          <w:t>https://www.itu.int/dms_pub/itu-r/opb/hdb/R-HDB-32-1998-PDF-E.pdf</w:t>
        </w:r>
      </w:hyperlink>
    </w:p>
    <w:p w14:paraId="57A9400C" w14:textId="77777777" w:rsidR="00FF26CE" w:rsidRPr="005178F9" w:rsidRDefault="00FF26CE" w:rsidP="005178F9">
      <w:pPr>
        <w:pStyle w:val="enumlev1"/>
        <w:tabs>
          <w:tab w:val="clear" w:pos="1134"/>
          <w:tab w:val="clear" w:pos="1871"/>
          <w:tab w:val="clear" w:pos="2608"/>
          <w:tab w:val="clear" w:pos="3345"/>
        </w:tabs>
        <w:spacing w:before="120"/>
        <w:ind w:left="0" w:firstLine="0"/>
        <w:jc w:val="both"/>
        <w:rPr>
          <w:szCs w:val="24"/>
          <w:lang w:eastAsia="zh-CN"/>
        </w:rPr>
      </w:pPr>
      <w:r w:rsidRPr="005178F9">
        <w:rPr>
          <w:szCs w:val="24"/>
          <w:lang w:eastAsia="zh-CN"/>
        </w:rPr>
        <w:t xml:space="preserve">and "Ground Wave Propagation”., </w:t>
      </w:r>
      <w:hyperlink r:id="rId14">
        <w:r w:rsidRPr="005178F9">
          <w:rPr>
            <w:rStyle w:val="Hyperlink"/>
            <w:szCs w:val="24"/>
          </w:rPr>
          <w:t>https://www.itu.int/dms_pub/itu-r/opb/hdb/R-HDB-59-2014-PDF-E.pdf</w:t>
        </w:r>
      </w:hyperlink>
      <w:r w:rsidRPr="005178F9">
        <w:rPr>
          <w:szCs w:val="24"/>
        </w:rPr>
        <w:t xml:space="preserve"> .</w:t>
      </w:r>
    </w:p>
    <w:p w14:paraId="130AF796" w14:textId="77777777" w:rsidR="00FF26CE" w:rsidRPr="005178F9" w:rsidRDefault="00FF26CE" w:rsidP="005178F9">
      <w:pPr>
        <w:pStyle w:val="enumlev1"/>
        <w:bidi/>
        <w:spacing w:before="120"/>
        <w:jc w:val="right"/>
        <w:rPr>
          <w:szCs w:val="24"/>
        </w:rPr>
      </w:pPr>
      <w:r w:rsidRPr="005178F9">
        <w:rPr>
          <w:szCs w:val="24"/>
        </w:rPr>
        <w:t>WP 3L looks forward to the continued collaboration and receiving feedback, if any, from WP 5B in order to enable WP 3L to provide further information upon request.</w:t>
      </w:r>
    </w:p>
    <w:p w14:paraId="26C8E633" w14:textId="77777777" w:rsidR="00FF26CE" w:rsidRPr="005178F9" w:rsidRDefault="00FF26CE" w:rsidP="005178F9">
      <w:pPr>
        <w:pStyle w:val="enumlev1"/>
        <w:spacing w:before="120"/>
        <w:ind w:left="0" w:firstLine="0"/>
        <w:jc w:val="both"/>
        <w:rPr>
          <w:szCs w:val="24"/>
          <w:lang w:eastAsia="zh-CN"/>
        </w:rPr>
      </w:pPr>
    </w:p>
    <w:tbl>
      <w:tblPr>
        <w:tblStyle w:val="Grilledutablea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FF26CE" w:rsidRPr="005178F9" w14:paraId="566D41A3" w14:textId="77777777" w:rsidTr="00417D4F">
        <w:tc>
          <w:tcPr>
            <w:tcW w:w="9360" w:type="dxa"/>
            <w:gridSpan w:val="2"/>
          </w:tcPr>
          <w:p w14:paraId="0433E88E" w14:textId="77777777" w:rsidR="00FF26CE" w:rsidRPr="005178F9" w:rsidRDefault="00FF26CE" w:rsidP="005178F9">
            <w:pPr>
              <w:spacing w:before="120"/>
              <w:jc w:val="both"/>
              <w:rPr>
                <w:rFonts w:ascii="Times New Roman" w:hAnsi="Times New Roman"/>
                <w:b/>
                <w:bCs/>
                <w:sz w:val="24"/>
                <w:szCs w:val="24"/>
              </w:rPr>
            </w:pPr>
            <w:r w:rsidRPr="005178F9">
              <w:rPr>
                <w:rFonts w:ascii="Times New Roman" w:hAnsi="Times New Roman"/>
                <w:b/>
                <w:bCs/>
                <w:sz w:val="24"/>
                <w:szCs w:val="24"/>
              </w:rPr>
              <w:t>Status:</w:t>
            </w:r>
            <w:r w:rsidRPr="005178F9">
              <w:rPr>
                <w:rFonts w:ascii="Times New Roman" w:hAnsi="Times New Roman"/>
                <w:b/>
                <w:bCs/>
                <w:sz w:val="24"/>
                <w:szCs w:val="24"/>
              </w:rPr>
              <w:tab/>
            </w:r>
            <w:r w:rsidRPr="005178F9">
              <w:rPr>
                <w:rFonts w:ascii="Times New Roman" w:hAnsi="Times New Roman"/>
                <w:sz w:val="24"/>
                <w:szCs w:val="24"/>
              </w:rPr>
              <w:t>For information and action, if any.</w:t>
            </w:r>
          </w:p>
        </w:tc>
      </w:tr>
      <w:tr w:rsidR="00FF26CE" w:rsidRPr="005178F9" w14:paraId="05D72885" w14:textId="77777777" w:rsidTr="00417D4F">
        <w:tc>
          <w:tcPr>
            <w:tcW w:w="9360" w:type="dxa"/>
            <w:gridSpan w:val="2"/>
          </w:tcPr>
          <w:p w14:paraId="387BF0F1" w14:textId="77777777" w:rsidR="00FF26CE" w:rsidRPr="005178F9" w:rsidRDefault="00FF26CE" w:rsidP="005178F9">
            <w:pPr>
              <w:spacing w:before="120" w:after="120"/>
              <w:jc w:val="both"/>
              <w:rPr>
                <w:rFonts w:ascii="Times New Roman" w:hAnsi="Times New Roman"/>
                <w:b/>
                <w:bCs/>
                <w:sz w:val="24"/>
                <w:szCs w:val="24"/>
              </w:rPr>
            </w:pPr>
            <w:r w:rsidRPr="005178F9">
              <w:rPr>
                <w:rFonts w:ascii="Times New Roman" w:hAnsi="Times New Roman"/>
                <w:b/>
                <w:bCs/>
                <w:sz w:val="24"/>
                <w:szCs w:val="24"/>
              </w:rPr>
              <w:t>Deadline:</w:t>
            </w:r>
            <w:r w:rsidRPr="005178F9">
              <w:rPr>
                <w:rFonts w:ascii="Times New Roman" w:hAnsi="Times New Roman"/>
                <w:b/>
                <w:bCs/>
                <w:sz w:val="24"/>
                <w:szCs w:val="24"/>
              </w:rPr>
              <w:tab/>
            </w:r>
            <w:r w:rsidRPr="005178F9">
              <w:rPr>
                <w:rFonts w:ascii="Times New Roman" w:hAnsi="Times New Roman"/>
                <w:sz w:val="24"/>
                <w:szCs w:val="24"/>
              </w:rPr>
              <w:t>30 April 2021</w:t>
            </w:r>
          </w:p>
        </w:tc>
      </w:tr>
      <w:tr w:rsidR="00FF26CE" w:rsidRPr="005178F9" w14:paraId="630BD398" w14:textId="77777777" w:rsidTr="00417D4F">
        <w:tc>
          <w:tcPr>
            <w:tcW w:w="4680" w:type="dxa"/>
          </w:tcPr>
          <w:p w14:paraId="2A3A1710" w14:textId="77777777" w:rsidR="00FF26CE" w:rsidRPr="005178F9" w:rsidRDefault="00FF26CE" w:rsidP="005178F9">
            <w:pPr>
              <w:spacing w:before="120" w:after="120"/>
              <w:jc w:val="both"/>
              <w:rPr>
                <w:rFonts w:ascii="Times New Roman" w:hAnsi="Times New Roman"/>
                <w:b/>
                <w:bCs/>
                <w:sz w:val="24"/>
                <w:szCs w:val="24"/>
              </w:rPr>
            </w:pPr>
            <w:r w:rsidRPr="005178F9">
              <w:rPr>
                <w:rFonts w:ascii="Times New Roman" w:hAnsi="Times New Roman"/>
                <w:b/>
                <w:bCs/>
                <w:sz w:val="24"/>
                <w:szCs w:val="24"/>
              </w:rPr>
              <w:t>Contacts:</w:t>
            </w:r>
            <w:r w:rsidRPr="005178F9">
              <w:rPr>
                <w:rFonts w:ascii="Times New Roman" w:hAnsi="Times New Roman"/>
                <w:b/>
                <w:bCs/>
                <w:sz w:val="24"/>
                <w:szCs w:val="24"/>
              </w:rPr>
              <w:tab/>
            </w:r>
            <w:r w:rsidRPr="005178F9">
              <w:rPr>
                <w:rFonts w:ascii="Times New Roman" w:hAnsi="Times New Roman"/>
                <w:sz w:val="24"/>
                <w:szCs w:val="24"/>
              </w:rPr>
              <w:t xml:space="preserve">Angelo </w:t>
            </w:r>
            <w:proofErr w:type="spellStart"/>
            <w:r w:rsidRPr="005178F9">
              <w:rPr>
                <w:rFonts w:ascii="Times New Roman" w:hAnsi="Times New Roman"/>
                <w:sz w:val="24"/>
                <w:szCs w:val="24"/>
              </w:rPr>
              <w:t>Canavitsas</w:t>
            </w:r>
            <w:proofErr w:type="spellEnd"/>
          </w:p>
        </w:tc>
        <w:tc>
          <w:tcPr>
            <w:tcW w:w="4680" w:type="dxa"/>
          </w:tcPr>
          <w:p w14:paraId="119382C1" w14:textId="77777777" w:rsidR="00FF26CE" w:rsidRPr="005178F9" w:rsidRDefault="00FF26CE" w:rsidP="005178F9">
            <w:pPr>
              <w:spacing w:before="120" w:after="120"/>
              <w:jc w:val="both"/>
              <w:rPr>
                <w:rFonts w:ascii="Times New Roman" w:hAnsi="Times New Roman"/>
                <w:b/>
                <w:bCs/>
                <w:sz w:val="24"/>
                <w:szCs w:val="24"/>
                <w:lang w:val="fr-FR"/>
              </w:rPr>
            </w:pPr>
            <w:proofErr w:type="gramStart"/>
            <w:r w:rsidRPr="005178F9">
              <w:rPr>
                <w:rFonts w:ascii="Times New Roman" w:hAnsi="Times New Roman"/>
                <w:b/>
                <w:bCs/>
                <w:sz w:val="24"/>
                <w:szCs w:val="24"/>
                <w:lang w:val="fr-FR"/>
              </w:rPr>
              <w:t>E-mail:</w:t>
            </w:r>
            <w:proofErr w:type="gramEnd"/>
            <w:r w:rsidRPr="005178F9">
              <w:rPr>
                <w:rFonts w:ascii="Times New Roman" w:hAnsi="Times New Roman"/>
                <w:sz w:val="24"/>
                <w:szCs w:val="24"/>
                <w:lang w:val="fr-FR"/>
              </w:rPr>
              <w:t xml:space="preserve"> </w:t>
            </w:r>
            <w:hyperlink r:id="rId15">
              <w:r w:rsidRPr="005178F9">
                <w:rPr>
                  <w:rStyle w:val="Hyperlink"/>
                  <w:rFonts w:ascii="Times New Roman" w:hAnsi="Times New Roman"/>
                  <w:sz w:val="24"/>
                  <w:szCs w:val="24"/>
                  <w:lang w:val="fr-FR"/>
                </w:rPr>
                <w:t>canavitsas@petrobras.com.br</w:t>
              </w:r>
            </w:hyperlink>
          </w:p>
        </w:tc>
      </w:tr>
      <w:tr w:rsidR="00FF26CE" w:rsidRPr="005178F9" w14:paraId="6B026353" w14:textId="77777777" w:rsidTr="00417D4F">
        <w:tc>
          <w:tcPr>
            <w:tcW w:w="4680" w:type="dxa"/>
          </w:tcPr>
          <w:p w14:paraId="57C151DF" w14:textId="77777777" w:rsidR="00FF26CE" w:rsidRPr="005178F9" w:rsidRDefault="00FF26CE" w:rsidP="005178F9">
            <w:pPr>
              <w:spacing w:before="120" w:after="120"/>
              <w:ind w:firstLine="1456"/>
              <w:jc w:val="both"/>
              <w:rPr>
                <w:rFonts w:ascii="Times New Roman" w:hAnsi="Times New Roman"/>
                <w:b/>
                <w:bCs/>
                <w:sz w:val="24"/>
                <w:szCs w:val="24"/>
              </w:rPr>
            </w:pPr>
            <w:r w:rsidRPr="005178F9">
              <w:rPr>
                <w:rFonts w:ascii="Times New Roman" w:hAnsi="Times New Roman"/>
                <w:sz w:val="24"/>
                <w:szCs w:val="24"/>
              </w:rPr>
              <w:t xml:space="preserve">Ben </w:t>
            </w:r>
            <w:proofErr w:type="spellStart"/>
            <w:r w:rsidRPr="005178F9">
              <w:rPr>
                <w:rFonts w:ascii="Times New Roman" w:hAnsi="Times New Roman"/>
                <w:sz w:val="24"/>
                <w:szCs w:val="24"/>
              </w:rPr>
              <w:t>Witvliet</w:t>
            </w:r>
            <w:proofErr w:type="spellEnd"/>
          </w:p>
        </w:tc>
        <w:tc>
          <w:tcPr>
            <w:tcW w:w="4680" w:type="dxa"/>
          </w:tcPr>
          <w:p w14:paraId="2E6EC82E" w14:textId="77777777" w:rsidR="00FF26CE" w:rsidRPr="005178F9" w:rsidRDefault="00FF26CE" w:rsidP="005178F9">
            <w:pPr>
              <w:spacing w:before="120" w:after="120"/>
              <w:jc w:val="both"/>
              <w:rPr>
                <w:rFonts w:ascii="Times New Roman" w:hAnsi="Times New Roman"/>
                <w:b/>
                <w:bCs/>
                <w:sz w:val="24"/>
                <w:szCs w:val="24"/>
                <w:lang w:val="fr-FR"/>
              </w:rPr>
            </w:pPr>
            <w:proofErr w:type="gramStart"/>
            <w:r w:rsidRPr="005178F9">
              <w:rPr>
                <w:rFonts w:ascii="Times New Roman" w:hAnsi="Times New Roman"/>
                <w:b/>
                <w:bCs/>
                <w:sz w:val="24"/>
                <w:szCs w:val="24"/>
                <w:lang w:val="fr-FR"/>
              </w:rPr>
              <w:t>E-mail:</w:t>
            </w:r>
            <w:proofErr w:type="gramEnd"/>
            <w:r w:rsidRPr="005178F9">
              <w:rPr>
                <w:rFonts w:ascii="Times New Roman" w:hAnsi="Times New Roman"/>
                <w:sz w:val="24"/>
                <w:szCs w:val="24"/>
                <w:lang w:val="fr-FR"/>
              </w:rPr>
              <w:t xml:space="preserve">  </w:t>
            </w:r>
            <w:hyperlink r:id="rId16" w:history="1">
              <w:r w:rsidRPr="005178F9">
                <w:rPr>
                  <w:rStyle w:val="Hyperlink"/>
                  <w:rFonts w:ascii="Times New Roman" w:hAnsi="Times New Roman"/>
                  <w:sz w:val="24"/>
                  <w:szCs w:val="24"/>
                  <w:lang w:val="fr-FR"/>
                </w:rPr>
                <w:t>ben.witvliet@agentschaptelecom.nl</w:t>
              </w:r>
            </w:hyperlink>
            <w:r w:rsidRPr="005178F9">
              <w:rPr>
                <w:rFonts w:ascii="Times New Roman" w:hAnsi="Times New Roman"/>
                <w:sz w:val="24"/>
                <w:szCs w:val="24"/>
                <w:lang w:val="fr-FR"/>
              </w:rPr>
              <w:t xml:space="preserve"> </w:t>
            </w:r>
          </w:p>
        </w:tc>
      </w:tr>
    </w:tbl>
    <w:p w14:paraId="55A96674" w14:textId="77777777" w:rsidR="00FF26CE" w:rsidRPr="00B439F2" w:rsidRDefault="00FF26CE" w:rsidP="005178F9">
      <w:pPr>
        <w:pStyle w:val="enumlev1"/>
        <w:spacing w:before="120"/>
        <w:ind w:left="0" w:firstLine="0"/>
        <w:jc w:val="both"/>
        <w:rPr>
          <w:lang w:val="fr-FR" w:eastAsia="zh-CN"/>
        </w:rPr>
      </w:pPr>
    </w:p>
    <w:p w14:paraId="5ECC615B" w14:textId="77777777" w:rsidR="00FF26CE" w:rsidRPr="00B439F2" w:rsidRDefault="00FF26CE" w:rsidP="00FF26CE">
      <w:pPr>
        <w:pStyle w:val="enumlev1"/>
        <w:ind w:left="0" w:firstLine="0"/>
        <w:jc w:val="both"/>
        <w:rPr>
          <w:lang w:val="fr-FR" w:eastAsia="zh-CN"/>
        </w:rPr>
      </w:pPr>
    </w:p>
    <w:p w14:paraId="61BFCB81" w14:textId="77777777" w:rsidR="00FF26CE" w:rsidRPr="00B439F2" w:rsidRDefault="00FF26CE" w:rsidP="00FF26CE">
      <w:pPr>
        <w:jc w:val="center"/>
        <w:rPr>
          <w:lang w:val="fr-FR" w:eastAsia="zh-CN"/>
        </w:rPr>
      </w:pPr>
    </w:p>
    <w:p w14:paraId="15EEFFD6" w14:textId="77777777" w:rsidR="00FF26CE" w:rsidRPr="00B439F2" w:rsidRDefault="00FF26CE" w:rsidP="00FF26CE">
      <w:pPr>
        <w:pStyle w:val="enumlev1"/>
        <w:spacing w:before="120"/>
        <w:ind w:left="0" w:firstLine="0"/>
        <w:jc w:val="both"/>
        <w:rPr>
          <w:lang w:val="fr-FR"/>
        </w:rPr>
      </w:pPr>
    </w:p>
    <w:p w14:paraId="0CD984C5" w14:textId="77777777" w:rsidR="00FF26CE" w:rsidRPr="00B439F2" w:rsidRDefault="00FF26CE" w:rsidP="00FF26CE">
      <w:pPr>
        <w:rPr>
          <w:lang w:val="fr-FR" w:eastAsia="zh-CN"/>
        </w:rPr>
      </w:pPr>
      <w:r w:rsidRPr="00B439F2">
        <w:rPr>
          <w:lang w:val="fr-FR" w:eastAsia="zh-CN"/>
        </w:rPr>
        <w:br w:type="page"/>
      </w:r>
    </w:p>
    <w:p w14:paraId="0FC72CBF" w14:textId="77777777" w:rsidR="00FF26CE" w:rsidRPr="00B439F2" w:rsidRDefault="00FF26CE" w:rsidP="00FF26CE">
      <w:pPr>
        <w:rPr>
          <w:lang w:val="fr-FR" w:eastAsia="zh-CN"/>
        </w:rPr>
      </w:pPr>
    </w:p>
    <w:p w14:paraId="670C512F" w14:textId="77777777" w:rsidR="00FF26CE" w:rsidRPr="005178F9" w:rsidRDefault="00FF26CE" w:rsidP="005178F9">
      <w:pPr>
        <w:pStyle w:val="ListParagraph"/>
        <w:spacing w:before="120"/>
        <w:ind w:left="360"/>
        <w:jc w:val="center"/>
        <w:rPr>
          <w:b/>
          <w:bCs/>
          <w:szCs w:val="22"/>
          <w:lang w:eastAsia="zh-CN"/>
        </w:rPr>
      </w:pPr>
      <w:r w:rsidRPr="005178F9">
        <w:rPr>
          <w:b/>
          <w:bCs/>
          <w:szCs w:val="22"/>
          <w:lang w:eastAsia="zh-CN"/>
        </w:rPr>
        <w:t>ANNEX</w:t>
      </w:r>
    </w:p>
    <w:p w14:paraId="5E9361F2" w14:textId="77777777" w:rsidR="00FF26CE" w:rsidRPr="005178F9" w:rsidRDefault="00FF26CE" w:rsidP="005178F9">
      <w:pPr>
        <w:pStyle w:val="ListParagraph"/>
        <w:spacing w:before="120"/>
        <w:ind w:left="360"/>
        <w:jc w:val="center"/>
        <w:rPr>
          <w:b/>
          <w:bCs/>
          <w:szCs w:val="22"/>
          <w:lang w:eastAsia="zh-CN"/>
        </w:rPr>
      </w:pPr>
      <w:r w:rsidRPr="005178F9">
        <w:rPr>
          <w:b/>
          <w:bCs/>
          <w:szCs w:val="22"/>
          <w:lang w:eastAsia="zh-CN"/>
        </w:rPr>
        <w:t>Propagation Considerations</w:t>
      </w:r>
    </w:p>
    <w:p w14:paraId="57217401" w14:textId="77777777" w:rsidR="00FF26CE" w:rsidRPr="005178F9" w:rsidRDefault="00FF26CE" w:rsidP="005178F9">
      <w:pPr>
        <w:pStyle w:val="enumlev1"/>
        <w:numPr>
          <w:ilvl w:val="0"/>
          <w:numId w:val="25"/>
        </w:numPr>
        <w:tabs>
          <w:tab w:val="clear" w:pos="1134"/>
          <w:tab w:val="clear" w:pos="1871"/>
          <w:tab w:val="clear" w:pos="2608"/>
          <w:tab w:val="clear" w:pos="3345"/>
        </w:tabs>
        <w:spacing w:before="120"/>
        <w:ind w:left="357" w:hanging="357"/>
        <w:jc w:val="both"/>
        <w:rPr>
          <w:sz w:val="22"/>
          <w:szCs w:val="22"/>
          <w:lang w:eastAsia="zh-CN"/>
        </w:rPr>
      </w:pPr>
      <w:r w:rsidRPr="005178F9">
        <w:rPr>
          <w:sz w:val="22"/>
          <w:szCs w:val="22"/>
          <w:lang w:eastAsia="zh-CN"/>
        </w:rPr>
        <w:t>Ionospheric radio wave propagation</w:t>
      </w:r>
    </w:p>
    <w:p w14:paraId="396C2434" w14:textId="77777777" w:rsidR="00FF26CE" w:rsidRPr="005178F9" w:rsidRDefault="00FF26CE" w:rsidP="005178F9">
      <w:pPr>
        <w:spacing w:before="120"/>
        <w:rPr>
          <w:lang w:eastAsia="zh-CN"/>
        </w:rPr>
      </w:pPr>
      <w:r w:rsidRPr="005178F9">
        <w:rPr>
          <w:lang w:eastAsia="zh-CN"/>
        </w:rPr>
        <w:t xml:space="preserve">In several scenarios, ionospheric radio wave propagation will be the dominant propagation mechanism in the frequency range </w:t>
      </w:r>
      <w:r w:rsidRPr="005178F9">
        <w:rPr>
          <w:color w:val="000000" w:themeColor="text1"/>
          <w:lang w:eastAsia="zh-CN"/>
        </w:rPr>
        <w:t>2 850 to 22 000 kHz</w:t>
      </w:r>
      <w:r w:rsidRPr="005178F9">
        <w:rPr>
          <w:lang w:eastAsia="zh-CN"/>
        </w:rPr>
        <w:t>. Refracted waves by the ionosphere may be received at distances up to 3 500 km. Multiple reflections between ionosphere and the Earth (‘multi-hop propagation’) may even cover the entire globe. Additional reflections and greater path length increase the path loss, therefore single-hop paths have a lower path loss.</w:t>
      </w:r>
    </w:p>
    <w:p w14:paraId="04B5B091" w14:textId="77777777" w:rsidR="00FF26CE" w:rsidRPr="005178F9" w:rsidRDefault="00FF26CE" w:rsidP="005178F9">
      <w:pPr>
        <w:spacing w:before="120"/>
        <w:rPr>
          <w:lang w:eastAsia="zh-CN"/>
        </w:rPr>
      </w:pPr>
      <w:r w:rsidRPr="005178F9">
        <w:rPr>
          <w:lang w:eastAsia="zh-CN"/>
        </w:rPr>
        <w:t xml:space="preserve">Ionospheric refraction is frequency dependent. Vertically emitted radio waves are reflected only when their frequency is less than the critical frequency (peak plasma frequency) of the E- or F-region. But radio waves emitted at lower grazing angles are still reflected at frequencies that are 4-5 times higher. As a result, the radio wave propagation at the lower end of the frequency range of interest differs significantly from propagation in the middle or at the higher end of the frequency range. </w:t>
      </w:r>
    </w:p>
    <w:p w14:paraId="49435DB4" w14:textId="77777777" w:rsidR="00FF26CE" w:rsidRPr="005178F9" w:rsidRDefault="00FF26CE" w:rsidP="005178F9">
      <w:pPr>
        <w:spacing w:before="120"/>
        <w:rPr>
          <w:lang w:eastAsia="zh-CN"/>
        </w:rPr>
      </w:pPr>
      <w:r w:rsidRPr="005178F9">
        <w:rPr>
          <w:lang w:eastAsia="zh-CN"/>
        </w:rPr>
        <w:t xml:space="preserve">Ionospheric radio wave propagation varies significantly over the day. One of the main drivers of the electron density production in the ionosphere is the radiation of the sun. Consequently, the electron density in the ionosphere, responsible for the refraction of radio waves, shows a strong diurnal variation and also changes with the seasons. Due to the 11-year cycle of the sun, the electron density worldwide follows a more or less sinusoidal variation with the same period. </w:t>
      </w:r>
    </w:p>
    <w:p w14:paraId="386E909E" w14:textId="77777777" w:rsidR="00FF26CE" w:rsidRPr="005178F9" w:rsidRDefault="00FF26CE" w:rsidP="005178F9">
      <w:pPr>
        <w:spacing w:before="120"/>
        <w:rPr>
          <w:lang w:eastAsia="zh-CN"/>
        </w:rPr>
      </w:pPr>
      <w:r w:rsidRPr="005178F9">
        <w:rPr>
          <w:lang w:eastAsia="zh-CN"/>
        </w:rPr>
        <w:t xml:space="preserve">Furthermore, the electron density distribution is not equal across the globe. The high-latitude ionosphere differs significantly from the mid-latitude and low-latitude regions. </w:t>
      </w:r>
    </w:p>
    <w:bookmarkEnd w:id="14"/>
    <w:p w14:paraId="04AEC928" w14:textId="77777777" w:rsidR="00FF26CE" w:rsidRPr="005178F9" w:rsidRDefault="00FF26CE" w:rsidP="005178F9">
      <w:pPr>
        <w:pStyle w:val="enumlev1"/>
        <w:numPr>
          <w:ilvl w:val="0"/>
          <w:numId w:val="25"/>
        </w:numPr>
        <w:tabs>
          <w:tab w:val="clear" w:pos="1134"/>
          <w:tab w:val="clear" w:pos="1871"/>
          <w:tab w:val="clear" w:pos="2608"/>
          <w:tab w:val="clear" w:pos="3345"/>
        </w:tabs>
        <w:spacing w:before="120"/>
        <w:jc w:val="both"/>
        <w:rPr>
          <w:sz w:val="22"/>
          <w:szCs w:val="22"/>
          <w:lang w:eastAsia="zh-CN"/>
        </w:rPr>
      </w:pPr>
      <w:r w:rsidRPr="005178F9">
        <w:rPr>
          <w:sz w:val="22"/>
          <w:szCs w:val="22"/>
          <w:lang w:eastAsia="zh-CN"/>
        </w:rPr>
        <w:t>Different scenarios and associated HF propagation models</w:t>
      </w:r>
    </w:p>
    <w:p w14:paraId="4067A925" w14:textId="77777777" w:rsidR="00FF26CE" w:rsidRPr="005178F9" w:rsidRDefault="00FF26CE" w:rsidP="005178F9">
      <w:pPr>
        <w:pStyle w:val="enumlev1"/>
        <w:tabs>
          <w:tab w:val="clear" w:pos="1134"/>
          <w:tab w:val="clear" w:pos="1871"/>
          <w:tab w:val="clear" w:pos="2608"/>
          <w:tab w:val="clear" w:pos="3345"/>
        </w:tabs>
        <w:spacing w:before="120"/>
        <w:ind w:left="0" w:firstLine="0"/>
        <w:jc w:val="both"/>
        <w:rPr>
          <w:sz w:val="22"/>
          <w:szCs w:val="22"/>
          <w:lang w:eastAsia="zh-CN"/>
        </w:rPr>
      </w:pPr>
      <w:r w:rsidRPr="005178F9">
        <w:rPr>
          <w:sz w:val="22"/>
          <w:szCs w:val="22"/>
          <w:lang w:eastAsia="zh-CN"/>
        </w:rPr>
        <w:t>The propagation models cannot be selected unless the interference scenarios are known. However, an answer to WP 5B’s question can be formulated by sketching different variations of the relative location of AM(R)S and victim, and the associated propagation mechanisms. These scenarios are not exhaustive. If WP 5B defines other scenarios that are not described here, WP 3L will be glad to provide additional advice on them.</w:t>
      </w:r>
    </w:p>
    <w:p w14:paraId="63D0D152" w14:textId="77777777" w:rsidR="00FF26CE" w:rsidRPr="005178F9" w:rsidRDefault="00FF26CE" w:rsidP="005178F9">
      <w:pPr>
        <w:pStyle w:val="enumlev1"/>
        <w:tabs>
          <w:tab w:val="clear" w:pos="1134"/>
          <w:tab w:val="clear" w:pos="1871"/>
          <w:tab w:val="clear" w:pos="2608"/>
          <w:tab w:val="clear" w:pos="3345"/>
        </w:tabs>
        <w:spacing w:before="120"/>
        <w:ind w:left="0" w:firstLine="0"/>
        <w:jc w:val="both"/>
        <w:rPr>
          <w:sz w:val="22"/>
          <w:szCs w:val="22"/>
          <w:lang w:eastAsia="zh-CN"/>
        </w:rPr>
      </w:pPr>
      <w:r w:rsidRPr="005178F9">
        <w:rPr>
          <w:sz w:val="22"/>
          <w:szCs w:val="22"/>
          <w:lang w:eastAsia="zh-CN"/>
        </w:rPr>
        <w:t xml:space="preserve">Figures 1, 2, 3 and 4 depict several different scenarios, with increasing separation distance. The associated propagation models will be discussed. </w:t>
      </w:r>
    </w:p>
    <w:p w14:paraId="5CFB31AC" w14:textId="77777777" w:rsidR="00FF26CE" w:rsidRPr="005178F9" w:rsidRDefault="00FF26CE" w:rsidP="005178F9">
      <w:pPr>
        <w:pStyle w:val="enumlev1"/>
        <w:tabs>
          <w:tab w:val="clear" w:pos="1134"/>
          <w:tab w:val="clear" w:pos="1871"/>
          <w:tab w:val="clear" w:pos="2608"/>
          <w:tab w:val="clear" w:pos="3345"/>
        </w:tabs>
        <w:spacing w:before="120"/>
        <w:ind w:left="0" w:firstLine="0"/>
        <w:jc w:val="both"/>
        <w:rPr>
          <w:sz w:val="22"/>
          <w:szCs w:val="22"/>
          <w:lang w:eastAsia="zh-CN"/>
        </w:rPr>
      </w:pPr>
    </w:p>
    <w:p w14:paraId="2BAD6921" w14:textId="77777777" w:rsidR="00FF26CE" w:rsidRPr="005178F9" w:rsidRDefault="00FF26CE" w:rsidP="005178F9">
      <w:pPr>
        <w:pStyle w:val="enumlev1"/>
        <w:tabs>
          <w:tab w:val="clear" w:pos="1134"/>
          <w:tab w:val="clear" w:pos="1871"/>
          <w:tab w:val="clear" w:pos="2608"/>
          <w:tab w:val="clear" w:pos="3345"/>
        </w:tabs>
        <w:spacing w:before="120"/>
        <w:ind w:left="0" w:firstLine="0"/>
        <w:jc w:val="center"/>
        <w:rPr>
          <w:i/>
          <w:iCs/>
          <w:sz w:val="22"/>
          <w:szCs w:val="22"/>
          <w:lang w:eastAsia="zh-CN"/>
        </w:rPr>
      </w:pPr>
      <w:r w:rsidRPr="005178F9">
        <w:rPr>
          <w:i/>
          <w:iCs/>
          <w:sz w:val="22"/>
          <w:szCs w:val="22"/>
          <w:lang w:eastAsia="zh-CN"/>
        </w:rPr>
        <w:t>Figure 1</w:t>
      </w:r>
    </w:p>
    <w:p w14:paraId="36A6E211" w14:textId="77777777" w:rsidR="00FF26CE" w:rsidRPr="005178F9" w:rsidRDefault="00FF26CE" w:rsidP="005178F9">
      <w:pPr>
        <w:pStyle w:val="enumlev1"/>
        <w:tabs>
          <w:tab w:val="clear" w:pos="1134"/>
          <w:tab w:val="clear" w:pos="1871"/>
          <w:tab w:val="clear" w:pos="2608"/>
          <w:tab w:val="clear" w:pos="3345"/>
        </w:tabs>
        <w:spacing w:before="120"/>
        <w:ind w:left="0" w:firstLine="0"/>
        <w:jc w:val="center"/>
        <w:rPr>
          <w:i/>
          <w:iCs/>
          <w:sz w:val="22"/>
          <w:szCs w:val="22"/>
          <w:lang w:eastAsia="zh-CN"/>
        </w:rPr>
      </w:pPr>
      <w:r w:rsidRPr="005178F9">
        <w:rPr>
          <w:i/>
          <w:iCs/>
          <w:sz w:val="22"/>
          <w:szCs w:val="22"/>
          <w:lang w:eastAsia="zh-CN"/>
        </w:rPr>
        <w:t>Close-range scenarios, all frequencies. LOS = line-of-sight; GW = ground wave.</w:t>
      </w:r>
    </w:p>
    <w:p w14:paraId="3B3B802A" w14:textId="77777777" w:rsidR="00FF26CE" w:rsidRPr="005178F9" w:rsidRDefault="00FF26CE" w:rsidP="005178F9">
      <w:pPr>
        <w:pStyle w:val="enumlev1"/>
        <w:tabs>
          <w:tab w:val="clear" w:pos="1134"/>
          <w:tab w:val="clear" w:pos="1871"/>
          <w:tab w:val="clear" w:pos="2608"/>
          <w:tab w:val="clear" w:pos="3345"/>
        </w:tabs>
        <w:spacing w:before="120"/>
        <w:ind w:left="0" w:firstLine="0"/>
        <w:jc w:val="center"/>
        <w:rPr>
          <w:i/>
          <w:iCs/>
          <w:sz w:val="22"/>
          <w:szCs w:val="22"/>
          <w:lang w:eastAsia="zh-CN"/>
        </w:rPr>
      </w:pPr>
    </w:p>
    <w:p w14:paraId="74B0AADD" w14:textId="77777777" w:rsidR="00FF26CE" w:rsidRPr="005178F9" w:rsidRDefault="00FF26CE" w:rsidP="005178F9">
      <w:pPr>
        <w:pStyle w:val="enumlev1"/>
        <w:tabs>
          <w:tab w:val="clear" w:pos="1134"/>
          <w:tab w:val="clear" w:pos="1871"/>
          <w:tab w:val="clear" w:pos="2608"/>
          <w:tab w:val="clear" w:pos="3345"/>
        </w:tabs>
        <w:spacing w:before="120"/>
        <w:ind w:left="0" w:firstLine="0"/>
        <w:jc w:val="center"/>
        <w:rPr>
          <w:i/>
          <w:iCs/>
          <w:sz w:val="22"/>
          <w:szCs w:val="22"/>
          <w:lang w:eastAsia="zh-CN"/>
        </w:rPr>
      </w:pPr>
      <w:r w:rsidRPr="005178F9">
        <w:rPr>
          <w:noProof/>
          <w:sz w:val="22"/>
          <w:szCs w:val="22"/>
        </w:rPr>
        <w:drawing>
          <wp:inline distT="0" distB="0" distL="0" distR="0" wp14:anchorId="3456584D" wp14:editId="6F8642C8">
            <wp:extent cx="3518901" cy="1141095"/>
            <wp:effectExtent l="0" t="0" r="5715" b="1905"/>
            <wp:docPr id="452" name="Afbeelding 45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 name="Afbeelding 452" descr="Text&#10;&#10;Description automatically generated"/>
                    <pic:cNvPicPr/>
                  </pic:nvPicPr>
                  <pic:blipFill rotWithShape="1">
                    <a:blip r:embed="rId17"/>
                    <a:srcRect l="13588"/>
                    <a:stretch/>
                  </pic:blipFill>
                  <pic:spPr bwMode="auto">
                    <a:xfrm>
                      <a:off x="0" y="0"/>
                      <a:ext cx="3542048" cy="1148601"/>
                    </a:xfrm>
                    <a:prstGeom prst="rect">
                      <a:avLst/>
                    </a:prstGeom>
                    <a:ln>
                      <a:noFill/>
                    </a:ln>
                    <a:extLst>
                      <a:ext uri="{53640926-AAD7-44D8-BBD7-CCE9431645EC}">
                        <a14:shadowObscured xmlns:a14="http://schemas.microsoft.com/office/drawing/2010/main"/>
                      </a:ext>
                    </a:extLst>
                  </pic:spPr>
                </pic:pic>
              </a:graphicData>
            </a:graphic>
          </wp:inline>
        </w:drawing>
      </w:r>
    </w:p>
    <w:p w14:paraId="3897D7CC" w14:textId="77777777" w:rsidR="00FF26CE" w:rsidRPr="005178F9" w:rsidRDefault="00FF26CE" w:rsidP="005178F9">
      <w:pPr>
        <w:pStyle w:val="enumlev1"/>
        <w:tabs>
          <w:tab w:val="clear" w:pos="1134"/>
          <w:tab w:val="clear" w:pos="1871"/>
          <w:tab w:val="clear" w:pos="2608"/>
          <w:tab w:val="clear" w:pos="3345"/>
        </w:tabs>
        <w:spacing w:before="120"/>
        <w:ind w:left="0" w:firstLine="0"/>
        <w:jc w:val="center"/>
        <w:rPr>
          <w:iCs/>
          <w:sz w:val="22"/>
          <w:szCs w:val="22"/>
          <w:lang w:eastAsia="zh-CN"/>
        </w:rPr>
      </w:pPr>
    </w:p>
    <w:p w14:paraId="343E7C29" w14:textId="77777777" w:rsidR="00FF26CE" w:rsidRPr="005178F9" w:rsidRDefault="00FF26CE" w:rsidP="005178F9">
      <w:pPr>
        <w:spacing w:before="120"/>
        <w:rPr>
          <w:i/>
          <w:iCs/>
          <w:lang w:eastAsia="zh-CN"/>
        </w:rPr>
      </w:pPr>
      <w:r w:rsidRPr="005178F9">
        <w:rPr>
          <w:i/>
          <w:iCs/>
          <w:lang w:eastAsia="zh-CN"/>
        </w:rPr>
        <w:br w:type="page"/>
      </w:r>
    </w:p>
    <w:p w14:paraId="5C2DFC92" w14:textId="77777777" w:rsidR="00FF26CE" w:rsidRPr="005178F9" w:rsidRDefault="00FF26CE" w:rsidP="005178F9">
      <w:pPr>
        <w:pStyle w:val="enumlev1"/>
        <w:tabs>
          <w:tab w:val="clear" w:pos="1134"/>
          <w:tab w:val="clear" w:pos="1871"/>
          <w:tab w:val="clear" w:pos="2608"/>
          <w:tab w:val="clear" w:pos="3345"/>
        </w:tabs>
        <w:spacing w:before="120" w:after="120"/>
        <w:ind w:left="0" w:firstLine="0"/>
        <w:contextualSpacing/>
        <w:jc w:val="center"/>
        <w:rPr>
          <w:i/>
          <w:iCs/>
          <w:sz w:val="22"/>
          <w:szCs w:val="22"/>
          <w:lang w:eastAsia="zh-CN"/>
        </w:rPr>
      </w:pPr>
      <w:r w:rsidRPr="005178F9">
        <w:rPr>
          <w:i/>
          <w:iCs/>
          <w:sz w:val="22"/>
          <w:szCs w:val="22"/>
          <w:lang w:eastAsia="zh-CN"/>
        </w:rPr>
        <w:lastRenderedPageBreak/>
        <w:t>Figure 2</w:t>
      </w:r>
    </w:p>
    <w:p w14:paraId="6B3F5869" w14:textId="77777777" w:rsidR="00FF26CE" w:rsidRPr="005178F9" w:rsidRDefault="00FF26CE" w:rsidP="005178F9">
      <w:pPr>
        <w:pStyle w:val="enumlev1"/>
        <w:tabs>
          <w:tab w:val="clear" w:pos="1134"/>
          <w:tab w:val="clear" w:pos="1871"/>
          <w:tab w:val="clear" w:pos="2608"/>
          <w:tab w:val="clear" w:pos="3345"/>
        </w:tabs>
        <w:spacing w:before="120" w:after="120"/>
        <w:ind w:left="0" w:firstLine="0"/>
        <w:contextualSpacing/>
        <w:jc w:val="center"/>
        <w:rPr>
          <w:i/>
          <w:iCs/>
          <w:sz w:val="22"/>
          <w:szCs w:val="22"/>
          <w:lang w:eastAsia="zh-CN"/>
        </w:rPr>
      </w:pPr>
      <w:r w:rsidRPr="005178F9">
        <w:rPr>
          <w:i/>
          <w:iCs/>
          <w:sz w:val="22"/>
          <w:szCs w:val="22"/>
          <w:lang w:eastAsia="zh-CN"/>
        </w:rPr>
        <w:t xml:space="preserve">Short-range scenario up to 400 km. NVIS = Near Vertical Incidence Skywave. </w:t>
      </w:r>
    </w:p>
    <w:p w14:paraId="782F9925" w14:textId="77777777" w:rsidR="00FF26CE" w:rsidRPr="005178F9" w:rsidRDefault="00FF26CE" w:rsidP="005178F9">
      <w:pPr>
        <w:pStyle w:val="enumlev1"/>
        <w:tabs>
          <w:tab w:val="clear" w:pos="1134"/>
          <w:tab w:val="clear" w:pos="1871"/>
          <w:tab w:val="clear" w:pos="2608"/>
          <w:tab w:val="clear" w:pos="3345"/>
        </w:tabs>
        <w:spacing w:before="120" w:after="120"/>
        <w:ind w:left="0" w:firstLine="0"/>
        <w:contextualSpacing/>
        <w:jc w:val="center"/>
        <w:rPr>
          <w:i/>
          <w:iCs/>
          <w:sz w:val="22"/>
          <w:szCs w:val="22"/>
          <w:lang w:eastAsia="zh-CN"/>
        </w:rPr>
      </w:pPr>
      <w:r w:rsidRPr="005178F9">
        <w:rPr>
          <w:i/>
          <w:iCs/>
          <w:sz w:val="22"/>
          <w:szCs w:val="22"/>
          <w:lang w:eastAsia="zh-CN"/>
        </w:rPr>
        <w:t>Frequency 2 is much higher than frequency 1. Heights are not to scale.</w:t>
      </w:r>
    </w:p>
    <w:p w14:paraId="55131AF3" w14:textId="77777777" w:rsidR="00FF26CE" w:rsidRPr="005178F9" w:rsidRDefault="00FF26CE" w:rsidP="005178F9">
      <w:pPr>
        <w:pStyle w:val="enumlev1"/>
        <w:tabs>
          <w:tab w:val="clear" w:pos="1134"/>
          <w:tab w:val="clear" w:pos="1871"/>
          <w:tab w:val="clear" w:pos="2608"/>
          <w:tab w:val="clear" w:pos="3345"/>
        </w:tabs>
        <w:spacing w:before="120" w:after="120"/>
        <w:ind w:left="0" w:firstLine="0"/>
        <w:contextualSpacing/>
        <w:jc w:val="center"/>
        <w:rPr>
          <w:i/>
          <w:iCs/>
          <w:sz w:val="22"/>
          <w:szCs w:val="22"/>
          <w:lang w:eastAsia="zh-CN"/>
        </w:rPr>
      </w:pPr>
    </w:p>
    <w:p w14:paraId="58FDB584" w14:textId="77777777" w:rsidR="00FF26CE" w:rsidRPr="005178F9" w:rsidRDefault="00FF26CE" w:rsidP="005178F9">
      <w:pPr>
        <w:pStyle w:val="enumlev1"/>
        <w:tabs>
          <w:tab w:val="clear" w:pos="1134"/>
          <w:tab w:val="clear" w:pos="1871"/>
          <w:tab w:val="clear" w:pos="2608"/>
          <w:tab w:val="clear" w:pos="3345"/>
        </w:tabs>
        <w:spacing w:before="120"/>
        <w:ind w:left="0" w:firstLine="0"/>
        <w:jc w:val="center"/>
        <w:rPr>
          <w:i/>
          <w:iCs/>
          <w:sz w:val="22"/>
          <w:szCs w:val="22"/>
          <w:lang w:eastAsia="zh-CN"/>
        </w:rPr>
      </w:pPr>
      <w:r w:rsidRPr="005178F9">
        <w:rPr>
          <w:noProof/>
          <w:sz w:val="22"/>
          <w:szCs w:val="22"/>
        </w:rPr>
        <w:drawing>
          <wp:inline distT="0" distB="0" distL="0" distR="0" wp14:anchorId="0CBCF76F" wp14:editId="486D0BB4">
            <wp:extent cx="3600000" cy="2160000"/>
            <wp:effectExtent l="0" t="0" r="635" b="0"/>
            <wp:docPr id="454" name="Afbeelding 454" descr="A picture containing ch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4" name="Afbeelding 454" descr="A picture containing chart&#10;&#10;Description automatically generated"/>
                    <pic:cNvPicPr/>
                  </pic:nvPicPr>
                  <pic:blipFill>
                    <a:blip r:embed="rId18"/>
                    <a:stretch>
                      <a:fillRect/>
                    </a:stretch>
                  </pic:blipFill>
                  <pic:spPr>
                    <a:xfrm>
                      <a:off x="0" y="0"/>
                      <a:ext cx="3600000" cy="2160000"/>
                    </a:xfrm>
                    <a:prstGeom prst="rect">
                      <a:avLst/>
                    </a:prstGeom>
                  </pic:spPr>
                </pic:pic>
              </a:graphicData>
            </a:graphic>
          </wp:inline>
        </w:drawing>
      </w:r>
    </w:p>
    <w:p w14:paraId="18296F9C" w14:textId="77777777" w:rsidR="00FF26CE" w:rsidRPr="005178F9" w:rsidRDefault="00FF26CE" w:rsidP="005178F9">
      <w:pPr>
        <w:spacing w:before="120"/>
        <w:rPr>
          <w:i/>
          <w:iCs/>
          <w:lang w:eastAsia="zh-CN"/>
        </w:rPr>
      </w:pPr>
    </w:p>
    <w:p w14:paraId="08AB614F" w14:textId="77777777" w:rsidR="00FF26CE" w:rsidRPr="005178F9" w:rsidRDefault="00FF26CE" w:rsidP="005178F9">
      <w:pPr>
        <w:spacing w:before="120"/>
        <w:rPr>
          <w:lang w:eastAsia="zh-CN"/>
        </w:rPr>
      </w:pPr>
    </w:p>
    <w:p w14:paraId="31C0B891" w14:textId="77777777" w:rsidR="00FF26CE" w:rsidRPr="005178F9" w:rsidRDefault="00FF26CE" w:rsidP="005178F9">
      <w:pPr>
        <w:pStyle w:val="enumlev1"/>
        <w:tabs>
          <w:tab w:val="clear" w:pos="1134"/>
          <w:tab w:val="clear" w:pos="1871"/>
          <w:tab w:val="clear" w:pos="2608"/>
          <w:tab w:val="clear" w:pos="3345"/>
        </w:tabs>
        <w:spacing w:before="120"/>
        <w:ind w:left="0" w:firstLine="0"/>
        <w:jc w:val="center"/>
        <w:rPr>
          <w:i/>
          <w:iCs/>
          <w:sz w:val="22"/>
          <w:szCs w:val="22"/>
          <w:lang w:eastAsia="zh-CN"/>
        </w:rPr>
      </w:pPr>
      <w:r w:rsidRPr="005178F9">
        <w:rPr>
          <w:i/>
          <w:iCs/>
          <w:sz w:val="22"/>
          <w:szCs w:val="22"/>
          <w:lang w:eastAsia="zh-CN"/>
        </w:rPr>
        <w:t>Figure 3</w:t>
      </w:r>
      <w:bookmarkStart w:id="15" w:name="_Hlk48064041"/>
    </w:p>
    <w:p w14:paraId="4975543D" w14:textId="77777777" w:rsidR="00FF26CE" w:rsidRPr="005178F9" w:rsidRDefault="00FF26CE" w:rsidP="005178F9">
      <w:pPr>
        <w:pStyle w:val="enumlev1"/>
        <w:tabs>
          <w:tab w:val="clear" w:pos="1134"/>
          <w:tab w:val="clear" w:pos="1871"/>
          <w:tab w:val="clear" w:pos="2608"/>
          <w:tab w:val="clear" w:pos="3345"/>
        </w:tabs>
        <w:spacing w:before="120"/>
        <w:ind w:left="0" w:firstLine="0"/>
        <w:jc w:val="center"/>
        <w:rPr>
          <w:i/>
          <w:iCs/>
          <w:sz w:val="22"/>
          <w:szCs w:val="22"/>
          <w:lang w:eastAsia="zh-CN"/>
        </w:rPr>
      </w:pPr>
      <w:r w:rsidRPr="005178F9">
        <w:rPr>
          <w:i/>
          <w:iCs/>
          <w:sz w:val="22"/>
          <w:szCs w:val="22"/>
          <w:lang w:eastAsia="zh-CN"/>
        </w:rPr>
        <w:t>Single-hop mid-range scenarios</w:t>
      </w:r>
      <w:bookmarkEnd w:id="15"/>
      <w:r w:rsidRPr="005178F9">
        <w:rPr>
          <w:i/>
          <w:iCs/>
          <w:sz w:val="22"/>
          <w:szCs w:val="22"/>
          <w:lang w:eastAsia="zh-CN"/>
        </w:rPr>
        <w:t xml:space="preserve">, up to 3,500 km (F-region) or 2,000 km (E-region). </w:t>
      </w:r>
    </w:p>
    <w:p w14:paraId="352D7F87" w14:textId="77777777" w:rsidR="00FF26CE" w:rsidRPr="005178F9" w:rsidRDefault="00FF26CE" w:rsidP="005178F9">
      <w:pPr>
        <w:pStyle w:val="enumlev1"/>
        <w:tabs>
          <w:tab w:val="clear" w:pos="1134"/>
          <w:tab w:val="clear" w:pos="1871"/>
          <w:tab w:val="clear" w:pos="2608"/>
          <w:tab w:val="clear" w:pos="3345"/>
        </w:tabs>
        <w:spacing w:before="120"/>
        <w:ind w:left="0" w:firstLine="0"/>
        <w:jc w:val="center"/>
        <w:rPr>
          <w:i/>
          <w:iCs/>
          <w:sz w:val="22"/>
          <w:szCs w:val="22"/>
          <w:lang w:eastAsia="zh-CN"/>
        </w:rPr>
      </w:pPr>
      <w:r w:rsidRPr="005178F9">
        <w:rPr>
          <w:i/>
          <w:iCs/>
          <w:sz w:val="22"/>
          <w:szCs w:val="22"/>
          <w:lang w:eastAsia="zh-CN"/>
        </w:rPr>
        <w:t>1F = single hop propagation via the F-region. Es = Sporadic E. Heights are not to scale.</w:t>
      </w:r>
    </w:p>
    <w:p w14:paraId="2D822FF1" w14:textId="77777777" w:rsidR="00FF26CE" w:rsidRPr="005178F9" w:rsidRDefault="00FF26CE" w:rsidP="005178F9">
      <w:pPr>
        <w:pStyle w:val="enumlev1"/>
        <w:tabs>
          <w:tab w:val="clear" w:pos="1134"/>
          <w:tab w:val="clear" w:pos="1871"/>
          <w:tab w:val="clear" w:pos="2608"/>
          <w:tab w:val="clear" w:pos="3345"/>
        </w:tabs>
        <w:spacing w:before="120"/>
        <w:ind w:left="0" w:firstLine="0"/>
        <w:jc w:val="center"/>
        <w:rPr>
          <w:i/>
          <w:iCs/>
          <w:sz w:val="22"/>
          <w:szCs w:val="22"/>
          <w:lang w:eastAsia="zh-CN"/>
        </w:rPr>
      </w:pPr>
      <w:r w:rsidRPr="005178F9">
        <w:rPr>
          <w:noProof/>
          <w:sz w:val="22"/>
          <w:szCs w:val="22"/>
        </w:rPr>
        <w:drawing>
          <wp:inline distT="0" distB="0" distL="0" distR="0" wp14:anchorId="1A66E2F1" wp14:editId="781CF643">
            <wp:extent cx="3600000" cy="2160000"/>
            <wp:effectExtent l="0" t="0" r="635" b="0"/>
            <wp:docPr id="455" name="Afbeelding 455" descr="Chart, diagram&#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5" name="Afbeelding 455" descr="Chart, diagram&#10;&#10;Description automatically generated"/>
                    <pic:cNvPicPr/>
                  </pic:nvPicPr>
                  <pic:blipFill>
                    <a:blip r:embed="rId19"/>
                    <a:stretch>
                      <a:fillRect/>
                    </a:stretch>
                  </pic:blipFill>
                  <pic:spPr>
                    <a:xfrm>
                      <a:off x="0" y="0"/>
                      <a:ext cx="3600000" cy="2160000"/>
                    </a:xfrm>
                    <a:prstGeom prst="rect">
                      <a:avLst/>
                    </a:prstGeom>
                  </pic:spPr>
                </pic:pic>
              </a:graphicData>
            </a:graphic>
          </wp:inline>
        </w:drawing>
      </w:r>
    </w:p>
    <w:p w14:paraId="7675F87B" w14:textId="77777777" w:rsidR="00FF26CE" w:rsidRPr="005178F9" w:rsidRDefault="00FF26CE" w:rsidP="005178F9">
      <w:pPr>
        <w:pStyle w:val="enumlev1"/>
        <w:tabs>
          <w:tab w:val="clear" w:pos="1134"/>
          <w:tab w:val="clear" w:pos="1871"/>
          <w:tab w:val="clear" w:pos="2608"/>
          <w:tab w:val="clear" w:pos="3345"/>
        </w:tabs>
        <w:spacing w:before="120"/>
        <w:ind w:left="0" w:firstLine="0"/>
        <w:jc w:val="center"/>
        <w:rPr>
          <w:i/>
          <w:iCs/>
          <w:sz w:val="22"/>
          <w:szCs w:val="22"/>
          <w:lang w:eastAsia="zh-CN"/>
        </w:rPr>
      </w:pPr>
    </w:p>
    <w:p w14:paraId="26CA6EE9" w14:textId="77777777" w:rsidR="00FF26CE" w:rsidRPr="005178F9" w:rsidRDefault="00FF26CE" w:rsidP="005178F9">
      <w:pPr>
        <w:pStyle w:val="enumlev1"/>
        <w:tabs>
          <w:tab w:val="clear" w:pos="1134"/>
          <w:tab w:val="clear" w:pos="1871"/>
          <w:tab w:val="clear" w:pos="2608"/>
          <w:tab w:val="clear" w:pos="3345"/>
        </w:tabs>
        <w:spacing w:before="120" w:after="120"/>
        <w:ind w:left="0" w:firstLine="0"/>
        <w:contextualSpacing/>
        <w:jc w:val="center"/>
        <w:rPr>
          <w:i/>
          <w:iCs/>
          <w:sz w:val="22"/>
          <w:szCs w:val="22"/>
          <w:lang w:eastAsia="zh-CN"/>
        </w:rPr>
      </w:pPr>
      <w:r w:rsidRPr="005178F9">
        <w:rPr>
          <w:i/>
          <w:iCs/>
          <w:sz w:val="22"/>
          <w:szCs w:val="22"/>
          <w:lang w:eastAsia="zh-CN"/>
        </w:rPr>
        <w:t>Figure 4</w:t>
      </w:r>
    </w:p>
    <w:p w14:paraId="3F0DAD99" w14:textId="77777777" w:rsidR="00FF26CE" w:rsidRPr="005178F9" w:rsidRDefault="00FF26CE" w:rsidP="005178F9">
      <w:pPr>
        <w:pStyle w:val="enumlev1"/>
        <w:tabs>
          <w:tab w:val="clear" w:pos="1134"/>
          <w:tab w:val="clear" w:pos="1871"/>
          <w:tab w:val="clear" w:pos="2608"/>
          <w:tab w:val="clear" w:pos="3345"/>
        </w:tabs>
        <w:spacing w:before="120" w:after="120"/>
        <w:ind w:left="0" w:firstLine="0"/>
        <w:contextualSpacing/>
        <w:jc w:val="center"/>
        <w:rPr>
          <w:i/>
          <w:iCs/>
          <w:sz w:val="22"/>
          <w:szCs w:val="22"/>
          <w:lang w:eastAsia="zh-CN"/>
        </w:rPr>
      </w:pPr>
      <w:r w:rsidRPr="005178F9">
        <w:rPr>
          <w:i/>
          <w:iCs/>
          <w:sz w:val="22"/>
          <w:szCs w:val="22"/>
          <w:lang w:eastAsia="zh-CN"/>
        </w:rPr>
        <w:t xml:space="preserve">Example of a multi-hop scenario for long-range ionospheric propagation. </w:t>
      </w:r>
    </w:p>
    <w:p w14:paraId="0AC98EF7" w14:textId="77777777" w:rsidR="00FF26CE" w:rsidRPr="005178F9" w:rsidRDefault="00FF26CE" w:rsidP="005178F9">
      <w:pPr>
        <w:pStyle w:val="enumlev1"/>
        <w:tabs>
          <w:tab w:val="clear" w:pos="1134"/>
          <w:tab w:val="clear" w:pos="1871"/>
          <w:tab w:val="clear" w:pos="2608"/>
          <w:tab w:val="clear" w:pos="3345"/>
        </w:tabs>
        <w:spacing w:before="120" w:after="120"/>
        <w:ind w:left="0" w:firstLine="0"/>
        <w:contextualSpacing/>
        <w:jc w:val="center"/>
        <w:rPr>
          <w:i/>
          <w:iCs/>
          <w:sz w:val="22"/>
          <w:szCs w:val="22"/>
          <w:lang w:eastAsia="zh-CN"/>
        </w:rPr>
      </w:pPr>
      <w:r w:rsidRPr="005178F9">
        <w:rPr>
          <w:i/>
          <w:iCs/>
          <w:sz w:val="22"/>
          <w:szCs w:val="22"/>
          <w:lang w:eastAsia="zh-CN"/>
        </w:rPr>
        <w:t>2F = two hops via the F-region; 3F = three hops via the F-region. Heights not to scale.</w:t>
      </w:r>
    </w:p>
    <w:p w14:paraId="717E5F09" w14:textId="77777777" w:rsidR="00FF26CE" w:rsidRPr="005178F9" w:rsidRDefault="00FF26CE" w:rsidP="005178F9">
      <w:pPr>
        <w:pStyle w:val="enumlev1"/>
        <w:tabs>
          <w:tab w:val="clear" w:pos="1134"/>
          <w:tab w:val="clear" w:pos="1871"/>
          <w:tab w:val="clear" w:pos="2608"/>
          <w:tab w:val="clear" w:pos="3345"/>
        </w:tabs>
        <w:spacing w:before="120" w:after="120"/>
        <w:ind w:left="0" w:firstLine="0"/>
        <w:contextualSpacing/>
        <w:jc w:val="center"/>
        <w:rPr>
          <w:i/>
          <w:iCs/>
          <w:sz w:val="22"/>
          <w:szCs w:val="22"/>
          <w:lang w:eastAsia="zh-CN"/>
        </w:rPr>
      </w:pPr>
    </w:p>
    <w:p w14:paraId="1810DD26" w14:textId="77777777" w:rsidR="00FF26CE" w:rsidRPr="005178F9" w:rsidRDefault="00FF26CE" w:rsidP="005178F9">
      <w:pPr>
        <w:pStyle w:val="enumlev1"/>
        <w:tabs>
          <w:tab w:val="clear" w:pos="1134"/>
          <w:tab w:val="clear" w:pos="1871"/>
          <w:tab w:val="clear" w:pos="2608"/>
          <w:tab w:val="clear" w:pos="3345"/>
        </w:tabs>
        <w:spacing w:before="120"/>
        <w:ind w:left="0" w:firstLine="0"/>
        <w:jc w:val="center"/>
        <w:rPr>
          <w:i/>
          <w:iCs/>
          <w:sz w:val="22"/>
          <w:szCs w:val="22"/>
          <w:lang w:eastAsia="zh-CN"/>
        </w:rPr>
      </w:pPr>
      <w:r w:rsidRPr="005178F9">
        <w:rPr>
          <w:noProof/>
          <w:sz w:val="22"/>
          <w:szCs w:val="22"/>
        </w:rPr>
        <w:lastRenderedPageBreak/>
        <w:drawing>
          <wp:inline distT="0" distB="0" distL="0" distR="0" wp14:anchorId="0A2069D2" wp14:editId="18884BF9">
            <wp:extent cx="3600000" cy="2160000"/>
            <wp:effectExtent l="0" t="0" r="635" b="0"/>
            <wp:docPr id="456" name="Afbeelding 456" descr="Chart, line ch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6" name="Afbeelding 456" descr="Chart, line chart&#10;&#10;Description automatically generated"/>
                    <pic:cNvPicPr/>
                  </pic:nvPicPr>
                  <pic:blipFill>
                    <a:blip r:embed="rId20"/>
                    <a:stretch>
                      <a:fillRect/>
                    </a:stretch>
                  </pic:blipFill>
                  <pic:spPr>
                    <a:xfrm>
                      <a:off x="0" y="0"/>
                      <a:ext cx="3600000" cy="2160000"/>
                    </a:xfrm>
                    <a:prstGeom prst="rect">
                      <a:avLst/>
                    </a:prstGeom>
                  </pic:spPr>
                </pic:pic>
              </a:graphicData>
            </a:graphic>
          </wp:inline>
        </w:drawing>
      </w:r>
    </w:p>
    <w:p w14:paraId="5A00BE77" w14:textId="77777777" w:rsidR="00FF26CE" w:rsidRPr="005178F9" w:rsidRDefault="00FF26CE" w:rsidP="005178F9">
      <w:pPr>
        <w:spacing w:before="120"/>
        <w:rPr>
          <w:lang w:eastAsia="zh-CN"/>
        </w:rPr>
      </w:pPr>
    </w:p>
    <w:p w14:paraId="6997B5E4" w14:textId="77777777" w:rsidR="00FF26CE" w:rsidRPr="005178F9" w:rsidRDefault="00FF26CE" w:rsidP="005178F9">
      <w:pPr>
        <w:pStyle w:val="enumlev1"/>
        <w:numPr>
          <w:ilvl w:val="0"/>
          <w:numId w:val="25"/>
        </w:numPr>
        <w:tabs>
          <w:tab w:val="clear" w:pos="1134"/>
          <w:tab w:val="clear" w:pos="1871"/>
          <w:tab w:val="clear" w:pos="2608"/>
          <w:tab w:val="clear" w:pos="3345"/>
        </w:tabs>
        <w:spacing w:before="120"/>
        <w:ind w:left="357" w:hanging="357"/>
        <w:jc w:val="both"/>
        <w:rPr>
          <w:sz w:val="22"/>
          <w:szCs w:val="22"/>
          <w:lang w:eastAsia="zh-CN"/>
        </w:rPr>
      </w:pPr>
      <w:r w:rsidRPr="005178F9">
        <w:rPr>
          <w:sz w:val="22"/>
          <w:szCs w:val="22"/>
          <w:lang w:eastAsia="zh-CN"/>
        </w:rPr>
        <w:t>Line-of-sight propagation (LOS)</w:t>
      </w:r>
    </w:p>
    <w:p w14:paraId="7C29E3C9" w14:textId="77777777" w:rsidR="00FF26CE" w:rsidRPr="005178F9" w:rsidRDefault="00FF26CE" w:rsidP="005178F9">
      <w:pPr>
        <w:pStyle w:val="enumlev1"/>
        <w:tabs>
          <w:tab w:val="clear" w:pos="1134"/>
          <w:tab w:val="clear" w:pos="1871"/>
          <w:tab w:val="clear" w:pos="2608"/>
          <w:tab w:val="clear" w:pos="3345"/>
        </w:tabs>
        <w:spacing w:before="120"/>
        <w:ind w:left="0" w:firstLine="0"/>
        <w:jc w:val="both"/>
        <w:rPr>
          <w:sz w:val="22"/>
          <w:szCs w:val="22"/>
          <w:lang w:eastAsia="zh-CN"/>
        </w:rPr>
      </w:pPr>
      <w:r w:rsidRPr="005178F9">
        <w:rPr>
          <w:sz w:val="22"/>
          <w:szCs w:val="22"/>
          <w:lang w:eastAsia="zh-CN"/>
        </w:rPr>
        <w:t xml:space="preserve">When both the AM(R)S and the victim are airborne and within sight of each other, the dominant propagation mechanism is ‘free space propagation’ and the </w:t>
      </w:r>
      <w:proofErr w:type="spellStart"/>
      <w:r w:rsidRPr="005178F9">
        <w:rPr>
          <w:sz w:val="22"/>
          <w:szCs w:val="22"/>
          <w:lang w:eastAsia="zh-CN"/>
        </w:rPr>
        <w:t>Friis</w:t>
      </w:r>
      <w:proofErr w:type="spellEnd"/>
      <w:r w:rsidRPr="005178F9">
        <w:rPr>
          <w:sz w:val="22"/>
          <w:szCs w:val="22"/>
          <w:lang w:eastAsia="zh-CN"/>
        </w:rPr>
        <w:t xml:space="preserve"> theorem applies. This is depicted in Figure 1. Path loss can be calculated using </w:t>
      </w:r>
      <w:hyperlink r:id="rId21">
        <w:r w:rsidRPr="005178F9">
          <w:rPr>
            <w:rStyle w:val="Hyperlink"/>
            <w:sz w:val="22"/>
            <w:szCs w:val="22"/>
            <w:lang w:eastAsia="zh-CN"/>
          </w:rPr>
          <w:t>Recommendation ITU-R P.525-4</w:t>
        </w:r>
      </w:hyperlink>
      <w:r w:rsidRPr="005178F9">
        <w:rPr>
          <w:sz w:val="22"/>
          <w:szCs w:val="22"/>
          <w:lang w:eastAsia="zh-CN"/>
        </w:rPr>
        <w:t xml:space="preserve"> “Calculation of free space attenuation,” formula 3. The same is true when the AM(R)S is within sight of a terrestrial victim.</w:t>
      </w:r>
    </w:p>
    <w:p w14:paraId="6E148ECD" w14:textId="77777777" w:rsidR="00FF26CE" w:rsidRPr="005178F9" w:rsidRDefault="00FF26CE" w:rsidP="005178F9">
      <w:pPr>
        <w:pStyle w:val="enumlev1"/>
        <w:numPr>
          <w:ilvl w:val="0"/>
          <w:numId w:val="25"/>
        </w:numPr>
        <w:tabs>
          <w:tab w:val="clear" w:pos="1134"/>
          <w:tab w:val="clear" w:pos="1871"/>
          <w:tab w:val="clear" w:pos="2608"/>
          <w:tab w:val="clear" w:pos="3345"/>
        </w:tabs>
        <w:spacing w:before="120"/>
        <w:ind w:left="357" w:hanging="357"/>
        <w:jc w:val="both"/>
        <w:rPr>
          <w:sz w:val="22"/>
          <w:szCs w:val="22"/>
          <w:lang w:eastAsia="zh-CN"/>
        </w:rPr>
      </w:pPr>
      <w:r w:rsidRPr="005178F9">
        <w:rPr>
          <w:sz w:val="22"/>
          <w:szCs w:val="22"/>
          <w:lang w:eastAsia="zh-CN"/>
        </w:rPr>
        <w:t>Ground wave propagation (GW)</w:t>
      </w:r>
    </w:p>
    <w:p w14:paraId="25B7472F" w14:textId="77777777" w:rsidR="00FF26CE" w:rsidRPr="005178F9" w:rsidRDefault="00FF26CE" w:rsidP="005178F9">
      <w:pPr>
        <w:pStyle w:val="enumlev1"/>
        <w:tabs>
          <w:tab w:val="clear" w:pos="1134"/>
          <w:tab w:val="clear" w:pos="1871"/>
        </w:tabs>
        <w:spacing w:before="120"/>
        <w:ind w:left="0" w:firstLine="0"/>
        <w:jc w:val="both"/>
        <w:rPr>
          <w:sz w:val="22"/>
          <w:szCs w:val="22"/>
          <w:lang w:eastAsia="zh-CN"/>
        </w:rPr>
      </w:pPr>
      <w:r w:rsidRPr="005178F9">
        <w:rPr>
          <w:sz w:val="22"/>
          <w:szCs w:val="22"/>
          <w:lang w:eastAsia="zh-CN"/>
        </w:rPr>
        <w:t xml:space="preserve">When both the AM(R)S and the victim are on the ground, ground wave propagation will provide a coupling path between them. This is also depicted in Figure 1. The associated path loss can be calculated using </w:t>
      </w:r>
      <w:hyperlink r:id="rId22">
        <w:r w:rsidRPr="005178F9">
          <w:rPr>
            <w:rStyle w:val="Hyperlink"/>
            <w:sz w:val="22"/>
            <w:szCs w:val="22"/>
            <w:lang w:eastAsia="zh-CN"/>
          </w:rPr>
          <w:t>Recommendation ITU-R 368-9</w:t>
        </w:r>
      </w:hyperlink>
      <w:r w:rsidRPr="005178F9">
        <w:rPr>
          <w:sz w:val="22"/>
          <w:szCs w:val="22"/>
          <w:lang w:eastAsia="zh-CN"/>
        </w:rPr>
        <w:t xml:space="preserve"> “Ground-wave propagation curves for frequencies between 10 kHz and 30 MHz” and associated “GRWAVE” software. </w:t>
      </w:r>
    </w:p>
    <w:p w14:paraId="0332A188" w14:textId="77777777" w:rsidR="00FF26CE" w:rsidRPr="005178F9" w:rsidRDefault="00FF26CE" w:rsidP="005178F9">
      <w:pPr>
        <w:pStyle w:val="enumlev1"/>
        <w:numPr>
          <w:ilvl w:val="0"/>
          <w:numId w:val="25"/>
        </w:numPr>
        <w:tabs>
          <w:tab w:val="clear" w:pos="1134"/>
          <w:tab w:val="clear" w:pos="1871"/>
          <w:tab w:val="clear" w:pos="2608"/>
          <w:tab w:val="clear" w:pos="3345"/>
        </w:tabs>
        <w:spacing w:before="120"/>
        <w:ind w:left="357" w:hanging="357"/>
        <w:jc w:val="both"/>
        <w:rPr>
          <w:sz w:val="22"/>
          <w:szCs w:val="22"/>
          <w:lang w:eastAsia="zh-CN"/>
        </w:rPr>
      </w:pPr>
      <w:r w:rsidRPr="005178F9">
        <w:rPr>
          <w:sz w:val="22"/>
          <w:szCs w:val="22"/>
          <w:lang w:eastAsia="zh-CN"/>
        </w:rPr>
        <w:t>Near vertical incidence skywave (NVIS) propagation</w:t>
      </w:r>
    </w:p>
    <w:p w14:paraId="486B8E83" w14:textId="77777777" w:rsidR="00FF26CE" w:rsidRPr="005178F9" w:rsidRDefault="00FF26CE" w:rsidP="005178F9">
      <w:pPr>
        <w:pStyle w:val="enumlev1"/>
        <w:tabs>
          <w:tab w:val="clear" w:pos="1134"/>
          <w:tab w:val="clear" w:pos="1871"/>
        </w:tabs>
        <w:spacing w:before="120"/>
        <w:ind w:left="0" w:firstLine="0"/>
        <w:jc w:val="both"/>
        <w:rPr>
          <w:sz w:val="22"/>
          <w:szCs w:val="22"/>
          <w:lang w:eastAsia="zh-CN"/>
        </w:rPr>
      </w:pPr>
      <w:r w:rsidRPr="005178F9">
        <w:rPr>
          <w:sz w:val="22"/>
          <w:szCs w:val="22"/>
          <w:lang w:eastAsia="zh-CN"/>
        </w:rPr>
        <w:t xml:space="preserve">When the transmit frequency is below the critical frequency of the E- or F-region of the ionosphere, even vertically emitted radio waves will be reflected back to Earth. Due to the important height of the F-region (200-250 km), a continuous area around the AM(R)S is covered. The signal strength is homogenous in the entire area. This is depicted in Figure 2. NVIS path loss is low. </w:t>
      </w:r>
    </w:p>
    <w:p w14:paraId="61470298" w14:textId="77777777" w:rsidR="00FF26CE" w:rsidRPr="005178F9" w:rsidRDefault="00FF26CE" w:rsidP="005178F9">
      <w:pPr>
        <w:pStyle w:val="enumlev1"/>
        <w:tabs>
          <w:tab w:val="clear" w:pos="1134"/>
          <w:tab w:val="clear" w:pos="1871"/>
        </w:tabs>
        <w:spacing w:before="120"/>
        <w:ind w:left="0" w:firstLine="0"/>
        <w:jc w:val="both"/>
        <w:rPr>
          <w:sz w:val="22"/>
          <w:szCs w:val="22"/>
          <w:lang w:eastAsia="zh-CN"/>
        </w:rPr>
      </w:pPr>
      <w:r w:rsidRPr="005178F9">
        <w:rPr>
          <w:sz w:val="22"/>
          <w:szCs w:val="22"/>
          <w:lang w:eastAsia="zh-CN"/>
        </w:rPr>
        <w:t xml:space="preserve">Near the AM(R)S, both the ground wave and the NVIS skywave will be received. At very short distances the ground wave is dominant. As the ground wave attenuation increases rapidly with frequency, the sky wave path will become dominant at a certain distance from the victim. </w:t>
      </w:r>
    </w:p>
    <w:p w14:paraId="7C3B6B3D" w14:textId="77777777" w:rsidR="00FF26CE" w:rsidRPr="005178F9" w:rsidRDefault="00FF26CE" w:rsidP="005178F9">
      <w:pPr>
        <w:pStyle w:val="enumlev1"/>
        <w:tabs>
          <w:tab w:val="clear" w:pos="1134"/>
          <w:tab w:val="clear" w:pos="1871"/>
        </w:tabs>
        <w:spacing w:before="120"/>
        <w:ind w:left="0" w:firstLine="0"/>
        <w:jc w:val="both"/>
        <w:rPr>
          <w:sz w:val="22"/>
          <w:szCs w:val="22"/>
        </w:rPr>
      </w:pPr>
      <w:r w:rsidRPr="005178F9">
        <w:rPr>
          <w:sz w:val="22"/>
          <w:szCs w:val="22"/>
          <w:lang w:eastAsia="zh-CN"/>
        </w:rPr>
        <w:t xml:space="preserve">Whether the AM(R)S and/or victim are airborne or on the ground does not alter the propagation properties. The path loss and probability can be calculated using </w:t>
      </w:r>
      <w:hyperlink r:id="rId23">
        <w:r w:rsidRPr="005178F9">
          <w:rPr>
            <w:rStyle w:val="Hyperlink"/>
            <w:sz w:val="22"/>
            <w:szCs w:val="22"/>
            <w:lang w:eastAsia="zh-CN"/>
          </w:rPr>
          <w:t>Recommendation ITU-R 533-14</w:t>
        </w:r>
      </w:hyperlink>
      <w:r w:rsidRPr="005178F9">
        <w:rPr>
          <w:sz w:val="22"/>
          <w:szCs w:val="22"/>
          <w:lang w:eastAsia="zh-CN"/>
        </w:rPr>
        <w:t xml:space="preserve"> “</w:t>
      </w:r>
      <w:r w:rsidRPr="005178F9">
        <w:rPr>
          <w:sz w:val="22"/>
          <w:szCs w:val="22"/>
        </w:rPr>
        <w:t xml:space="preserve">Method for the prediction of the performance of HF circuits” and related software. Some of the required input parameters can be found in </w:t>
      </w:r>
      <w:hyperlink r:id="rId24">
        <w:r w:rsidRPr="005178F9">
          <w:rPr>
            <w:rStyle w:val="Hyperlink"/>
            <w:sz w:val="22"/>
            <w:szCs w:val="22"/>
          </w:rPr>
          <w:t>Recommendation ITU-R P.371-8</w:t>
        </w:r>
      </w:hyperlink>
      <w:r w:rsidRPr="005178F9">
        <w:rPr>
          <w:sz w:val="22"/>
          <w:szCs w:val="22"/>
        </w:rPr>
        <w:t xml:space="preserve"> “Choice of indices for long-term ionospheric predictions.”</w:t>
      </w:r>
    </w:p>
    <w:p w14:paraId="0E8E0431" w14:textId="77777777" w:rsidR="00FF26CE" w:rsidRPr="005178F9" w:rsidRDefault="00FF26CE" w:rsidP="005178F9">
      <w:pPr>
        <w:pStyle w:val="enumlev1"/>
        <w:numPr>
          <w:ilvl w:val="0"/>
          <w:numId w:val="25"/>
        </w:numPr>
        <w:tabs>
          <w:tab w:val="clear" w:pos="1134"/>
          <w:tab w:val="clear" w:pos="1871"/>
          <w:tab w:val="clear" w:pos="2608"/>
          <w:tab w:val="clear" w:pos="3345"/>
        </w:tabs>
        <w:spacing w:before="120"/>
        <w:ind w:left="357" w:hanging="357"/>
        <w:jc w:val="both"/>
        <w:rPr>
          <w:sz w:val="22"/>
          <w:szCs w:val="22"/>
          <w:lang w:eastAsia="zh-CN"/>
        </w:rPr>
      </w:pPr>
      <w:r w:rsidRPr="005178F9">
        <w:rPr>
          <w:sz w:val="22"/>
          <w:szCs w:val="22"/>
          <w:lang w:eastAsia="zh-CN"/>
        </w:rPr>
        <w:t>Single-hop mid-range propagation (1E, 1F)</w:t>
      </w:r>
    </w:p>
    <w:p w14:paraId="7943772E" w14:textId="77777777" w:rsidR="00FF26CE" w:rsidRPr="005178F9" w:rsidRDefault="00FF26CE" w:rsidP="005178F9">
      <w:pPr>
        <w:pStyle w:val="enumlev1"/>
        <w:tabs>
          <w:tab w:val="clear" w:pos="1134"/>
          <w:tab w:val="clear" w:pos="1871"/>
          <w:tab w:val="clear" w:pos="2608"/>
          <w:tab w:val="clear" w:pos="3345"/>
        </w:tabs>
        <w:spacing w:before="120"/>
        <w:ind w:left="0" w:firstLine="0"/>
        <w:jc w:val="both"/>
        <w:rPr>
          <w:sz w:val="22"/>
          <w:szCs w:val="22"/>
          <w:lang w:eastAsia="zh-CN"/>
        </w:rPr>
      </w:pPr>
      <w:r w:rsidRPr="005178F9">
        <w:rPr>
          <w:sz w:val="22"/>
          <w:szCs w:val="22"/>
          <w:lang w:eastAsia="zh-CN"/>
        </w:rPr>
        <w:t xml:space="preserve">Single-hop E-region propagation (1E) will cover distances up to approx. 2 000 km. Single-hop F-region propagation (1F) will reach at least 3 500 km. This is depicted in Figure 3. Similar to NVIS, the calculation of path loss and probability of single-hop E- and F-region propagation can be done with Recommendation ITU-R </w:t>
      </w:r>
      <w:hyperlink r:id="rId25">
        <w:r w:rsidRPr="005178F9">
          <w:rPr>
            <w:rStyle w:val="Hyperlink"/>
            <w:sz w:val="22"/>
            <w:szCs w:val="22"/>
            <w:lang w:eastAsia="zh-CN"/>
          </w:rPr>
          <w:t>P.533</w:t>
        </w:r>
      </w:hyperlink>
      <w:r w:rsidRPr="005178F9">
        <w:rPr>
          <w:sz w:val="22"/>
          <w:szCs w:val="22"/>
          <w:lang w:eastAsia="zh-CN"/>
        </w:rPr>
        <w:t xml:space="preserve">. The difference with NVIS propagation is the existence of a skip zone, a large zone around the AM(R)S in which its signal is not received. </w:t>
      </w:r>
    </w:p>
    <w:p w14:paraId="2C40266F" w14:textId="77777777" w:rsidR="00FF26CE" w:rsidRPr="005178F9" w:rsidRDefault="00FF26CE" w:rsidP="005178F9">
      <w:pPr>
        <w:pStyle w:val="enumlev1"/>
        <w:numPr>
          <w:ilvl w:val="0"/>
          <w:numId w:val="25"/>
        </w:numPr>
        <w:tabs>
          <w:tab w:val="clear" w:pos="1134"/>
          <w:tab w:val="clear" w:pos="1871"/>
          <w:tab w:val="clear" w:pos="2608"/>
          <w:tab w:val="clear" w:pos="3345"/>
        </w:tabs>
        <w:spacing w:before="120"/>
        <w:ind w:left="357" w:hanging="357"/>
        <w:jc w:val="both"/>
        <w:rPr>
          <w:sz w:val="22"/>
          <w:szCs w:val="22"/>
          <w:lang w:eastAsia="zh-CN"/>
        </w:rPr>
      </w:pPr>
      <w:r w:rsidRPr="005178F9">
        <w:rPr>
          <w:sz w:val="22"/>
          <w:szCs w:val="22"/>
          <w:lang w:eastAsia="zh-CN"/>
        </w:rPr>
        <w:t>Sporadic E-region reflection</w:t>
      </w:r>
    </w:p>
    <w:p w14:paraId="340F3A94" w14:textId="77777777" w:rsidR="00FF26CE" w:rsidRPr="005178F9" w:rsidRDefault="00FF26CE" w:rsidP="005178F9">
      <w:pPr>
        <w:pStyle w:val="enumlev1"/>
        <w:tabs>
          <w:tab w:val="clear" w:pos="1134"/>
          <w:tab w:val="clear" w:pos="1871"/>
          <w:tab w:val="clear" w:pos="2608"/>
          <w:tab w:val="clear" w:pos="3345"/>
        </w:tabs>
        <w:spacing w:before="120"/>
        <w:ind w:left="0" w:firstLine="0"/>
        <w:jc w:val="both"/>
        <w:rPr>
          <w:sz w:val="22"/>
          <w:szCs w:val="22"/>
          <w:lang w:eastAsia="zh-CN"/>
        </w:rPr>
      </w:pPr>
      <w:r w:rsidRPr="005178F9">
        <w:rPr>
          <w:sz w:val="22"/>
          <w:szCs w:val="22"/>
          <w:lang w:eastAsia="zh-CN"/>
        </w:rPr>
        <w:lastRenderedPageBreak/>
        <w:t xml:space="preserve">Sporadically, thin patches of high electron density are formed in the E-region. Their electron density is significantly higher than the background E-region. Due to their lower altitude, the associated range is much shorter than the F-region reflections on the same frequency. This is depicted in Figure 3. Path loss is very low. Its occurrence is random and sporadic. Methods to calculate the probability and signal strength of Sporadic-E propagation are described in </w:t>
      </w:r>
      <w:hyperlink r:id="rId26">
        <w:r w:rsidRPr="005178F9">
          <w:rPr>
            <w:rStyle w:val="Hyperlink"/>
            <w:sz w:val="22"/>
            <w:szCs w:val="22"/>
            <w:lang w:eastAsia="zh-CN"/>
          </w:rPr>
          <w:t>Recommendation ITU-R P.534-5</w:t>
        </w:r>
      </w:hyperlink>
      <w:r w:rsidRPr="005178F9">
        <w:rPr>
          <w:sz w:val="22"/>
          <w:szCs w:val="22"/>
          <w:lang w:eastAsia="zh-CN"/>
        </w:rPr>
        <w:t xml:space="preserve"> “Method for calculating sporadic-E field strength”.</w:t>
      </w:r>
    </w:p>
    <w:p w14:paraId="474719D4" w14:textId="77777777" w:rsidR="00FF26CE" w:rsidRPr="005178F9" w:rsidRDefault="00FF26CE" w:rsidP="005178F9">
      <w:pPr>
        <w:pStyle w:val="enumlev1"/>
        <w:numPr>
          <w:ilvl w:val="0"/>
          <w:numId w:val="25"/>
        </w:numPr>
        <w:tabs>
          <w:tab w:val="clear" w:pos="1134"/>
          <w:tab w:val="clear" w:pos="1871"/>
          <w:tab w:val="clear" w:pos="2608"/>
          <w:tab w:val="clear" w:pos="3345"/>
        </w:tabs>
        <w:spacing w:before="120"/>
        <w:ind w:left="357" w:hanging="357"/>
        <w:jc w:val="both"/>
        <w:rPr>
          <w:sz w:val="22"/>
          <w:szCs w:val="22"/>
          <w:lang w:eastAsia="zh-CN"/>
        </w:rPr>
      </w:pPr>
      <w:r w:rsidRPr="005178F9">
        <w:rPr>
          <w:sz w:val="22"/>
          <w:szCs w:val="22"/>
          <w:lang w:eastAsia="zh-CN"/>
        </w:rPr>
        <w:t>Multi-hop long-range propagation (</w:t>
      </w:r>
      <w:proofErr w:type="gramStart"/>
      <w:r w:rsidRPr="005178F9">
        <w:rPr>
          <w:sz w:val="22"/>
          <w:szCs w:val="22"/>
          <w:lang w:eastAsia="zh-CN"/>
        </w:rPr>
        <w:t>e.g.</w:t>
      </w:r>
      <w:proofErr w:type="gramEnd"/>
      <w:r w:rsidRPr="005178F9">
        <w:rPr>
          <w:sz w:val="22"/>
          <w:szCs w:val="22"/>
          <w:lang w:eastAsia="zh-CN"/>
        </w:rPr>
        <w:t xml:space="preserve"> 3F)</w:t>
      </w:r>
    </w:p>
    <w:p w14:paraId="0DB6C099" w14:textId="77777777" w:rsidR="00FF26CE" w:rsidRPr="005178F9" w:rsidRDefault="00FF26CE" w:rsidP="005178F9">
      <w:pPr>
        <w:pStyle w:val="enumlev1"/>
        <w:tabs>
          <w:tab w:val="clear" w:pos="1134"/>
          <w:tab w:val="clear" w:pos="1871"/>
          <w:tab w:val="clear" w:pos="2608"/>
          <w:tab w:val="clear" w:pos="3345"/>
        </w:tabs>
        <w:spacing w:before="120"/>
        <w:ind w:left="0" w:firstLine="0"/>
        <w:jc w:val="both"/>
        <w:rPr>
          <w:sz w:val="22"/>
          <w:szCs w:val="22"/>
          <w:lang w:eastAsia="zh-CN"/>
        </w:rPr>
      </w:pPr>
      <w:r w:rsidRPr="005178F9">
        <w:rPr>
          <w:sz w:val="22"/>
          <w:szCs w:val="22"/>
          <w:lang w:eastAsia="zh-CN"/>
        </w:rPr>
        <w:t>Multi-hop propagation will cover very long distances, up to the antipodes. Several propagation modes may exist simultaneously. When the path loss of two paths is comparable, their interference will cause deep periodic fading. An example is depicted in Figure 4.</w:t>
      </w:r>
    </w:p>
    <w:p w14:paraId="3707543F" w14:textId="77777777" w:rsidR="00FF26CE" w:rsidRPr="005178F9" w:rsidRDefault="00FF26CE" w:rsidP="005178F9">
      <w:pPr>
        <w:pStyle w:val="enumlev1"/>
        <w:tabs>
          <w:tab w:val="clear" w:pos="1134"/>
          <w:tab w:val="clear" w:pos="1871"/>
        </w:tabs>
        <w:spacing w:before="120"/>
        <w:ind w:left="0" w:firstLine="0"/>
        <w:jc w:val="both"/>
        <w:rPr>
          <w:sz w:val="22"/>
          <w:szCs w:val="22"/>
          <w:lang w:eastAsia="zh-CN"/>
        </w:rPr>
      </w:pPr>
    </w:p>
    <w:p w14:paraId="2F37C43D" w14:textId="77777777" w:rsidR="00FF26CE" w:rsidRPr="005178F9" w:rsidRDefault="00FF26CE" w:rsidP="005178F9">
      <w:pPr>
        <w:pStyle w:val="ListParagraph"/>
        <w:numPr>
          <w:ilvl w:val="0"/>
          <w:numId w:val="25"/>
        </w:numPr>
        <w:spacing w:before="120"/>
        <w:rPr>
          <w:szCs w:val="22"/>
          <w:lang w:eastAsia="zh-CN"/>
        </w:rPr>
      </w:pPr>
      <w:r w:rsidRPr="005178F9">
        <w:rPr>
          <w:szCs w:val="22"/>
          <w:lang w:eastAsia="zh-CN"/>
        </w:rPr>
        <w:t xml:space="preserve">Radio noise </w:t>
      </w:r>
    </w:p>
    <w:p w14:paraId="0970195A" w14:textId="77777777" w:rsidR="00FF26CE" w:rsidRPr="005178F9" w:rsidRDefault="00FF26CE" w:rsidP="005178F9">
      <w:pPr>
        <w:pStyle w:val="enumlev1"/>
        <w:tabs>
          <w:tab w:val="clear" w:pos="1134"/>
          <w:tab w:val="clear" w:pos="1871"/>
          <w:tab w:val="clear" w:pos="2608"/>
          <w:tab w:val="clear" w:pos="3345"/>
        </w:tabs>
        <w:spacing w:before="120"/>
        <w:ind w:left="0" w:firstLine="0"/>
        <w:jc w:val="both"/>
        <w:rPr>
          <w:sz w:val="22"/>
          <w:szCs w:val="22"/>
          <w:lang w:eastAsia="zh-CN"/>
        </w:rPr>
      </w:pPr>
      <w:r w:rsidRPr="005178F9">
        <w:rPr>
          <w:sz w:val="22"/>
          <w:szCs w:val="22"/>
          <w:lang w:eastAsia="zh-CN"/>
        </w:rPr>
        <w:t xml:space="preserve">At HF, the ambient electromagnetic noise level (‘radio noise’) is relatively high. That implies that in many cases reception is ‘radio noise-limited’ and not exclusively ‘path loss limited’. The background radio noise level as a function of frequency is described by </w:t>
      </w:r>
      <w:hyperlink r:id="rId27">
        <w:r w:rsidRPr="005178F9">
          <w:rPr>
            <w:rStyle w:val="Hyperlink"/>
            <w:sz w:val="22"/>
            <w:szCs w:val="22"/>
            <w:lang w:eastAsia="zh-CN"/>
          </w:rPr>
          <w:t>Recommendation ITU-R P.372-14</w:t>
        </w:r>
      </w:hyperlink>
      <w:r w:rsidRPr="005178F9">
        <w:rPr>
          <w:sz w:val="22"/>
          <w:szCs w:val="22"/>
          <w:lang w:eastAsia="zh-CN"/>
        </w:rPr>
        <w:t>, sections Parts I and II (natural noise) and VI (man-made noise). This radio noise is defined for an omnidirectional antenna. When beamforming is used, the received radio noise is proportionally lower reduced with respect of these levels.</w:t>
      </w:r>
    </w:p>
    <w:p w14:paraId="2C894639" w14:textId="77777777" w:rsidR="00FF26CE" w:rsidRPr="005178F9" w:rsidRDefault="00FF26CE" w:rsidP="005178F9">
      <w:pPr>
        <w:pStyle w:val="enumlev1"/>
        <w:numPr>
          <w:ilvl w:val="0"/>
          <w:numId w:val="25"/>
        </w:numPr>
        <w:tabs>
          <w:tab w:val="clear" w:pos="1134"/>
          <w:tab w:val="clear" w:pos="1871"/>
          <w:tab w:val="clear" w:pos="2608"/>
          <w:tab w:val="clear" w:pos="3345"/>
        </w:tabs>
        <w:spacing w:before="120"/>
        <w:jc w:val="both"/>
        <w:rPr>
          <w:sz w:val="22"/>
          <w:szCs w:val="22"/>
          <w:lang w:eastAsia="zh-CN"/>
        </w:rPr>
      </w:pPr>
      <w:r w:rsidRPr="005178F9">
        <w:rPr>
          <w:sz w:val="22"/>
          <w:szCs w:val="22"/>
          <w:lang w:eastAsia="zh-CN"/>
        </w:rPr>
        <w:t xml:space="preserve">Other effects of ionospheric propagation </w:t>
      </w:r>
    </w:p>
    <w:p w14:paraId="2957B8D9" w14:textId="77777777" w:rsidR="00FF26CE" w:rsidRPr="005178F9" w:rsidRDefault="00FF26CE" w:rsidP="005178F9">
      <w:pPr>
        <w:pStyle w:val="enumlev1"/>
        <w:spacing w:before="120"/>
        <w:ind w:left="0" w:firstLine="0"/>
        <w:jc w:val="both"/>
        <w:rPr>
          <w:sz w:val="22"/>
          <w:szCs w:val="22"/>
          <w:lang w:eastAsia="zh-CN"/>
        </w:rPr>
      </w:pPr>
      <w:r w:rsidRPr="005178F9">
        <w:rPr>
          <w:sz w:val="22"/>
          <w:szCs w:val="22"/>
          <w:lang w:eastAsia="zh-CN"/>
        </w:rPr>
        <w:t xml:space="preserve">Radio wave propagation through a plasma (the ionosphere) not only causes path loss; it also causes Doppler shift, time dispersion and multi-path fading. These propagation effects are not covered in Recommendation ITU-R P.533, but they can be found in </w:t>
      </w:r>
      <w:hyperlink r:id="rId28">
        <w:r w:rsidRPr="005178F9">
          <w:rPr>
            <w:rStyle w:val="Hyperlink"/>
            <w:sz w:val="22"/>
            <w:szCs w:val="22"/>
            <w:lang w:eastAsia="zh-CN"/>
          </w:rPr>
          <w:t>Recommendation ITU-R F.1487-0</w:t>
        </w:r>
      </w:hyperlink>
      <w:r w:rsidRPr="005178F9">
        <w:rPr>
          <w:sz w:val="22"/>
          <w:szCs w:val="22"/>
          <w:lang w:eastAsia="zh-CN"/>
        </w:rPr>
        <w:t>, which is maintained by Study Group 5.</w:t>
      </w:r>
    </w:p>
    <w:p w14:paraId="255B22E4" w14:textId="77777777" w:rsidR="00FF26CE" w:rsidRPr="005178F9" w:rsidRDefault="00FF26CE" w:rsidP="005178F9">
      <w:pPr>
        <w:pStyle w:val="enumlev1"/>
        <w:spacing w:before="120"/>
        <w:ind w:left="0" w:firstLine="0"/>
        <w:jc w:val="center"/>
        <w:rPr>
          <w:sz w:val="22"/>
          <w:szCs w:val="22"/>
          <w:lang w:eastAsia="zh-CN"/>
        </w:rPr>
      </w:pPr>
      <w:r w:rsidRPr="005178F9">
        <w:rPr>
          <w:sz w:val="22"/>
          <w:szCs w:val="22"/>
          <w:lang w:eastAsia="zh-CN"/>
        </w:rPr>
        <w:t>_______________</w:t>
      </w:r>
    </w:p>
    <w:p w14:paraId="5DB34395" w14:textId="77777777" w:rsidR="009E6FA0" w:rsidRPr="005178F9" w:rsidRDefault="009E6FA0" w:rsidP="005178F9">
      <w:pPr>
        <w:pBdr>
          <w:top w:val="nil"/>
          <w:left w:val="nil"/>
          <w:bottom w:val="nil"/>
          <w:right w:val="nil"/>
          <w:between w:val="nil"/>
        </w:pBdr>
        <w:tabs>
          <w:tab w:val="left" w:pos="0"/>
          <w:tab w:val="left" w:pos="1570"/>
          <w:tab w:val="left" w:pos="1857"/>
        </w:tabs>
        <w:spacing w:before="120"/>
        <w:ind w:left="1570" w:hanging="1570"/>
      </w:pPr>
    </w:p>
    <w:sectPr w:rsidR="009E6FA0" w:rsidRPr="005178F9" w:rsidSect="00296A17">
      <w:headerReference w:type="even" r:id="rId29"/>
      <w:headerReference w:type="default" r:id="rId30"/>
      <w:headerReference w:type="first" r:id="rId31"/>
      <w:pgSz w:w="12242" w:h="15842"/>
      <w:pgMar w:top="1627" w:right="1247" w:bottom="1440" w:left="1247" w:header="1009"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EE23B4" w14:textId="77777777" w:rsidR="00C33FB8" w:rsidRDefault="00C33FB8">
      <w:r>
        <w:separator/>
      </w:r>
    </w:p>
  </w:endnote>
  <w:endnote w:type="continuationSeparator" w:id="0">
    <w:p w14:paraId="4DF5A18E" w14:textId="77777777" w:rsidR="00C33FB8" w:rsidRDefault="00C33FB8">
      <w:r>
        <w:continuationSeparator/>
      </w:r>
    </w:p>
  </w:endnote>
  <w:endnote w:type="continuationNotice" w:id="1">
    <w:p w14:paraId="330D99B0" w14:textId="77777777" w:rsidR="00C33FB8" w:rsidRDefault="00C33F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B06040202020202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59A5ED" w14:textId="77777777" w:rsidR="00C33FB8" w:rsidRDefault="00C33FB8">
      <w:r>
        <w:separator/>
      </w:r>
    </w:p>
  </w:footnote>
  <w:footnote w:type="continuationSeparator" w:id="0">
    <w:p w14:paraId="54628EC4" w14:textId="77777777" w:rsidR="00C33FB8" w:rsidRDefault="00C33FB8">
      <w:r>
        <w:continuationSeparator/>
      </w:r>
    </w:p>
  </w:footnote>
  <w:footnote w:type="continuationNotice" w:id="1">
    <w:p w14:paraId="353ABD59" w14:textId="77777777" w:rsidR="00C33FB8" w:rsidRDefault="00C33F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A1F6F" w14:textId="7AB68352" w:rsidR="002779EA" w:rsidRDefault="002779EA" w:rsidP="006828EF">
    <w:pPr>
      <w:tabs>
        <w:tab w:val="center" w:pos="4876"/>
      </w:tabs>
      <w:spacing w:after="6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2566F" w14:textId="46D8E856" w:rsidR="002779EA" w:rsidRPr="009851A4" w:rsidRDefault="002779EA" w:rsidP="006828EF">
    <w:pPr>
      <w:tabs>
        <w:tab w:val="center" w:pos="4876"/>
      </w:tabs>
      <w:spacing w:after="6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851A4" w14:paraId="4AE03AFE" w14:textId="77777777" w:rsidTr="008D7BB5">
      <w:trPr>
        <w:trHeight w:val="1790"/>
      </w:trPr>
      <w:tc>
        <w:tcPr>
          <w:tcW w:w="1915" w:type="dxa"/>
          <w:shd w:val="clear" w:color="auto" w:fill="FFFFFF"/>
        </w:tcPr>
        <w:p w14:paraId="1D8D4424" w14:textId="77777777" w:rsidR="009851A4" w:rsidRDefault="009851A4" w:rsidP="009851A4">
          <w:bookmarkStart w:id="16" w:name="logo"/>
          <w:r>
            <w:rPr>
              <w:noProof/>
            </w:rPr>
            <w:drawing>
              <wp:inline distT="0" distB="0" distL="0" distR="0" wp14:anchorId="635A9508" wp14:editId="25143EC2">
                <wp:extent cx="1085850" cy="876300"/>
                <wp:effectExtent l="0" t="0" r="0" b="0"/>
                <wp:docPr id="5"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876300"/>
                        </a:xfrm>
                        <a:prstGeom prst="rect">
                          <a:avLst/>
                        </a:prstGeom>
                        <a:noFill/>
                        <a:ln>
                          <a:noFill/>
                        </a:ln>
                      </pic:spPr>
                    </pic:pic>
                  </a:graphicData>
                </a:graphic>
              </wp:inline>
            </w:drawing>
          </w:r>
          <w:bookmarkEnd w:id="16"/>
        </w:p>
      </w:tc>
      <w:tc>
        <w:tcPr>
          <w:tcW w:w="3895" w:type="dxa"/>
          <w:shd w:val="clear" w:color="auto" w:fill="FFFFFF"/>
          <w:tcMar>
            <w:right w:w="0" w:type="dxa"/>
          </w:tcMar>
        </w:tcPr>
        <w:p w14:paraId="4F7BE3C8" w14:textId="77777777" w:rsidR="009851A4" w:rsidRPr="00066AB7" w:rsidRDefault="009851A4" w:rsidP="009851A4">
          <w:pPr>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14:anchorId="14B84CB4" wp14:editId="7D636004">
                    <wp:simplePos x="0" y="0"/>
                    <wp:positionH relativeFrom="column">
                      <wp:posOffset>12700</wp:posOffset>
                    </wp:positionH>
                    <wp:positionV relativeFrom="paragraph">
                      <wp:posOffset>342900</wp:posOffset>
                    </wp:positionV>
                    <wp:extent cx="24003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06993C"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tHlEg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SZ6mTymYRu9nCSnugcY6/4HrDoVJiSVojsTktHUepAP0Dgn3KL0RUkaz&#10;pUJ9iRfTyTQGOC0FC4cB5uxhX0mLTiS0S/xCHYDsAWb1UbFI1nLC1re5J0Je54CXKvBBKiDnNrv2&#10;w7dFuljP1/N8lE9m61Ge1vXo/abKR7NN9m5aP9VVVWffg7QsL1rBGFdB3b03s/zvvL+9kmtXDd05&#10;lCF5ZI8pgtj7P4qOXgb7ro2w1+yys6EawVZoxwi+PZ3Q77+uI+rnA1/9AA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Ola0eUS&#10;AgAAKAQAAA4AAAAAAAAAAAAAAAAALgIAAGRycy9lMm9Eb2MueG1sUEsBAi0AFAAGAAgAAAAhABes&#10;0mLbAAAABwEAAA8AAAAAAAAAAAAAAAAAbAQAAGRycy9kb3ducmV2LnhtbFBLBQYAAAAABAAEAPMA&#10;AAB0BQAAAAA=&#10;"/>
                </w:pict>
              </mc:Fallback>
            </mc:AlternateContent>
          </w:r>
        </w:p>
        <w:p w14:paraId="5EDE4D2A" w14:textId="77777777" w:rsidR="009851A4" w:rsidRPr="00066AB7" w:rsidRDefault="009851A4" w:rsidP="009851A4">
          <w:pPr>
            <w:rPr>
              <w:rFonts w:ascii="Arial" w:hAnsi="Arial" w:cs="Arial"/>
            </w:rPr>
          </w:pPr>
          <w:r w:rsidRPr="00066AB7">
            <w:rPr>
              <w:rFonts w:ascii="Arial" w:hAnsi="Arial" w:cs="Arial"/>
            </w:rPr>
            <w:t>International Civil Aviation Organization</w:t>
          </w:r>
        </w:p>
        <w:p w14:paraId="1143387A" w14:textId="77777777" w:rsidR="009851A4" w:rsidRPr="00066AB7" w:rsidRDefault="009851A4" w:rsidP="009851A4">
          <w:pPr>
            <w:rPr>
              <w:rFonts w:ascii="Arial" w:hAnsi="Arial" w:cs="Arial"/>
            </w:rPr>
          </w:pPr>
        </w:p>
        <w:p w14:paraId="5ADA493B" w14:textId="77777777" w:rsidR="009851A4" w:rsidRPr="00066AB7" w:rsidRDefault="009851A4" w:rsidP="009851A4">
          <w:pPr>
            <w:rPr>
              <w:rFonts w:ascii="Arial" w:hAnsi="Arial" w:cs="Arial"/>
              <w:b/>
              <w:sz w:val="24"/>
            </w:rPr>
          </w:pPr>
          <w:r w:rsidRPr="00066AB7">
            <w:rPr>
              <w:rFonts w:ascii="Arial" w:hAnsi="Arial" w:cs="Arial"/>
              <w:b/>
              <w:sz w:val="24"/>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66"/>
          </w:tblGrid>
          <w:tr w:rsidR="009851A4" w14:paraId="7E0411FE" w14:textId="77777777" w:rsidTr="008D7BB5">
            <w:trPr>
              <w:jc w:val="right"/>
            </w:trPr>
            <w:tc>
              <w:tcPr>
                <w:tcW w:w="0" w:type="auto"/>
              </w:tcPr>
              <w:p w14:paraId="03383D05" w14:textId="7914C8B9" w:rsidR="009851A4" w:rsidRPr="00066AB7" w:rsidRDefault="009851A4" w:rsidP="00373594">
                <w:pPr>
                  <w:framePr w:hSpace="180" w:wrap="around" w:vAnchor="text" w:hAnchor="text" w:y="1"/>
                  <w:suppressOverlap/>
                  <w:jc w:val="left"/>
                </w:pPr>
                <w:bookmarkStart w:id="17" w:name="document_no"/>
                <w:r>
                  <w:t>FSMP-WG</w:t>
                </w:r>
                <w:r w:rsidRPr="00066AB7">
                  <w:t>/</w:t>
                </w:r>
                <w:r w:rsidR="00C41DFA">
                  <w:t>1</w:t>
                </w:r>
                <w:r w:rsidR="00275A29">
                  <w:t>1</w:t>
                </w:r>
                <w:r w:rsidR="00C41DFA">
                  <w:t xml:space="preserve"> </w:t>
                </w:r>
                <w:r w:rsidRPr="00066AB7">
                  <w:t>WP/</w:t>
                </w:r>
                <w:bookmarkEnd w:id="17"/>
                <w:r w:rsidR="00223393">
                  <w:t>0</w:t>
                </w:r>
                <w:r w:rsidR="00275A29">
                  <w:t>1</w:t>
                </w:r>
              </w:p>
              <w:p w14:paraId="1F89A177" w14:textId="0B6F5668" w:rsidR="009851A4" w:rsidRPr="00066AB7" w:rsidRDefault="00C41DFA" w:rsidP="00373594">
                <w:pPr>
                  <w:framePr w:hSpace="180" w:wrap="around" w:vAnchor="text" w:hAnchor="text" w:y="1"/>
                  <w:suppressOverlap/>
                  <w:jc w:val="left"/>
                  <w:rPr>
                    <w:b/>
                  </w:rPr>
                </w:pPr>
                <w:bookmarkStart w:id="18" w:name="restricted"/>
                <w:bookmarkStart w:id="19" w:name="addendum_corrigendum_appendix"/>
                <w:bookmarkStart w:id="20" w:name="revision_no"/>
                <w:bookmarkStart w:id="21" w:name="revision_date"/>
                <w:bookmarkStart w:id="22" w:name="related_to"/>
                <w:bookmarkEnd w:id="18"/>
                <w:bookmarkEnd w:id="19"/>
                <w:bookmarkEnd w:id="20"/>
                <w:bookmarkEnd w:id="21"/>
                <w:bookmarkEnd w:id="22"/>
                <w:r>
                  <w:rPr>
                    <w:sz w:val="18"/>
                    <w:szCs w:val="18"/>
                  </w:rPr>
                  <w:t>202</w:t>
                </w:r>
                <w:r w:rsidR="00275A29">
                  <w:rPr>
                    <w:sz w:val="18"/>
                    <w:szCs w:val="18"/>
                  </w:rPr>
                  <w:t>1</w:t>
                </w:r>
                <w:r w:rsidR="009851A4">
                  <w:rPr>
                    <w:sz w:val="18"/>
                    <w:szCs w:val="18"/>
                  </w:rPr>
                  <w:t>-</w:t>
                </w:r>
                <w:r w:rsidR="00275A29">
                  <w:rPr>
                    <w:sz w:val="18"/>
                    <w:szCs w:val="18"/>
                  </w:rPr>
                  <w:t>01</w:t>
                </w:r>
                <w:r w:rsidR="00EE72E2">
                  <w:rPr>
                    <w:sz w:val="18"/>
                    <w:szCs w:val="18"/>
                  </w:rPr>
                  <w:t>-</w:t>
                </w:r>
                <w:bookmarkStart w:id="23" w:name="info_paper"/>
                <w:bookmarkEnd w:id="23"/>
                <w:r w:rsidR="00275A29">
                  <w:rPr>
                    <w:sz w:val="18"/>
                    <w:szCs w:val="18"/>
                  </w:rPr>
                  <w:t>18</w:t>
                </w:r>
                <w:r w:rsidRPr="00066AB7">
                  <w:rPr>
                    <w:b/>
                    <w:sz w:val="18"/>
                    <w:szCs w:val="18"/>
                  </w:rPr>
                  <w:t xml:space="preserve"> </w:t>
                </w:r>
              </w:p>
            </w:tc>
          </w:tr>
          <w:tr w:rsidR="009851A4" w14:paraId="32CCF76E" w14:textId="77777777" w:rsidTr="008D7BB5">
            <w:trPr>
              <w:jc w:val="right"/>
            </w:trPr>
            <w:tc>
              <w:tcPr>
                <w:tcW w:w="0" w:type="auto"/>
              </w:tcPr>
              <w:p w14:paraId="7D334437" w14:textId="77777777" w:rsidR="009851A4" w:rsidRPr="00066AB7" w:rsidRDefault="009851A4" w:rsidP="00373594">
                <w:pPr>
                  <w:framePr w:hSpace="180" w:wrap="around" w:vAnchor="text" w:hAnchor="text" w:y="1"/>
                  <w:suppressOverlap/>
                  <w:jc w:val="left"/>
                </w:pPr>
              </w:p>
            </w:tc>
          </w:tr>
        </w:tbl>
        <w:p w14:paraId="7C3CFDC4" w14:textId="77777777" w:rsidR="009851A4" w:rsidRPr="00066AB7" w:rsidRDefault="009851A4" w:rsidP="009851A4">
          <w:pPr>
            <w:tabs>
              <w:tab w:val="left" w:pos="720"/>
              <w:tab w:val="left" w:pos="1440"/>
              <w:tab w:val="left" w:pos="1800"/>
              <w:tab w:val="left" w:pos="2160"/>
              <w:tab w:val="left" w:pos="2520"/>
              <w:tab w:val="left" w:pos="2880"/>
            </w:tabs>
            <w:ind w:left="4320"/>
            <w:rPr>
              <w:b/>
              <w:sz w:val="18"/>
              <w:szCs w:val="18"/>
            </w:rPr>
          </w:pPr>
        </w:p>
      </w:tc>
    </w:tr>
  </w:tbl>
  <w:p w14:paraId="1744069B" w14:textId="77777777" w:rsidR="009851A4" w:rsidRPr="002D01A4" w:rsidRDefault="009851A4" w:rsidP="009851A4">
    <w:pPr>
      <w:pStyle w:val="Header"/>
    </w:pPr>
  </w:p>
  <w:p w14:paraId="27BE241A" w14:textId="77777777" w:rsidR="002779EA" w:rsidRPr="009851A4" w:rsidRDefault="002779EA" w:rsidP="00985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00B15"/>
    <w:multiLevelType w:val="multilevel"/>
    <w:tmpl w:val="895E55FA"/>
    <w:lvl w:ilvl="0">
      <w:start w:val="1"/>
      <w:numFmt w:val="lowerRoman"/>
      <w:lvlText w:val="%1."/>
      <w:lvlJc w:val="right"/>
      <w:pPr>
        <w:ind w:left="2520" w:hanging="360"/>
      </w:pPr>
      <w:rPr>
        <w:u w:val="none"/>
      </w:rPr>
    </w:lvl>
    <w:lvl w:ilvl="1">
      <w:start w:val="1"/>
      <w:numFmt w:val="lowerRoman"/>
      <w:lvlText w:val="%2)"/>
      <w:lvlJc w:val="right"/>
      <w:pPr>
        <w:ind w:left="3240" w:hanging="360"/>
      </w:pPr>
      <w:rPr>
        <w:u w:val="none"/>
      </w:rPr>
    </w:lvl>
    <w:lvl w:ilvl="2">
      <w:start w:val="1"/>
      <w:numFmt w:val="decimal"/>
      <w:lvlText w:val="%3)"/>
      <w:lvlJc w:val="left"/>
      <w:pPr>
        <w:ind w:left="3960" w:hanging="360"/>
      </w:pPr>
      <w:rPr>
        <w:u w:val="none"/>
      </w:rPr>
    </w:lvl>
    <w:lvl w:ilvl="3">
      <w:start w:val="1"/>
      <w:numFmt w:val="lowerLetter"/>
      <w:lvlText w:val="(%4)"/>
      <w:lvlJc w:val="left"/>
      <w:pPr>
        <w:ind w:left="4680" w:hanging="360"/>
      </w:pPr>
      <w:rPr>
        <w:u w:val="none"/>
      </w:rPr>
    </w:lvl>
    <w:lvl w:ilvl="4">
      <w:start w:val="1"/>
      <w:numFmt w:val="lowerRoman"/>
      <w:lvlText w:val="(%5)"/>
      <w:lvlJc w:val="right"/>
      <w:pPr>
        <w:ind w:left="5400" w:hanging="360"/>
      </w:pPr>
      <w:rPr>
        <w:u w:val="none"/>
      </w:rPr>
    </w:lvl>
    <w:lvl w:ilvl="5">
      <w:start w:val="1"/>
      <w:numFmt w:val="decimal"/>
      <w:lvlText w:val="(%6)"/>
      <w:lvlJc w:val="left"/>
      <w:pPr>
        <w:ind w:left="6120" w:hanging="360"/>
      </w:pPr>
      <w:rPr>
        <w:u w:val="none"/>
      </w:rPr>
    </w:lvl>
    <w:lvl w:ilvl="6">
      <w:start w:val="1"/>
      <w:numFmt w:val="lowerLetter"/>
      <w:lvlText w:val="%7."/>
      <w:lvlJc w:val="left"/>
      <w:pPr>
        <w:ind w:left="6840" w:hanging="360"/>
      </w:pPr>
      <w:rPr>
        <w:u w:val="none"/>
      </w:rPr>
    </w:lvl>
    <w:lvl w:ilvl="7">
      <w:start w:val="1"/>
      <w:numFmt w:val="lowerRoman"/>
      <w:lvlText w:val="%8."/>
      <w:lvlJc w:val="right"/>
      <w:pPr>
        <w:ind w:left="7560" w:hanging="360"/>
      </w:pPr>
      <w:rPr>
        <w:u w:val="none"/>
      </w:rPr>
    </w:lvl>
    <w:lvl w:ilvl="8">
      <w:start w:val="1"/>
      <w:numFmt w:val="decimal"/>
      <w:lvlText w:val="%9."/>
      <w:lvlJc w:val="left"/>
      <w:pPr>
        <w:ind w:left="8280" w:hanging="360"/>
      </w:pPr>
      <w:rPr>
        <w:u w:val="none"/>
      </w:rPr>
    </w:lvl>
  </w:abstractNum>
  <w:abstractNum w:abstractNumId="1" w15:restartNumberingAfterBreak="0">
    <w:nsid w:val="0CFA10A0"/>
    <w:multiLevelType w:val="multilevel"/>
    <w:tmpl w:val="D166C8C8"/>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3"/>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 w15:restartNumberingAfterBreak="0">
    <w:nsid w:val="10B93E05"/>
    <w:multiLevelType w:val="multilevel"/>
    <w:tmpl w:val="526ED07E"/>
    <w:lvl w:ilvl="0">
      <w:start w:val="4"/>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3" w15:restartNumberingAfterBreak="0">
    <w:nsid w:val="12197113"/>
    <w:multiLevelType w:val="hybridMultilevel"/>
    <w:tmpl w:val="6ACA42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5AD48C7"/>
    <w:multiLevelType w:val="multilevel"/>
    <w:tmpl w:val="97BC9874"/>
    <w:lvl w:ilvl="0">
      <w:start w:val="1"/>
      <w:numFmt w:val="decimal"/>
      <w:lvlText w:val="%1."/>
      <w:lvlJc w:val="left"/>
      <w:pPr>
        <w:ind w:left="720" w:hanging="720"/>
      </w:pPr>
      <w:rPr>
        <w:rFonts w:ascii="Times New Roman" w:eastAsia="Times New Roman" w:hAnsi="Times New Roman" w:cs="Times New Roman"/>
        <w:b w:val="0"/>
        <w:i w:val="0"/>
        <w:sz w:val="22"/>
        <w:szCs w:val="22"/>
      </w:rPr>
    </w:lvl>
    <w:lvl w:ilvl="1">
      <w:start w:val="1"/>
      <w:numFmt w:val="decimal"/>
      <w:lvlText w:val="%1.%2"/>
      <w:lvlJc w:val="left"/>
      <w:pPr>
        <w:ind w:left="720" w:hanging="720"/>
      </w:pPr>
      <w:rPr>
        <w:rFonts w:ascii="Times New Roman" w:eastAsia="Times New Roman" w:hAnsi="Times New Roman" w:cs="Times New Roman"/>
        <w:b w:val="0"/>
        <w:i w:val="0"/>
        <w:sz w:val="22"/>
        <w:szCs w:val="22"/>
      </w:rPr>
    </w:lvl>
    <w:lvl w:ilvl="2">
      <w:start w:val="1"/>
      <w:numFmt w:val="lowerLetter"/>
      <w:lvlText w:val="%3."/>
      <w:lvlJc w:val="left"/>
      <w:pPr>
        <w:ind w:left="1440" w:hanging="144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
      <w:lvlJc w:val="left"/>
      <w:pPr>
        <w:ind w:left="0" w:firstLine="0"/>
      </w:pPr>
    </w:lvl>
  </w:abstractNum>
  <w:abstractNum w:abstractNumId="5" w15:restartNumberingAfterBreak="0">
    <w:nsid w:val="174A347C"/>
    <w:multiLevelType w:val="multilevel"/>
    <w:tmpl w:val="58AE7ACA"/>
    <w:lvl w:ilvl="0">
      <w:start w:val="3"/>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6" w15:restartNumberingAfterBreak="0">
    <w:nsid w:val="176B1D8A"/>
    <w:multiLevelType w:val="multilevel"/>
    <w:tmpl w:val="FEF83D94"/>
    <w:lvl w:ilvl="0">
      <w:start w:val="2"/>
      <w:numFmt w:val="decimal"/>
      <w:lvlText w:val="%1."/>
      <w:lvlJc w:val="left"/>
      <w:pPr>
        <w:ind w:left="720" w:hanging="720"/>
      </w:pPr>
      <w:rPr>
        <w:rFonts w:ascii="Times New Roman" w:eastAsia="Times New Roman" w:hAnsi="Times New Roman" w:cs="Times New Roman"/>
        <w:b w:val="0"/>
        <w:i w:val="0"/>
        <w:sz w:val="22"/>
        <w:szCs w:val="22"/>
      </w:rPr>
    </w:lvl>
    <w:lvl w:ilvl="1">
      <w:start w:val="2"/>
      <w:numFmt w:val="decimal"/>
      <w:lvlText w:val="%1.%2"/>
      <w:lvlJc w:val="left"/>
      <w:pPr>
        <w:ind w:left="720" w:hanging="720"/>
      </w:pPr>
      <w:rPr>
        <w:rFonts w:ascii="Times New Roman" w:eastAsia="Times New Roman" w:hAnsi="Times New Roman" w:cs="Times New Roman"/>
        <w:b w:val="0"/>
        <w:i w:val="0"/>
        <w:sz w:val="22"/>
        <w:szCs w:val="22"/>
      </w:rPr>
    </w:lvl>
    <w:lvl w:ilvl="2">
      <w:start w:val="1"/>
      <w:numFmt w:val="lowerLetter"/>
      <w:lvlText w:val="%3."/>
      <w:lvlJc w:val="left"/>
      <w:pPr>
        <w:ind w:left="1440" w:hanging="144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
      <w:lvlJc w:val="left"/>
      <w:pPr>
        <w:ind w:left="0" w:firstLine="0"/>
      </w:pPr>
    </w:lvl>
  </w:abstractNum>
  <w:abstractNum w:abstractNumId="7" w15:restartNumberingAfterBreak="0">
    <w:nsid w:val="185369C4"/>
    <w:multiLevelType w:val="hybridMultilevel"/>
    <w:tmpl w:val="8E909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1E2902"/>
    <w:multiLevelType w:val="hybridMultilevel"/>
    <w:tmpl w:val="D38404BC"/>
    <w:lvl w:ilvl="0" w:tplc="0A5CB4D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B61A16"/>
    <w:multiLevelType w:val="multilevel"/>
    <w:tmpl w:val="D240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D50CE8"/>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1" w15:restartNumberingAfterBreak="0">
    <w:nsid w:val="32A63EDB"/>
    <w:multiLevelType w:val="multilevel"/>
    <w:tmpl w:val="0686A37C"/>
    <w:lvl w:ilvl="0">
      <w:start w:val="4"/>
      <w:numFmt w:val="decimal"/>
      <w:lvlText w:val="%1."/>
      <w:lvlJc w:val="left"/>
      <w:pPr>
        <w:ind w:left="720" w:hanging="720"/>
      </w:pPr>
      <w:rPr>
        <w:rFonts w:ascii="Times New Roman" w:eastAsia="Times New Roman" w:hAnsi="Times New Roman" w:cs="Times New Roman" w:hint="default"/>
        <w:b w:val="0"/>
        <w:i w:val="0"/>
        <w:sz w:val="22"/>
        <w:szCs w:val="22"/>
      </w:rPr>
    </w:lvl>
    <w:lvl w:ilvl="1">
      <w:start w:val="3"/>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2" w15:restartNumberingAfterBreak="0">
    <w:nsid w:val="34E02357"/>
    <w:multiLevelType w:val="multilevel"/>
    <w:tmpl w:val="436CF4C4"/>
    <w:lvl w:ilvl="0">
      <w:start w:val="5"/>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3" w15:restartNumberingAfterBreak="0">
    <w:nsid w:val="36F504B5"/>
    <w:multiLevelType w:val="multilevel"/>
    <w:tmpl w:val="65ECAB8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04B4182"/>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5" w15:restartNumberingAfterBreak="0">
    <w:nsid w:val="42945863"/>
    <w:multiLevelType w:val="multilevel"/>
    <w:tmpl w:val="1D28F560"/>
    <w:lvl w:ilvl="0">
      <w:start w:val="1"/>
      <w:numFmt w:val="lowerLetter"/>
      <w:lvlText w:val="%1)"/>
      <w:lvlJc w:val="left"/>
      <w:pPr>
        <w:ind w:left="1080" w:hanging="360"/>
      </w:pPr>
      <w:rPr>
        <w:sz w:val="24"/>
        <w:szCs w:val="24"/>
      </w:rPr>
    </w:lvl>
    <w:lvl w:ilvl="1">
      <w:start w:val="1"/>
      <w:numFmt w:val="bullet"/>
      <w:lvlText w:val=""/>
      <w:lvlJc w:val="left"/>
      <w:pPr>
        <w:ind w:left="720" w:firstLine="0"/>
      </w:pPr>
    </w:lvl>
    <w:lvl w:ilvl="2">
      <w:start w:val="1"/>
      <w:numFmt w:val="bullet"/>
      <w:lvlText w:val=""/>
      <w:lvlJc w:val="left"/>
      <w:pPr>
        <w:ind w:left="720" w:firstLine="0"/>
      </w:pPr>
    </w:lvl>
    <w:lvl w:ilvl="3">
      <w:start w:val="1"/>
      <w:numFmt w:val="bullet"/>
      <w:lvlText w:val=""/>
      <w:lvlJc w:val="left"/>
      <w:pPr>
        <w:ind w:left="720" w:firstLine="0"/>
      </w:pPr>
    </w:lvl>
    <w:lvl w:ilvl="4">
      <w:start w:val="1"/>
      <w:numFmt w:val="bullet"/>
      <w:lvlText w:val=""/>
      <w:lvlJc w:val="left"/>
      <w:pPr>
        <w:ind w:left="720" w:firstLine="0"/>
      </w:pPr>
    </w:lvl>
    <w:lvl w:ilvl="5">
      <w:start w:val="1"/>
      <w:numFmt w:val="bullet"/>
      <w:lvlText w:val=""/>
      <w:lvlJc w:val="left"/>
      <w:pPr>
        <w:ind w:left="720" w:firstLine="0"/>
      </w:pPr>
    </w:lvl>
    <w:lvl w:ilvl="6">
      <w:start w:val="1"/>
      <w:numFmt w:val="bullet"/>
      <w:lvlText w:val=""/>
      <w:lvlJc w:val="left"/>
      <w:pPr>
        <w:ind w:left="720" w:firstLine="0"/>
      </w:pPr>
    </w:lvl>
    <w:lvl w:ilvl="7">
      <w:start w:val="1"/>
      <w:numFmt w:val="bullet"/>
      <w:lvlText w:val=""/>
      <w:lvlJc w:val="left"/>
      <w:pPr>
        <w:ind w:left="720" w:firstLine="0"/>
      </w:pPr>
    </w:lvl>
    <w:lvl w:ilvl="8">
      <w:start w:val="1"/>
      <w:numFmt w:val="bullet"/>
      <w:lvlText w:val=""/>
      <w:lvlJc w:val="left"/>
      <w:pPr>
        <w:ind w:left="720" w:firstLine="0"/>
      </w:pPr>
    </w:lvl>
  </w:abstractNum>
  <w:abstractNum w:abstractNumId="16" w15:restartNumberingAfterBreak="0">
    <w:nsid w:val="478A3779"/>
    <w:multiLevelType w:val="hybridMultilevel"/>
    <w:tmpl w:val="CC3EE1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3D66E38"/>
    <w:multiLevelType w:val="multilevel"/>
    <w:tmpl w:val="AC6C3CD2"/>
    <w:lvl w:ilvl="0">
      <w:start w:val="5"/>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8" w15:restartNumberingAfterBreak="0">
    <w:nsid w:val="5CE9276B"/>
    <w:multiLevelType w:val="hybridMultilevel"/>
    <w:tmpl w:val="F412F1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17E76BF"/>
    <w:multiLevelType w:val="multilevel"/>
    <w:tmpl w:val="D166C8C8"/>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3"/>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0" w15:restartNumberingAfterBreak="0">
    <w:nsid w:val="657329E9"/>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1" w15:restartNumberingAfterBreak="0">
    <w:nsid w:val="66B870D4"/>
    <w:multiLevelType w:val="multilevel"/>
    <w:tmpl w:val="972C1DF0"/>
    <w:lvl w:ilvl="0">
      <w:start w:val="4"/>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2" w15:restartNumberingAfterBreak="0">
    <w:nsid w:val="73962223"/>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3" w15:restartNumberingAfterBreak="0">
    <w:nsid w:val="75063826"/>
    <w:multiLevelType w:val="multilevel"/>
    <w:tmpl w:val="A8E610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760D34A8"/>
    <w:multiLevelType w:val="multilevel"/>
    <w:tmpl w:val="A2BEEDFC"/>
    <w:lvl w:ilvl="0">
      <w:start w:val="1"/>
      <w:numFmt w:val="lowerLetter"/>
      <w:lvlText w:val="%1)"/>
      <w:lvlJc w:val="left"/>
      <w:pPr>
        <w:ind w:left="1080" w:hanging="360"/>
      </w:pPr>
      <w:rPr>
        <w:sz w:val="24"/>
        <w:szCs w:val="24"/>
      </w:rPr>
    </w:lvl>
    <w:lvl w:ilvl="1">
      <w:start w:val="1"/>
      <w:numFmt w:val="bullet"/>
      <w:lvlText w:val=""/>
      <w:lvlJc w:val="left"/>
      <w:pPr>
        <w:ind w:left="720" w:firstLine="0"/>
      </w:pPr>
    </w:lvl>
    <w:lvl w:ilvl="2">
      <w:start w:val="1"/>
      <w:numFmt w:val="bullet"/>
      <w:lvlText w:val=""/>
      <w:lvlJc w:val="left"/>
      <w:pPr>
        <w:ind w:left="720" w:firstLine="0"/>
      </w:pPr>
    </w:lvl>
    <w:lvl w:ilvl="3">
      <w:start w:val="1"/>
      <w:numFmt w:val="bullet"/>
      <w:lvlText w:val=""/>
      <w:lvlJc w:val="left"/>
      <w:pPr>
        <w:ind w:left="720" w:firstLine="0"/>
      </w:pPr>
    </w:lvl>
    <w:lvl w:ilvl="4">
      <w:start w:val="1"/>
      <w:numFmt w:val="bullet"/>
      <w:lvlText w:val=""/>
      <w:lvlJc w:val="left"/>
      <w:pPr>
        <w:ind w:left="720" w:firstLine="0"/>
      </w:pPr>
    </w:lvl>
    <w:lvl w:ilvl="5">
      <w:start w:val="1"/>
      <w:numFmt w:val="bullet"/>
      <w:lvlText w:val=""/>
      <w:lvlJc w:val="left"/>
      <w:pPr>
        <w:ind w:left="720" w:firstLine="0"/>
      </w:pPr>
    </w:lvl>
    <w:lvl w:ilvl="6">
      <w:start w:val="1"/>
      <w:numFmt w:val="bullet"/>
      <w:lvlText w:val=""/>
      <w:lvlJc w:val="left"/>
      <w:pPr>
        <w:ind w:left="720" w:firstLine="0"/>
      </w:pPr>
    </w:lvl>
    <w:lvl w:ilvl="7">
      <w:start w:val="1"/>
      <w:numFmt w:val="bullet"/>
      <w:lvlText w:val=""/>
      <w:lvlJc w:val="left"/>
      <w:pPr>
        <w:ind w:left="720" w:firstLine="0"/>
      </w:pPr>
    </w:lvl>
    <w:lvl w:ilvl="8">
      <w:start w:val="1"/>
      <w:numFmt w:val="bullet"/>
      <w:lvlText w:val=""/>
      <w:lvlJc w:val="left"/>
      <w:pPr>
        <w:ind w:left="720" w:firstLine="0"/>
      </w:pPr>
    </w:lvl>
  </w:abstractNum>
  <w:num w:numId="1">
    <w:abstractNumId w:val="24"/>
  </w:num>
  <w:num w:numId="2">
    <w:abstractNumId w:val="15"/>
  </w:num>
  <w:num w:numId="3">
    <w:abstractNumId w:val="0"/>
  </w:num>
  <w:num w:numId="4">
    <w:abstractNumId w:val="19"/>
  </w:num>
  <w:num w:numId="5">
    <w:abstractNumId w:val="6"/>
  </w:num>
  <w:num w:numId="6">
    <w:abstractNumId w:val="23"/>
  </w:num>
  <w:num w:numId="7">
    <w:abstractNumId w:val="4"/>
  </w:num>
  <w:num w:numId="8">
    <w:abstractNumId w:val="18"/>
  </w:num>
  <w:num w:numId="9">
    <w:abstractNumId w:val="22"/>
  </w:num>
  <w:num w:numId="10">
    <w:abstractNumId w:val="1"/>
  </w:num>
  <w:num w:numId="11">
    <w:abstractNumId w:val="7"/>
  </w:num>
  <w:num w:numId="12">
    <w:abstractNumId w:val="8"/>
  </w:num>
  <w:num w:numId="13">
    <w:abstractNumId w:val="11"/>
  </w:num>
  <w:num w:numId="14">
    <w:abstractNumId w:val="16"/>
  </w:num>
  <w:num w:numId="15">
    <w:abstractNumId w:val="20"/>
  </w:num>
  <w:num w:numId="16">
    <w:abstractNumId w:val="10"/>
  </w:num>
  <w:num w:numId="17">
    <w:abstractNumId w:val="14"/>
  </w:num>
  <w:num w:numId="18">
    <w:abstractNumId w:val="17"/>
  </w:num>
  <w:num w:numId="19">
    <w:abstractNumId w:val="21"/>
  </w:num>
  <w:num w:numId="20">
    <w:abstractNumId w:val="2"/>
  </w:num>
  <w:num w:numId="21">
    <w:abstractNumId w:val="12"/>
  </w:num>
  <w:num w:numId="22">
    <w:abstractNumId w:val="5"/>
  </w:num>
  <w:num w:numId="23">
    <w:abstractNumId w:val="13"/>
  </w:num>
  <w:num w:numId="24">
    <w:abstractNumId w:val="9"/>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removePersonalInformation/>
  <w:removeDateAndTime/>
  <w:proofState w:spelling="clean"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9EA"/>
    <w:rsid w:val="00000DAA"/>
    <w:rsid w:val="00004E1A"/>
    <w:rsid w:val="00007A82"/>
    <w:rsid w:val="00023B48"/>
    <w:rsid w:val="0003325B"/>
    <w:rsid w:val="00034424"/>
    <w:rsid w:val="0004720A"/>
    <w:rsid w:val="000472BB"/>
    <w:rsid w:val="0005010F"/>
    <w:rsid w:val="0006085D"/>
    <w:rsid w:val="000660CD"/>
    <w:rsid w:val="000679C2"/>
    <w:rsid w:val="00080EAD"/>
    <w:rsid w:val="000834E7"/>
    <w:rsid w:val="000A1045"/>
    <w:rsid w:val="000A2BCF"/>
    <w:rsid w:val="000A31B8"/>
    <w:rsid w:val="000A5779"/>
    <w:rsid w:val="000A6523"/>
    <w:rsid w:val="000A71DE"/>
    <w:rsid w:val="000C2BB0"/>
    <w:rsid w:val="000C53D9"/>
    <w:rsid w:val="000C7BB6"/>
    <w:rsid w:val="000D5160"/>
    <w:rsid w:val="000D713E"/>
    <w:rsid w:val="000E6469"/>
    <w:rsid w:val="000E6761"/>
    <w:rsid w:val="000E757B"/>
    <w:rsid w:val="000F6312"/>
    <w:rsid w:val="0010073F"/>
    <w:rsid w:val="0010432A"/>
    <w:rsid w:val="0010759A"/>
    <w:rsid w:val="0011513D"/>
    <w:rsid w:val="00122ABD"/>
    <w:rsid w:val="00123D96"/>
    <w:rsid w:val="00124484"/>
    <w:rsid w:val="001405AA"/>
    <w:rsid w:val="001429CD"/>
    <w:rsid w:val="00147B9B"/>
    <w:rsid w:val="001545A4"/>
    <w:rsid w:val="00157771"/>
    <w:rsid w:val="00157B77"/>
    <w:rsid w:val="001611A6"/>
    <w:rsid w:val="00161D89"/>
    <w:rsid w:val="0016539F"/>
    <w:rsid w:val="00172ED1"/>
    <w:rsid w:val="00187BA4"/>
    <w:rsid w:val="00193602"/>
    <w:rsid w:val="001A2D26"/>
    <w:rsid w:val="001C41EF"/>
    <w:rsid w:val="001C721E"/>
    <w:rsid w:val="001E2302"/>
    <w:rsid w:val="001E2F65"/>
    <w:rsid w:val="001E57D7"/>
    <w:rsid w:val="001E6577"/>
    <w:rsid w:val="001F4CC8"/>
    <w:rsid w:val="001F69AA"/>
    <w:rsid w:val="002037A3"/>
    <w:rsid w:val="0020711F"/>
    <w:rsid w:val="00216484"/>
    <w:rsid w:val="00220E09"/>
    <w:rsid w:val="00223393"/>
    <w:rsid w:val="00230DAF"/>
    <w:rsid w:val="00231533"/>
    <w:rsid w:val="0023767D"/>
    <w:rsid w:val="00241AE1"/>
    <w:rsid w:val="00256168"/>
    <w:rsid w:val="002633EF"/>
    <w:rsid w:val="00265569"/>
    <w:rsid w:val="002658FD"/>
    <w:rsid w:val="002726FD"/>
    <w:rsid w:val="00275885"/>
    <w:rsid w:val="00275A29"/>
    <w:rsid w:val="002774B3"/>
    <w:rsid w:val="002779EA"/>
    <w:rsid w:val="0028634A"/>
    <w:rsid w:val="0029192F"/>
    <w:rsid w:val="00296A17"/>
    <w:rsid w:val="002A1EEB"/>
    <w:rsid w:val="002A7AE4"/>
    <w:rsid w:val="002B10A6"/>
    <w:rsid w:val="002B6613"/>
    <w:rsid w:val="002B723E"/>
    <w:rsid w:val="002E099E"/>
    <w:rsid w:val="00306A0C"/>
    <w:rsid w:val="00314639"/>
    <w:rsid w:val="00323348"/>
    <w:rsid w:val="00324EE5"/>
    <w:rsid w:val="00328718"/>
    <w:rsid w:val="0033130E"/>
    <w:rsid w:val="0033360B"/>
    <w:rsid w:val="00333A96"/>
    <w:rsid w:val="00343CAC"/>
    <w:rsid w:val="0035250B"/>
    <w:rsid w:val="00353F36"/>
    <w:rsid w:val="00354AFE"/>
    <w:rsid w:val="00371C5F"/>
    <w:rsid w:val="00373594"/>
    <w:rsid w:val="00377D67"/>
    <w:rsid w:val="003805D9"/>
    <w:rsid w:val="003839E3"/>
    <w:rsid w:val="00397FBA"/>
    <w:rsid w:val="003B0895"/>
    <w:rsid w:val="003B14B6"/>
    <w:rsid w:val="003B2015"/>
    <w:rsid w:val="003B3CF5"/>
    <w:rsid w:val="003B63CA"/>
    <w:rsid w:val="003C6044"/>
    <w:rsid w:val="003C681C"/>
    <w:rsid w:val="003C7834"/>
    <w:rsid w:val="003D01F7"/>
    <w:rsid w:val="003E12C4"/>
    <w:rsid w:val="003E28F7"/>
    <w:rsid w:val="003E6632"/>
    <w:rsid w:val="003F1E1C"/>
    <w:rsid w:val="003F7BC8"/>
    <w:rsid w:val="00402840"/>
    <w:rsid w:val="004041BA"/>
    <w:rsid w:val="00405063"/>
    <w:rsid w:val="0041092A"/>
    <w:rsid w:val="004357C4"/>
    <w:rsid w:val="00435945"/>
    <w:rsid w:val="00444530"/>
    <w:rsid w:val="00444C52"/>
    <w:rsid w:val="004465D3"/>
    <w:rsid w:val="00453196"/>
    <w:rsid w:val="00475E16"/>
    <w:rsid w:val="00483A78"/>
    <w:rsid w:val="00496CA6"/>
    <w:rsid w:val="004B2ADA"/>
    <w:rsid w:val="004C7F3F"/>
    <w:rsid w:val="004D2515"/>
    <w:rsid w:val="004D2E3A"/>
    <w:rsid w:val="004D3619"/>
    <w:rsid w:val="004E59DD"/>
    <w:rsid w:val="004E7DA1"/>
    <w:rsid w:val="004F052D"/>
    <w:rsid w:val="004F0C1D"/>
    <w:rsid w:val="004F0CA2"/>
    <w:rsid w:val="004F6055"/>
    <w:rsid w:val="005039D9"/>
    <w:rsid w:val="005178F9"/>
    <w:rsid w:val="00530F59"/>
    <w:rsid w:val="005318C0"/>
    <w:rsid w:val="00532404"/>
    <w:rsid w:val="00535141"/>
    <w:rsid w:val="005364D1"/>
    <w:rsid w:val="00537F50"/>
    <w:rsid w:val="0054433A"/>
    <w:rsid w:val="00553FBB"/>
    <w:rsid w:val="00555838"/>
    <w:rsid w:val="0055770F"/>
    <w:rsid w:val="005654A9"/>
    <w:rsid w:val="00567283"/>
    <w:rsid w:val="00570985"/>
    <w:rsid w:val="005711A5"/>
    <w:rsid w:val="00585DFF"/>
    <w:rsid w:val="0059049B"/>
    <w:rsid w:val="005A0D6E"/>
    <w:rsid w:val="005A0DCF"/>
    <w:rsid w:val="005A45E1"/>
    <w:rsid w:val="005B1D10"/>
    <w:rsid w:val="005C0F00"/>
    <w:rsid w:val="005C391D"/>
    <w:rsid w:val="005C55E4"/>
    <w:rsid w:val="005D6DC2"/>
    <w:rsid w:val="005E7881"/>
    <w:rsid w:val="005F685D"/>
    <w:rsid w:val="00612E76"/>
    <w:rsid w:val="00615659"/>
    <w:rsid w:val="00625D96"/>
    <w:rsid w:val="006342E4"/>
    <w:rsid w:val="0064519E"/>
    <w:rsid w:val="00653145"/>
    <w:rsid w:val="00656333"/>
    <w:rsid w:val="00660B51"/>
    <w:rsid w:val="00660DCC"/>
    <w:rsid w:val="006634B1"/>
    <w:rsid w:val="006828EF"/>
    <w:rsid w:val="006A2675"/>
    <w:rsid w:val="006B1A1A"/>
    <w:rsid w:val="006B3671"/>
    <w:rsid w:val="006C169F"/>
    <w:rsid w:val="006C548A"/>
    <w:rsid w:val="006C7201"/>
    <w:rsid w:val="006C7253"/>
    <w:rsid w:val="006D5CE2"/>
    <w:rsid w:val="006E6DE7"/>
    <w:rsid w:val="006E7463"/>
    <w:rsid w:val="006F0D09"/>
    <w:rsid w:val="006F1C75"/>
    <w:rsid w:val="0070111E"/>
    <w:rsid w:val="00701CBF"/>
    <w:rsid w:val="007070D3"/>
    <w:rsid w:val="00722303"/>
    <w:rsid w:val="00722418"/>
    <w:rsid w:val="007267CA"/>
    <w:rsid w:val="00740778"/>
    <w:rsid w:val="00740F7F"/>
    <w:rsid w:val="0074384E"/>
    <w:rsid w:val="00743E8B"/>
    <w:rsid w:val="00745973"/>
    <w:rsid w:val="00747E70"/>
    <w:rsid w:val="00754760"/>
    <w:rsid w:val="00756FAC"/>
    <w:rsid w:val="00757682"/>
    <w:rsid w:val="00770A1C"/>
    <w:rsid w:val="00777B3D"/>
    <w:rsid w:val="00787EF2"/>
    <w:rsid w:val="00794997"/>
    <w:rsid w:val="007A03E5"/>
    <w:rsid w:val="007A62DB"/>
    <w:rsid w:val="007B0B81"/>
    <w:rsid w:val="007B2955"/>
    <w:rsid w:val="007B5A77"/>
    <w:rsid w:val="007B7610"/>
    <w:rsid w:val="007D3959"/>
    <w:rsid w:val="007E7079"/>
    <w:rsid w:val="007F43E7"/>
    <w:rsid w:val="007F6562"/>
    <w:rsid w:val="008036D7"/>
    <w:rsid w:val="00803C59"/>
    <w:rsid w:val="0080619C"/>
    <w:rsid w:val="00835B8A"/>
    <w:rsid w:val="008465B8"/>
    <w:rsid w:val="0085086E"/>
    <w:rsid w:val="00873E6A"/>
    <w:rsid w:val="0088122B"/>
    <w:rsid w:val="00886191"/>
    <w:rsid w:val="008B17E8"/>
    <w:rsid w:val="008B534B"/>
    <w:rsid w:val="008C0731"/>
    <w:rsid w:val="008C189D"/>
    <w:rsid w:val="008C5CA3"/>
    <w:rsid w:val="008C7AEA"/>
    <w:rsid w:val="008D1AEE"/>
    <w:rsid w:val="008F454A"/>
    <w:rsid w:val="008F56D1"/>
    <w:rsid w:val="008F57DE"/>
    <w:rsid w:val="0090063F"/>
    <w:rsid w:val="009015CC"/>
    <w:rsid w:val="00903FA2"/>
    <w:rsid w:val="00914BB3"/>
    <w:rsid w:val="009162C1"/>
    <w:rsid w:val="00924DCE"/>
    <w:rsid w:val="0092758A"/>
    <w:rsid w:val="009418C5"/>
    <w:rsid w:val="009456EC"/>
    <w:rsid w:val="00954DB2"/>
    <w:rsid w:val="009557C4"/>
    <w:rsid w:val="00974973"/>
    <w:rsid w:val="009769FF"/>
    <w:rsid w:val="0098221E"/>
    <w:rsid w:val="00984CA7"/>
    <w:rsid w:val="009851A4"/>
    <w:rsid w:val="00991E69"/>
    <w:rsid w:val="0099394E"/>
    <w:rsid w:val="009B4B75"/>
    <w:rsid w:val="009D1D2A"/>
    <w:rsid w:val="009D710A"/>
    <w:rsid w:val="009E4A05"/>
    <w:rsid w:val="009E6FA0"/>
    <w:rsid w:val="009F0404"/>
    <w:rsid w:val="009F18ED"/>
    <w:rsid w:val="00A0403F"/>
    <w:rsid w:val="00A2546C"/>
    <w:rsid w:val="00A27939"/>
    <w:rsid w:val="00A30E2D"/>
    <w:rsid w:val="00A326BC"/>
    <w:rsid w:val="00A35292"/>
    <w:rsid w:val="00A35ABA"/>
    <w:rsid w:val="00A454E6"/>
    <w:rsid w:val="00A52525"/>
    <w:rsid w:val="00A55504"/>
    <w:rsid w:val="00A608C6"/>
    <w:rsid w:val="00A6324B"/>
    <w:rsid w:val="00A85EB8"/>
    <w:rsid w:val="00A870C3"/>
    <w:rsid w:val="00A90FB2"/>
    <w:rsid w:val="00A945BD"/>
    <w:rsid w:val="00A94774"/>
    <w:rsid w:val="00A94FC9"/>
    <w:rsid w:val="00AA3069"/>
    <w:rsid w:val="00AA3644"/>
    <w:rsid w:val="00AA58F2"/>
    <w:rsid w:val="00AB19DD"/>
    <w:rsid w:val="00AB29CB"/>
    <w:rsid w:val="00AB390A"/>
    <w:rsid w:val="00AB44F9"/>
    <w:rsid w:val="00AC166F"/>
    <w:rsid w:val="00AC4657"/>
    <w:rsid w:val="00AC571B"/>
    <w:rsid w:val="00AD2184"/>
    <w:rsid w:val="00AD37E8"/>
    <w:rsid w:val="00AE46DA"/>
    <w:rsid w:val="00AE7967"/>
    <w:rsid w:val="00AF4F51"/>
    <w:rsid w:val="00B036E5"/>
    <w:rsid w:val="00B03F1C"/>
    <w:rsid w:val="00B10702"/>
    <w:rsid w:val="00B1248B"/>
    <w:rsid w:val="00B23BE2"/>
    <w:rsid w:val="00B30978"/>
    <w:rsid w:val="00B339E8"/>
    <w:rsid w:val="00B41657"/>
    <w:rsid w:val="00B4221B"/>
    <w:rsid w:val="00B43AA4"/>
    <w:rsid w:val="00B447C2"/>
    <w:rsid w:val="00B52679"/>
    <w:rsid w:val="00B540F9"/>
    <w:rsid w:val="00B57A74"/>
    <w:rsid w:val="00B636B2"/>
    <w:rsid w:val="00B63F2F"/>
    <w:rsid w:val="00B64268"/>
    <w:rsid w:val="00B64FCE"/>
    <w:rsid w:val="00B67D2E"/>
    <w:rsid w:val="00B72E66"/>
    <w:rsid w:val="00B73BC3"/>
    <w:rsid w:val="00B74CC5"/>
    <w:rsid w:val="00B77CA0"/>
    <w:rsid w:val="00B859BA"/>
    <w:rsid w:val="00B90B07"/>
    <w:rsid w:val="00B917D5"/>
    <w:rsid w:val="00B93485"/>
    <w:rsid w:val="00BA07A5"/>
    <w:rsid w:val="00BA0DC6"/>
    <w:rsid w:val="00BA665A"/>
    <w:rsid w:val="00BA68B4"/>
    <w:rsid w:val="00BB05A3"/>
    <w:rsid w:val="00BD1947"/>
    <w:rsid w:val="00BD6305"/>
    <w:rsid w:val="00BE7587"/>
    <w:rsid w:val="00BE7C72"/>
    <w:rsid w:val="00BF1031"/>
    <w:rsid w:val="00BF5787"/>
    <w:rsid w:val="00BF616C"/>
    <w:rsid w:val="00C02F87"/>
    <w:rsid w:val="00C05CB6"/>
    <w:rsid w:val="00C12DFE"/>
    <w:rsid w:val="00C1430C"/>
    <w:rsid w:val="00C14DB0"/>
    <w:rsid w:val="00C16E2D"/>
    <w:rsid w:val="00C26488"/>
    <w:rsid w:val="00C269BD"/>
    <w:rsid w:val="00C30111"/>
    <w:rsid w:val="00C33FB8"/>
    <w:rsid w:val="00C417A3"/>
    <w:rsid w:val="00C41DFA"/>
    <w:rsid w:val="00C42D47"/>
    <w:rsid w:val="00C579D4"/>
    <w:rsid w:val="00C713DD"/>
    <w:rsid w:val="00C760D7"/>
    <w:rsid w:val="00C80FE8"/>
    <w:rsid w:val="00C821C9"/>
    <w:rsid w:val="00C97368"/>
    <w:rsid w:val="00CA17FD"/>
    <w:rsid w:val="00CA5765"/>
    <w:rsid w:val="00CA7942"/>
    <w:rsid w:val="00CB06A1"/>
    <w:rsid w:val="00CB4460"/>
    <w:rsid w:val="00CB7BC6"/>
    <w:rsid w:val="00CC083E"/>
    <w:rsid w:val="00CC0966"/>
    <w:rsid w:val="00CC24B9"/>
    <w:rsid w:val="00CC4530"/>
    <w:rsid w:val="00CD1D46"/>
    <w:rsid w:val="00CD7485"/>
    <w:rsid w:val="00CF224B"/>
    <w:rsid w:val="00CF552E"/>
    <w:rsid w:val="00D042A4"/>
    <w:rsid w:val="00D07401"/>
    <w:rsid w:val="00D11899"/>
    <w:rsid w:val="00D1446B"/>
    <w:rsid w:val="00D160E0"/>
    <w:rsid w:val="00D17C95"/>
    <w:rsid w:val="00D218D9"/>
    <w:rsid w:val="00D3310D"/>
    <w:rsid w:val="00D33461"/>
    <w:rsid w:val="00D410FE"/>
    <w:rsid w:val="00D43C0D"/>
    <w:rsid w:val="00D550D7"/>
    <w:rsid w:val="00D63871"/>
    <w:rsid w:val="00D721E4"/>
    <w:rsid w:val="00D7673B"/>
    <w:rsid w:val="00D87B4D"/>
    <w:rsid w:val="00D9084C"/>
    <w:rsid w:val="00DA150E"/>
    <w:rsid w:val="00DA2FF0"/>
    <w:rsid w:val="00DA4895"/>
    <w:rsid w:val="00DB518B"/>
    <w:rsid w:val="00DC77A7"/>
    <w:rsid w:val="00DC7E9B"/>
    <w:rsid w:val="00DD0CBE"/>
    <w:rsid w:val="00DD4090"/>
    <w:rsid w:val="00DE3A85"/>
    <w:rsid w:val="00DE6416"/>
    <w:rsid w:val="00DF1C04"/>
    <w:rsid w:val="00DF6197"/>
    <w:rsid w:val="00E159E3"/>
    <w:rsid w:val="00E2252E"/>
    <w:rsid w:val="00E253B1"/>
    <w:rsid w:val="00E33F01"/>
    <w:rsid w:val="00E432EC"/>
    <w:rsid w:val="00E44B04"/>
    <w:rsid w:val="00E500CB"/>
    <w:rsid w:val="00E510E0"/>
    <w:rsid w:val="00E511EF"/>
    <w:rsid w:val="00E571BE"/>
    <w:rsid w:val="00E74B9B"/>
    <w:rsid w:val="00E833FE"/>
    <w:rsid w:val="00E84892"/>
    <w:rsid w:val="00E91AC3"/>
    <w:rsid w:val="00EA31F4"/>
    <w:rsid w:val="00EA7D21"/>
    <w:rsid w:val="00EB0C92"/>
    <w:rsid w:val="00EB4CFE"/>
    <w:rsid w:val="00EB5E1D"/>
    <w:rsid w:val="00EC0D9E"/>
    <w:rsid w:val="00EC24BC"/>
    <w:rsid w:val="00EC4471"/>
    <w:rsid w:val="00ED3ACE"/>
    <w:rsid w:val="00EE2FC2"/>
    <w:rsid w:val="00EE5547"/>
    <w:rsid w:val="00EE5784"/>
    <w:rsid w:val="00EE72E2"/>
    <w:rsid w:val="00EF6583"/>
    <w:rsid w:val="00F0516C"/>
    <w:rsid w:val="00F05476"/>
    <w:rsid w:val="00F06851"/>
    <w:rsid w:val="00F1231E"/>
    <w:rsid w:val="00F7219F"/>
    <w:rsid w:val="00F845E9"/>
    <w:rsid w:val="00F964F7"/>
    <w:rsid w:val="00FA0267"/>
    <w:rsid w:val="00FA21C0"/>
    <w:rsid w:val="00FB1643"/>
    <w:rsid w:val="00FC2DA6"/>
    <w:rsid w:val="00FC5AC9"/>
    <w:rsid w:val="00FD6EE3"/>
    <w:rsid w:val="00FF26CE"/>
    <w:rsid w:val="00FF401E"/>
    <w:rsid w:val="00FF5F5A"/>
    <w:rsid w:val="05308FFF"/>
    <w:rsid w:val="0A29EF77"/>
    <w:rsid w:val="0D8737AD"/>
    <w:rsid w:val="2271A1D7"/>
    <w:rsid w:val="39BA5C6C"/>
    <w:rsid w:val="418DF8AB"/>
    <w:rsid w:val="4855DEA9"/>
    <w:rsid w:val="4CC7C1AD"/>
    <w:rsid w:val="4D644D43"/>
    <w:rsid w:val="4F4A815B"/>
    <w:rsid w:val="51BFE7F9"/>
    <w:rsid w:val="63252A80"/>
    <w:rsid w:val="72BB1E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347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en-US"/>
    </w:rPr>
  </w:style>
  <w:style w:type="paragraph" w:styleId="Heading1">
    <w:name w:val="heading 1"/>
    <w:basedOn w:val="Normal"/>
    <w:next w:val="Normal"/>
    <w:pPr>
      <w:keepNext/>
      <w:jc w:val="center"/>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CB7BC6"/>
    <w:rPr>
      <w:rFonts w:ascii="Tahoma" w:hAnsi="Tahoma" w:cs="Tahoma"/>
      <w:sz w:val="16"/>
      <w:szCs w:val="16"/>
    </w:rPr>
  </w:style>
  <w:style w:type="character" w:customStyle="1" w:styleId="BalloonTextChar">
    <w:name w:val="Balloon Text Char"/>
    <w:basedOn w:val="DefaultParagraphFont"/>
    <w:link w:val="BalloonText"/>
    <w:uiPriority w:val="99"/>
    <w:semiHidden/>
    <w:rsid w:val="00CB7BC6"/>
    <w:rPr>
      <w:rFonts w:ascii="Tahoma" w:hAnsi="Tahoma" w:cs="Tahoma"/>
      <w:sz w:val="16"/>
      <w:szCs w:val="16"/>
    </w:rPr>
  </w:style>
  <w:style w:type="paragraph" w:styleId="Footer">
    <w:name w:val="footer"/>
    <w:basedOn w:val="Normal"/>
    <w:link w:val="FooterChar"/>
    <w:uiPriority w:val="99"/>
    <w:unhideWhenUsed/>
    <w:rsid w:val="009851A4"/>
    <w:pPr>
      <w:tabs>
        <w:tab w:val="center" w:pos="4680"/>
        <w:tab w:val="right" w:pos="9360"/>
      </w:tabs>
    </w:pPr>
  </w:style>
  <w:style w:type="character" w:customStyle="1" w:styleId="FooterChar">
    <w:name w:val="Footer Char"/>
    <w:basedOn w:val="DefaultParagraphFont"/>
    <w:link w:val="Footer"/>
    <w:uiPriority w:val="99"/>
    <w:rsid w:val="009851A4"/>
  </w:style>
  <w:style w:type="paragraph" w:styleId="Header">
    <w:name w:val="header"/>
    <w:basedOn w:val="Normal"/>
    <w:link w:val="HeaderChar"/>
    <w:unhideWhenUsed/>
    <w:rsid w:val="009851A4"/>
    <w:pPr>
      <w:tabs>
        <w:tab w:val="center" w:pos="4680"/>
        <w:tab w:val="right" w:pos="9360"/>
      </w:tabs>
    </w:pPr>
  </w:style>
  <w:style w:type="character" w:customStyle="1" w:styleId="HeaderChar">
    <w:name w:val="Header Char"/>
    <w:basedOn w:val="DefaultParagraphFont"/>
    <w:link w:val="Header"/>
    <w:rsid w:val="009851A4"/>
  </w:style>
  <w:style w:type="paragraph" w:styleId="ListParagraph">
    <w:name w:val="List Paragraph"/>
    <w:basedOn w:val="Normal"/>
    <w:uiPriority w:val="34"/>
    <w:qFormat/>
    <w:rsid w:val="00754760"/>
    <w:pPr>
      <w:ind w:left="720"/>
      <w:contextualSpacing/>
    </w:pPr>
    <w:rPr>
      <w:szCs w:val="20"/>
    </w:rPr>
  </w:style>
  <w:style w:type="character" w:styleId="CommentReference">
    <w:name w:val="annotation reference"/>
    <w:basedOn w:val="DefaultParagraphFont"/>
    <w:uiPriority w:val="99"/>
    <w:semiHidden/>
    <w:unhideWhenUsed/>
    <w:rsid w:val="001F4CC8"/>
    <w:rPr>
      <w:sz w:val="16"/>
      <w:szCs w:val="16"/>
    </w:rPr>
  </w:style>
  <w:style w:type="paragraph" w:styleId="CommentText">
    <w:name w:val="annotation text"/>
    <w:basedOn w:val="Normal"/>
    <w:link w:val="CommentTextChar"/>
    <w:uiPriority w:val="99"/>
    <w:semiHidden/>
    <w:unhideWhenUsed/>
    <w:rsid w:val="001F4CC8"/>
    <w:rPr>
      <w:sz w:val="20"/>
      <w:szCs w:val="20"/>
    </w:rPr>
  </w:style>
  <w:style w:type="character" w:customStyle="1" w:styleId="CommentTextChar">
    <w:name w:val="Comment Text Char"/>
    <w:basedOn w:val="DefaultParagraphFont"/>
    <w:link w:val="CommentText"/>
    <w:uiPriority w:val="99"/>
    <w:semiHidden/>
    <w:rsid w:val="001F4CC8"/>
    <w:rPr>
      <w:sz w:val="20"/>
      <w:szCs w:val="20"/>
    </w:rPr>
  </w:style>
  <w:style w:type="paragraph" w:styleId="CommentSubject">
    <w:name w:val="annotation subject"/>
    <w:basedOn w:val="CommentText"/>
    <w:next w:val="CommentText"/>
    <w:link w:val="CommentSubjectChar"/>
    <w:uiPriority w:val="99"/>
    <w:semiHidden/>
    <w:unhideWhenUsed/>
    <w:rsid w:val="001F4CC8"/>
    <w:rPr>
      <w:b/>
      <w:bCs/>
    </w:rPr>
  </w:style>
  <w:style w:type="character" w:customStyle="1" w:styleId="CommentSubjectChar">
    <w:name w:val="Comment Subject Char"/>
    <w:basedOn w:val="CommentTextChar"/>
    <w:link w:val="CommentSubject"/>
    <w:uiPriority w:val="99"/>
    <w:semiHidden/>
    <w:rsid w:val="001F4CC8"/>
    <w:rPr>
      <w:b/>
      <w:bCs/>
      <w:sz w:val="20"/>
      <w:szCs w:val="20"/>
    </w:rPr>
  </w:style>
  <w:style w:type="character" w:styleId="Hyperlink">
    <w:name w:val="Hyperlink"/>
    <w:basedOn w:val="DefaultParagraphFont"/>
    <w:unhideWhenUsed/>
    <w:rsid w:val="00A608C6"/>
    <w:rPr>
      <w:color w:val="0000FF" w:themeColor="hyperlink"/>
      <w:u w:val="single"/>
    </w:rPr>
  </w:style>
  <w:style w:type="paragraph" w:styleId="Revision">
    <w:name w:val="Revision"/>
    <w:hidden/>
    <w:uiPriority w:val="99"/>
    <w:semiHidden/>
    <w:rsid w:val="00743E8B"/>
    <w:pPr>
      <w:jc w:val="left"/>
    </w:pPr>
    <w:rPr>
      <w:lang w:val="en-US"/>
    </w:rPr>
  </w:style>
  <w:style w:type="paragraph" w:styleId="Caption">
    <w:name w:val="caption"/>
    <w:basedOn w:val="Normal"/>
    <w:next w:val="Normal"/>
    <w:uiPriority w:val="35"/>
    <w:unhideWhenUsed/>
    <w:qFormat/>
    <w:rsid w:val="007B7610"/>
    <w:pPr>
      <w:spacing w:after="200"/>
    </w:pPr>
    <w:rPr>
      <w:i/>
      <w:iCs/>
      <w:color w:val="1F497D" w:themeColor="text2"/>
      <w:sz w:val="18"/>
      <w:szCs w:val="18"/>
    </w:rPr>
  </w:style>
  <w:style w:type="paragraph" w:styleId="FootnoteText">
    <w:name w:val="footnote text"/>
    <w:basedOn w:val="Normal"/>
    <w:link w:val="FootnoteTextChar"/>
    <w:uiPriority w:val="99"/>
    <w:semiHidden/>
    <w:unhideWhenUsed/>
    <w:rsid w:val="00A85EB8"/>
    <w:rPr>
      <w:sz w:val="20"/>
      <w:szCs w:val="20"/>
    </w:rPr>
  </w:style>
  <w:style w:type="character" w:customStyle="1" w:styleId="FootnoteTextChar">
    <w:name w:val="Footnote Text Char"/>
    <w:basedOn w:val="DefaultParagraphFont"/>
    <w:link w:val="FootnoteText"/>
    <w:uiPriority w:val="99"/>
    <w:semiHidden/>
    <w:rsid w:val="00A85EB8"/>
    <w:rPr>
      <w:sz w:val="20"/>
      <w:szCs w:val="20"/>
      <w:lang w:val="en-US"/>
    </w:rPr>
  </w:style>
  <w:style w:type="character" w:styleId="FootnoteReference">
    <w:name w:val="footnote reference"/>
    <w:basedOn w:val="DefaultParagraphFont"/>
    <w:uiPriority w:val="99"/>
    <w:semiHidden/>
    <w:unhideWhenUsed/>
    <w:rsid w:val="00A85EB8"/>
    <w:rPr>
      <w:vertAlign w:val="superscript"/>
    </w:rPr>
  </w:style>
  <w:style w:type="character" w:customStyle="1" w:styleId="normaltextrun">
    <w:name w:val="normaltextrun"/>
    <w:basedOn w:val="DefaultParagraphFont"/>
    <w:rsid w:val="00435945"/>
  </w:style>
  <w:style w:type="character" w:customStyle="1" w:styleId="eop">
    <w:name w:val="eop"/>
    <w:basedOn w:val="DefaultParagraphFont"/>
    <w:rsid w:val="00435945"/>
  </w:style>
  <w:style w:type="table" w:styleId="TableGrid">
    <w:name w:val="Table Grid"/>
    <w:basedOn w:val="TableNormal"/>
    <w:rsid w:val="0020711F"/>
    <w:pPr>
      <w:jc w:val="left"/>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itle">
    <w:name w:val="Main title"/>
    <w:basedOn w:val="Normal"/>
    <w:rsid w:val="009E6FA0"/>
    <w:pPr>
      <w:ind w:left="1080" w:right="1080"/>
      <w:jc w:val="center"/>
    </w:pPr>
    <w:rPr>
      <w:b/>
      <w:snapToGrid w:val="0"/>
      <w:szCs w:val="20"/>
      <w:lang w:val="en-GB"/>
    </w:rPr>
  </w:style>
  <w:style w:type="paragraph" w:customStyle="1" w:styleId="Source">
    <w:name w:val="Source"/>
    <w:basedOn w:val="Normal"/>
    <w:next w:val="Normal"/>
    <w:rsid w:val="009E6FA0"/>
    <w:pPr>
      <w:tabs>
        <w:tab w:val="left" w:pos="1134"/>
        <w:tab w:val="left" w:pos="1871"/>
        <w:tab w:val="left" w:pos="2268"/>
      </w:tabs>
      <w:overflowPunct w:val="0"/>
      <w:autoSpaceDE w:val="0"/>
      <w:autoSpaceDN w:val="0"/>
      <w:adjustRightInd w:val="0"/>
      <w:spacing w:before="840"/>
      <w:jc w:val="center"/>
      <w:textAlignment w:val="baseline"/>
    </w:pPr>
    <w:rPr>
      <w:b/>
      <w:sz w:val="28"/>
      <w:szCs w:val="20"/>
      <w:lang w:val="en-GB"/>
    </w:rPr>
  </w:style>
  <w:style w:type="paragraph" w:customStyle="1" w:styleId="Title1">
    <w:name w:val="Title 1"/>
    <w:basedOn w:val="Source"/>
    <w:next w:val="Normal"/>
    <w:rsid w:val="009E6FA0"/>
    <w:pPr>
      <w:tabs>
        <w:tab w:val="left" w:pos="567"/>
        <w:tab w:val="left" w:pos="1701"/>
        <w:tab w:val="left" w:pos="2835"/>
      </w:tabs>
      <w:spacing w:before="240"/>
    </w:pPr>
    <w:rPr>
      <w:b w:val="0"/>
      <w:caps/>
    </w:rPr>
  </w:style>
  <w:style w:type="table" w:customStyle="1" w:styleId="Grilledutableau1">
    <w:name w:val="Grille du tableau1"/>
    <w:basedOn w:val="TableNormal"/>
    <w:next w:val="TableGrid"/>
    <w:rsid w:val="009E6FA0"/>
    <w:pPr>
      <w:jc w:val="left"/>
    </w:pPr>
    <w:rPr>
      <w:rFonts w:ascii="CG Times" w:hAnsi="CG Times"/>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
    <w:name w:val="enumlev1"/>
    <w:basedOn w:val="Normal"/>
    <w:rsid w:val="00612E76"/>
    <w:pPr>
      <w:tabs>
        <w:tab w:val="left" w:pos="1134"/>
        <w:tab w:val="left" w:pos="1871"/>
        <w:tab w:val="left" w:pos="2608"/>
        <w:tab w:val="left" w:pos="3345"/>
      </w:tabs>
      <w:overflowPunct w:val="0"/>
      <w:autoSpaceDE w:val="0"/>
      <w:autoSpaceDN w:val="0"/>
      <w:adjustRightInd w:val="0"/>
      <w:spacing w:before="80"/>
      <w:ind w:left="1134" w:hanging="1134"/>
      <w:jc w:val="left"/>
      <w:textAlignment w:val="baseline"/>
    </w:pPr>
    <w:rPr>
      <w:sz w:val="24"/>
      <w:szCs w:val="20"/>
      <w:lang w:val="en-GB"/>
    </w:rPr>
  </w:style>
  <w:style w:type="paragraph" w:customStyle="1" w:styleId="Title4">
    <w:name w:val="Title 4"/>
    <w:basedOn w:val="Normal"/>
    <w:next w:val="Heading1"/>
    <w:rsid w:val="00612E76"/>
    <w:pPr>
      <w:tabs>
        <w:tab w:val="left" w:pos="1134"/>
        <w:tab w:val="left" w:pos="1871"/>
        <w:tab w:val="left" w:pos="2268"/>
      </w:tabs>
      <w:spacing w:before="240"/>
      <w:jc w:val="center"/>
    </w:pPr>
    <w:rPr>
      <w:b/>
      <w:sz w:val="2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361883">
      <w:bodyDiv w:val="1"/>
      <w:marLeft w:val="0"/>
      <w:marRight w:val="0"/>
      <w:marTop w:val="0"/>
      <w:marBottom w:val="0"/>
      <w:divBdr>
        <w:top w:val="none" w:sz="0" w:space="0" w:color="auto"/>
        <w:left w:val="none" w:sz="0" w:space="0" w:color="auto"/>
        <w:bottom w:val="none" w:sz="0" w:space="0" w:color="auto"/>
        <w:right w:val="none" w:sz="0" w:space="0" w:color="auto"/>
      </w:divBdr>
      <w:divsChild>
        <w:div w:id="1781340495">
          <w:marLeft w:val="0"/>
          <w:marRight w:val="0"/>
          <w:marTop w:val="0"/>
          <w:marBottom w:val="0"/>
          <w:divBdr>
            <w:top w:val="none" w:sz="0" w:space="0" w:color="auto"/>
            <w:left w:val="none" w:sz="0" w:space="0" w:color="auto"/>
            <w:bottom w:val="none" w:sz="0" w:space="0" w:color="auto"/>
            <w:right w:val="none" w:sz="0" w:space="0" w:color="auto"/>
          </w:divBdr>
        </w:div>
        <w:div w:id="1888179884">
          <w:marLeft w:val="0"/>
          <w:marRight w:val="0"/>
          <w:marTop w:val="0"/>
          <w:marBottom w:val="0"/>
          <w:divBdr>
            <w:top w:val="none" w:sz="0" w:space="0" w:color="auto"/>
            <w:left w:val="none" w:sz="0" w:space="0" w:color="auto"/>
            <w:bottom w:val="none" w:sz="0" w:space="0" w:color="auto"/>
            <w:right w:val="none" w:sz="0" w:space="0" w:color="auto"/>
          </w:divBdr>
        </w:div>
        <w:div w:id="957685655">
          <w:marLeft w:val="0"/>
          <w:marRight w:val="0"/>
          <w:marTop w:val="0"/>
          <w:marBottom w:val="0"/>
          <w:divBdr>
            <w:top w:val="none" w:sz="0" w:space="0" w:color="auto"/>
            <w:left w:val="none" w:sz="0" w:space="0" w:color="auto"/>
            <w:bottom w:val="none" w:sz="0" w:space="0" w:color="auto"/>
            <w:right w:val="none" w:sz="0" w:space="0" w:color="auto"/>
          </w:divBdr>
        </w:div>
        <w:div w:id="1947541255">
          <w:marLeft w:val="0"/>
          <w:marRight w:val="0"/>
          <w:marTop w:val="0"/>
          <w:marBottom w:val="0"/>
          <w:divBdr>
            <w:top w:val="none" w:sz="0" w:space="0" w:color="auto"/>
            <w:left w:val="none" w:sz="0" w:space="0" w:color="auto"/>
            <w:bottom w:val="none" w:sz="0" w:space="0" w:color="auto"/>
            <w:right w:val="none" w:sz="0" w:space="0" w:color="auto"/>
          </w:divBdr>
        </w:div>
        <w:div w:id="1447768448">
          <w:marLeft w:val="0"/>
          <w:marRight w:val="0"/>
          <w:marTop w:val="0"/>
          <w:marBottom w:val="0"/>
          <w:divBdr>
            <w:top w:val="none" w:sz="0" w:space="0" w:color="auto"/>
            <w:left w:val="none" w:sz="0" w:space="0" w:color="auto"/>
            <w:bottom w:val="none" w:sz="0" w:space="0" w:color="auto"/>
            <w:right w:val="none" w:sz="0" w:space="0" w:color="auto"/>
          </w:divBdr>
        </w:div>
      </w:divsChild>
    </w:div>
    <w:div w:id="479806424">
      <w:bodyDiv w:val="1"/>
      <w:marLeft w:val="0"/>
      <w:marRight w:val="0"/>
      <w:marTop w:val="0"/>
      <w:marBottom w:val="0"/>
      <w:divBdr>
        <w:top w:val="none" w:sz="0" w:space="0" w:color="auto"/>
        <w:left w:val="none" w:sz="0" w:space="0" w:color="auto"/>
        <w:bottom w:val="none" w:sz="0" w:space="0" w:color="auto"/>
        <w:right w:val="none" w:sz="0" w:space="0" w:color="auto"/>
      </w:divBdr>
    </w:div>
    <w:div w:id="2109613911">
      <w:bodyDiv w:val="1"/>
      <w:marLeft w:val="0"/>
      <w:marRight w:val="0"/>
      <w:marTop w:val="0"/>
      <w:marBottom w:val="0"/>
      <w:divBdr>
        <w:top w:val="none" w:sz="0" w:space="0" w:color="auto"/>
        <w:left w:val="none" w:sz="0" w:space="0" w:color="auto"/>
        <w:bottom w:val="none" w:sz="0" w:space="0" w:color="auto"/>
        <w:right w:val="none" w:sz="0" w:space="0" w:color="auto"/>
      </w:divBdr>
      <w:divsChild>
        <w:div w:id="1447967180">
          <w:marLeft w:val="0"/>
          <w:marRight w:val="0"/>
          <w:marTop w:val="0"/>
          <w:marBottom w:val="0"/>
          <w:divBdr>
            <w:top w:val="none" w:sz="0" w:space="0" w:color="auto"/>
            <w:left w:val="none" w:sz="0" w:space="0" w:color="auto"/>
            <w:bottom w:val="none" w:sz="0" w:space="0" w:color="auto"/>
            <w:right w:val="none" w:sz="0" w:space="0" w:color="auto"/>
          </w:divBdr>
        </w:div>
        <w:div w:id="1839228482">
          <w:marLeft w:val="0"/>
          <w:marRight w:val="0"/>
          <w:marTop w:val="0"/>
          <w:marBottom w:val="0"/>
          <w:divBdr>
            <w:top w:val="none" w:sz="0" w:space="0" w:color="auto"/>
            <w:left w:val="none" w:sz="0" w:space="0" w:color="auto"/>
            <w:bottom w:val="none" w:sz="0" w:space="0" w:color="auto"/>
            <w:right w:val="none" w:sz="0" w:space="0" w:color="auto"/>
          </w:divBdr>
        </w:div>
        <w:div w:id="246502904">
          <w:marLeft w:val="0"/>
          <w:marRight w:val="0"/>
          <w:marTop w:val="0"/>
          <w:marBottom w:val="0"/>
          <w:divBdr>
            <w:top w:val="none" w:sz="0" w:space="0" w:color="auto"/>
            <w:left w:val="none" w:sz="0" w:space="0" w:color="auto"/>
            <w:bottom w:val="none" w:sz="0" w:space="0" w:color="auto"/>
            <w:right w:val="none" w:sz="0" w:space="0" w:color="auto"/>
          </w:divBdr>
        </w:div>
        <w:div w:id="936862926">
          <w:marLeft w:val="0"/>
          <w:marRight w:val="0"/>
          <w:marTop w:val="0"/>
          <w:marBottom w:val="0"/>
          <w:divBdr>
            <w:top w:val="none" w:sz="0" w:space="0" w:color="auto"/>
            <w:left w:val="none" w:sz="0" w:space="0" w:color="auto"/>
            <w:bottom w:val="none" w:sz="0" w:space="0" w:color="auto"/>
            <w:right w:val="none" w:sz="0" w:space="0" w:color="auto"/>
          </w:divBdr>
        </w:div>
        <w:div w:id="136146969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itu.int/dms_pub/itu-r/opb/hdb/R-HDB-32-1998-PDF-E.pdf" TargetMode="External"/><Relationship Id="rId18" Type="http://schemas.openxmlformats.org/officeDocument/2006/relationships/image" Target="media/image3.png"/><Relationship Id="rId26" Type="http://schemas.openxmlformats.org/officeDocument/2006/relationships/hyperlink" Target="https://www.itu.int/rec/R-REC-P.534/en" TargetMode="External"/><Relationship Id="rId3" Type="http://schemas.openxmlformats.org/officeDocument/2006/relationships/customXml" Target="../customXml/item3.xml"/><Relationship Id="rId21" Type="http://schemas.openxmlformats.org/officeDocument/2006/relationships/hyperlink" Target="https://www.itu.int/rec/R-REC-P.525/en" TargetMode="External"/><Relationship Id="rId7" Type="http://schemas.openxmlformats.org/officeDocument/2006/relationships/settings" Target="settings.xml"/><Relationship Id="rId12" Type="http://schemas.openxmlformats.org/officeDocument/2006/relationships/hyperlink" Target="https://www.itu.int/md/R19-WP3L-C-0025/en" TargetMode="External"/><Relationship Id="rId17" Type="http://schemas.openxmlformats.org/officeDocument/2006/relationships/image" Target="media/image2.png"/><Relationship Id="rId25" Type="http://schemas.openxmlformats.org/officeDocument/2006/relationships/hyperlink" Target="https://www.itu.int/rec/R-REC-P.533-14-201908-I/e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ben.witvliet@agentschaptelecom.nl" TargetMode="External"/><Relationship Id="rId20" Type="http://schemas.openxmlformats.org/officeDocument/2006/relationships/image" Target="media/image5.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tu.int/rec/R-REC-P.371/en"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anavitsas@petrobras.com.br" TargetMode="External"/><Relationship Id="rId23" Type="http://schemas.openxmlformats.org/officeDocument/2006/relationships/hyperlink" Target="https://www.itu.int/rec/R-REC-P.533-14-201908-I/en" TargetMode="External"/><Relationship Id="rId28" Type="http://schemas.openxmlformats.org/officeDocument/2006/relationships/hyperlink" Target="https://www.itu.int/rec/R-REC-F.1487-0-200005-I/en" TargetMode="Externa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dms_pub/itu-r/opb/hdb/R-HDB-59-2014-PDF-E.pdf" TargetMode="External"/><Relationship Id="rId22" Type="http://schemas.openxmlformats.org/officeDocument/2006/relationships/hyperlink" Target="https://www.itu.int/rec/R-REC-P.368/en" TargetMode="External"/><Relationship Id="rId27" Type="http://schemas.openxmlformats.org/officeDocument/2006/relationships/hyperlink" Target="https://www.itu.int/rec/R-REC-P.372-14-201908-I/en" TargetMode="External"/><Relationship Id="rId30" Type="http://schemas.openxmlformats.org/officeDocument/2006/relationships/header" Target="header2.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DCF37-DE07-41C3-9909-77AEFC7931C4}">
  <ds:schemaRefs>
    <ds:schemaRef ds:uri="http://schemas.microsoft.com/sharepoint/v3/contenttype/forms"/>
  </ds:schemaRefs>
</ds:datastoreItem>
</file>

<file path=customXml/itemProps2.xml><?xml version="1.0" encoding="utf-8"?>
<ds:datastoreItem xmlns:ds="http://schemas.openxmlformats.org/officeDocument/2006/customXml" ds:itemID="{6D449DCD-56B0-4331-B18E-B305131E2D58}"/>
</file>

<file path=customXml/itemProps3.xml><?xml version="1.0" encoding="utf-8"?>
<ds:datastoreItem xmlns:ds="http://schemas.openxmlformats.org/officeDocument/2006/customXml" ds:itemID="{6CE11DC2-3BD6-47F5-B44D-E277AECAE6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42CA85-8C1B-4D69-99B9-6EBE89843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1742</Words>
  <Characters>9930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2020-08-07T12:05:00Z</dcterms:created>
  <dcterms:modified xsi:type="dcterms:W3CDTF">2021-01-18T20:52:00Z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