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0FA26" w14:textId="77777777" w:rsidR="00C62653" w:rsidRPr="00E24F70" w:rsidRDefault="001449D6" w:rsidP="001449D6">
      <w:pPr>
        <w:jc w:val="center"/>
        <w:rPr>
          <w:rFonts w:cs="Times New Roman"/>
          <w:b/>
        </w:rPr>
      </w:pPr>
      <w:r w:rsidRPr="00E24F70">
        <w:rPr>
          <w:rFonts w:cs="Times New Roman"/>
          <w:b/>
        </w:rPr>
        <w:t>FREQUENCY SPECTRUM MAN</w:t>
      </w:r>
      <w:r w:rsidR="005A13D7" w:rsidRPr="00E24F70">
        <w:rPr>
          <w:rFonts w:cs="Times New Roman"/>
          <w:b/>
        </w:rPr>
        <w:t>AGEMENT</w:t>
      </w:r>
      <w:r w:rsidRPr="00E24F70">
        <w:rPr>
          <w:rFonts w:cs="Times New Roman"/>
          <w:b/>
        </w:rPr>
        <w:t xml:space="preserve"> PANEL (FS</w:t>
      </w:r>
      <w:r w:rsidR="00C62653" w:rsidRPr="00E24F70">
        <w:rPr>
          <w:rFonts w:cs="Times New Roman"/>
          <w:b/>
        </w:rPr>
        <w:t>MP)</w:t>
      </w:r>
    </w:p>
    <w:p w14:paraId="67293195" w14:textId="77777777" w:rsidR="0071789F" w:rsidRPr="00E24F70" w:rsidRDefault="0071789F" w:rsidP="0071789F">
      <w:pPr>
        <w:tabs>
          <w:tab w:val="left" w:pos="6972"/>
        </w:tabs>
        <w:jc w:val="center"/>
        <w:rPr>
          <w:rFonts w:cs="Times New Roman"/>
          <w:b/>
        </w:rPr>
      </w:pPr>
    </w:p>
    <w:p w14:paraId="5644584D" w14:textId="590B90E2" w:rsidR="00E301F6" w:rsidRPr="00E24F70" w:rsidRDefault="005F37BD" w:rsidP="00E301F6">
      <w:pPr>
        <w:pStyle w:val="Maintitle"/>
        <w:rPr>
          <w:rFonts w:cs="Times New Roman"/>
        </w:rPr>
      </w:pPr>
      <w:r w:rsidRPr="00E24F70">
        <w:rPr>
          <w:rFonts w:cs="Times New Roman"/>
        </w:rPr>
        <w:t>Eleventh</w:t>
      </w:r>
      <w:r w:rsidR="00E301F6" w:rsidRPr="00E24F70">
        <w:rPr>
          <w:rFonts w:cs="Times New Roman"/>
        </w:rPr>
        <w:t xml:space="preserve"> Working Group meeting</w:t>
      </w:r>
    </w:p>
    <w:p w14:paraId="16FC772A" w14:textId="77777777" w:rsidR="00E301F6" w:rsidRPr="00E24F70" w:rsidRDefault="00E301F6" w:rsidP="00C0214B">
      <w:pPr>
        <w:jc w:val="center"/>
        <w:rPr>
          <w:rFonts w:cs="Times New Roman"/>
        </w:rPr>
      </w:pPr>
    </w:p>
    <w:p w14:paraId="4378786F" w14:textId="1285B6BE" w:rsidR="00770160" w:rsidRPr="00E24F70" w:rsidRDefault="00E24F70" w:rsidP="00C0214B">
      <w:pPr>
        <w:tabs>
          <w:tab w:val="left" w:pos="0"/>
          <w:tab w:val="left" w:pos="1570"/>
          <w:tab w:val="left" w:pos="1857"/>
        </w:tabs>
        <w:jc w:val="center"/>
        <w:rPr>
          <w:rFonts w:cs="Times New Roman"/>
          <w:b/>
          <w:bCs/>
          <w:color w:val="000000"/>
        </w:rPr>
      </w:pPr>
      <w:bookmarkStart w:id="0" w:name="agenda_item"/>
      <w:bookmarkEnd w:id="0"/>
      <w:r w:rsidRPr="00E24F70">
        <w:rPr>
          <w:rFonts w:cs="Times New Roman"/>
          <w:b/>
          <w:bCs/>
          <w:color w:val="000000"/>
        </w:rPr>
        <w:t>Web</w:t>
      </w:r>
      <w:r w:rsidR="00C0214B" w:rsidRPr="00E24F70">
        <w:rPr>
          <w:rFonts w:cs="Times New Roman"/>
          <w:b/>
          <w:bCs/>
          <w:color w:val="000000"/>
        </w:rPr>
        <w:t xml:space="preserve"> Meeting, 1 - 12 March 2021</w:t>
      </w:r>
    </w:p>
    <w:p w14:paraId="3EC1396E" w14:textId="77777777" w:rsidR="00E24F70" w:rsidRPr="00E24F70" w:rsidRDefault="00E24F70" w:rsidP="00C0214B">
      <w:pPr>
        <w:tabs>
          <w:tab w:val="left" w:pos="0"/>
          <w:tab w:val="left" w:pos="1570"/>
          <w:tab w:val="left" w:pos="1857"/>
        </w:tabs>
        <w:jc w:val="center"/>
        <w:rPr>
          <w:rFonts w:cs="Times New Roman"/>
        </w:rPr>
      </w:pPr>
    </w:p>
    <w:p w14:paraId="6C191F0F" w14:textId="485359AC" w:rsidR="00E24F70" w:rsidRPr="00E24F70" w:rsidRDefault="00770160" w:rsidP="009A7E78">
      <w:pPr>
        <w:pStyle w:val="Agendaitemtitle"/>
        <w:rPr>
          <w:rFonts w:eastAsia="Calibri" w:cs="Times New Roman"/>
          <w:b w:val="0"/>
          <w:bCs/>
        </w:rPr>
      </w:pPr>
      <w:r w:rsidRPr="00E24F70">
        <w:rPr>
          <w:rFonts w:cs="Times New Roman"/>
        </w:rPr>
        <w:t>Agenda Item </w:t>
      </w:r>
      <w:r w:rsidR="009A7E78">
        <w:rPr>
          <w:rFonts w:cs="Times New Roman"/>
        </w:rPr>
        <w:t>10</w:t>
      </w:r>
      <w:r w:rsidRPr="00E24F70">
        <w:rPr>
          <w:rFonts w:cs="Times New Roman"/>
        </w:rPr>
        <w:t>:</w:t>
      </w:r>
      <w:r w:rsidR="00E24F70" w:rsidRPr="00E24F70">
        <w:rPr>
          <w:rFonts w:cs="Times New Roman"/>
        </w:rPr>
        <w:t xml:space="preserve">              </w:t>
      </w:r>
      <w:r w:rsidR="009A7E78">
        <w:rPr>
          <w:rFonts w:eastAsia="Calibri" w:cs="Times New Roman"/>
          <w:b w:val="0"/>
          <w:bCs/>
        </w:rPr>
        <w:t>Any Other Business</w:t>
      </w:r>
    </w:p>
    <w:p w14:paraId="604051BD" w14:textId="77777777" w:rsidR="00E24F70" w:rsidRPr="00E24F70" w:rsidRDefault="00E24F70">
      <w:pPr>
        <w:pStyle w:val="Agendaitemtitle"/>
        <w:rPr>
          <w:rFonts w:cs="Times New Roman"/>
        </w:rPr>
      </w:pPr>
    </w:p>
    <w:p w14:paraId="1E8CBB4B" w14:textId="77777777" w:rsidR="00E24F70" w:rsidRPr="00E24F70" w:rsidRDefault="00E24F70">
      <w:pPr>
        <w:pStyle w:val="Agendaitemtitle"/>
        <w:rPr>
          <w:rFonts w:cs="Times New Roman"/>
          <w:b w:val="0"/>
        </w:rPr>
      </w:pPr>
    </w:p>
    <w:p w14:paraId="08800C82" w14:textId="77777777" w:rsidR="00770160" w:rsidRPr="00E24F70" w:rsidRDefault="00770160">
      <w:pPr>
        <w:tabs>
          <w:tab w:val="left" w:pos="6972"/>
        </w:tabs>
        <w:rPr>
          <w:rFonts w:cs="Times New Roman"/>
          <w:b/>
        </w:rPr>
      </w:pPr>
    </w:p>
    <w:p w14:paraId="336C8D1A" w14:textId="36829B25" w:rsidR="00770160" w:rsidRPr="00E24F70" w:rsidRDefault="00E24F70" w:rsidP="00E24F70">
      <w:pPr>
        <w:pStyle w:val="Maintitle"/>
        <w:ind w:left="0"/>
        <w:rPr>
          <w:rFonts w:cs="Times New Roman"/>
        </w:rPr>
      </w:pPr>
      <w:r w:rsidRPr="00E24F70">
        <w:rPr>
          <w:rFonts w:cs="Times New Roman"/>
        </w:rPr>
        <w:t xml:space="preserve">Title: </w:t>
      </w:r>
      <w:r w:rsidR="00365A2A" w:rsidRPr="00E24F70">
        <w:rPr>
          <w:rFonts w:cs="Times New Roman"/>
        </w:rPr>
        <w:t xml:space="preserve">UPDATE ON </w:t>
      </w:r>
      <w:r w:rsidR="00E940B5" w:rsidRPr="00E24F70">
        <w:rPr>
          <w:rFonts w:cs="Times New Roman"/>
        </w:rPr>
        <w:t>THE USE OF ULTRA-WIDEBAND SYSTEMS IN INDIA</w:t>
      </w:r>
    </w:p>
    <w:p w14:paraId="666DE8EC" w14:textId="77777777" w:rsidR="00770160" w:rsidRPr="00E24F70" w:rsidRDefault="00770160">
      <w:pPr>
        <w:tabs>
          <w:tab w:val="left" w:pos="6972"/>
        </w:tabs>
        <w:rPr>
          <w:rFonts w:cs="Times New Roman"/>
        </w:rPr>
      </w:pPr>
    </w:p>
    <w:p w14:paraId="218D94B5" w14:textId="77777777" w:rsidR="00770160" w:rsidRPr="00E24F70" w:rsidRDefault="00770160">
      <w:pPr>
        <w:tabs>
          <w:tab w:val="left" w:pos="6972"/>
        </w:tabs>
        <w:rPr>
          <w:rFonts w:cs="Times New Roman"/>
        </w:rPr>
      </w:pPr>
    </w:p>
    <w:p w14:paraId="4F8E979B" w14:textId="34788086" w:rsidR="00770160" w:rsidRPr="00E24F70" w:rsidRDefault="00770160">
      <w:pPr>
        <w:jc w:val="center"/>
        <w:rPr>
          <w:rFonts w:cs="Times New Roman"/>
        </w:rPr>
      </w:pPr>
      <w:r w:rsidRPr="00E24F70">
        <w:rPr>
          <w:rFonts w:cs="Times New Roman"/>
        </w:rPr>
        <w:t>(Presented by</w:t>
      </w:r>
      <w:bookmarkStart w:id="1" w:name="presented_by"/>
      <w:bookmarkEnd w:id="1"/>
      <w:r w:rsidRPr="00E24F70">
        <w:rPr>
          <w:rFonts w:cs="Times New Roman"/>
        </w:rPr>
        <w:t xml:space="preserve"> </w:t>
      </w:r>
      <w:r w:rsidR="00F531BD" w:rsidRPr="00E24F70">
        <w:rPr>
          <w:rFonts w:cs="Times New Roman"/>
        </w:rPr>
        <w:t>Airports Authority of India</w:t>
      </w:r>
      <w:r w:rsidRPr="00E24F70">
        <w:rPr>
          <w:rFonts w:cs="Times New Roman"/>
        </w:rPr>
        <w:t>)</w:t>
      </w:r>
    </w:p>
    <w:p w14:paraId="2C5AE376" w14:textId="77777777" w:rsidR="00770160" w:rsidRPr="00E24F70" w:rsidRDefault="00770160">
      <w:pPr>
        <w:rPr>
          <w:rFonts w:cs="Times New Roman"/>
        </w:rPr>
      </w:pPr>
    </w:p>
    <w:p w14:paraId="35D4EAA7" w14:textId="77777777" w:rsidR="00770160" w:rsidRPr="00E24F70" w:rsidRDefault="00770160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E24F70" w14:paraId="209AB7B7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443AD8C4" w14:textId="77777777" w:rsidR="00770160" w:rsidRPr="00E24F70" w:rsidRDefault="00770160">
            <w:pPr>
              <w:jc w:val="center"/>
              <w:rPr>
                <w:rFonts w:cs="Times New Roman"/>
              </w:rPr>
            </w:pPr>
            <w:r w:rsidRPr="00E24F70">
              <w:rPr>
                <w:rFonts w:cs="Times New Roman"/>
                <w:b/>
              </w:rPr>
              <w:t>SUMMARY</w:t>
            </w:r>
          </w:p>
        </w:tc>
      </w:tr>
      <w:tr w:rsidR="005F6476" w:rsidRPr="00E24F70" w14:paraId="48AE7DC8" w14:textId="77777777" w:rsidTr="00C163D6">
        <w:trPr>
          <w:cantSplit/>
          <w:jc w:val="center"/>
        </w:trPr>
        <w:tc>
          <w:tcPr>
            <w:tcW w:w="7200" w:type="dxa"/>
            <w:vAlign w:val="center"/>
          </w:tcPr>
          <w:p w14:paraId="6A869928" w14:textId="43A59307" w:rsidR="005F6476" w:rsidRPr="00E24F70" w:rsidRDefault="005F6476" w:rsidP="005F6476">
            <w:pPr>
              <w:jc w:val="both"/>
              <w:rPr>
                <w:rFonts w:cs="Times New Roman"/>
              </w:rPr>
            </w:pPr>
          </w:p>
        </w:tc>
      </w:tr>
      <w:tr w:rsidR="005F6476" w:rsidRPr="00E24F70" w14:paraId="0FA713A2" w14:textId="77777777" w:rsidTr="00C163D6">
        <w:trPr>
          <w:cantSplit/>
          <w:jc w:val="center"/>
        </w:trPr>
        <w:tc>
          <w:tcPr>
            <w:tcW w:w="7200" w:type="dxa"/>
          </w:tcPr>
          <w:p w14:paraId="4A5A9230" w14:textId="3A3BB381" w:rsidR="005F6476" w:rsidRPr="00E24F70" w:rsidRDefault="005F6476" w:rsidP="00F75278">
            <w:pPr>
              <w:jc w:val="both"/>
              <w:rPr>
                <w:rFonts w:cs="Times New Roman"/>
                <w:b/>
              </w:rPr>
            </w:pPr>
            <w:r w:rsidRPr="00E24F70">
              <w:rPr>
                <w:rFonts w:cs="Times New Roman"/>
              </w:rPr>
              <w:t>This paper informs the FSMP o</w:t>
            </w:r>
            <w:r w:rsidR="00F75278" w:rsidRPr="00E24F70">
              <w:rPr>
                <w:rFonts w:cs="Times New Roman"/>
              </w:rPr>
              <w:t xml:space="preserve">n the use of </w:t>
            </w:r>
            <w:proofErr w:type="spellStart"/>
            <w:r w:rsidR="005F37BD" w:rsidRPr="00E24F70">
              <w:rPr>
                <w:rFonts w:cs="Times New Roman"/>
              </w:rPr>
              <w:t>ultra wide</w:t>
            </w:r>
            <w:proofErr w:type="spellEnd"/>
            <w:r w:rsidR="005F37BD" w:rsidRPr="00E24F70">
              <w:rPr>
                <w:rFonts w:cs="Times New Roman"/>
              </w:rPr>
              <w:t xml:space="preserve"> band </w:t>
            </w:r>
            <w:r w:rsidR="00F75278" w:rsidRPr="00E24F70">
              <w:rPr>
                <w:rFonts w:cs="Times New Roman"/>
              </w:rPr>
              <w:t xml:space="preserve">(UWB) devices and their regulations </w:t>
            </w:r>
            <w:r w:rsidRPr="00E24F70">
              <w:rPr>
                <w:rFonts w:cs="Times New Roman"/>
              </w:rPr>
              <w:t xml:space="preserve">in </w:t>
            </w:r>
            <w:r w:rsidR="00F531BD" w:rsidRPr="00E24F70">
              <w:rPr>
                <w:rFonts w:cs="Times New Roman"/>
              </w:rPr>
              <w:t>India</w:t>
            </w:r>
            <w:r w:rsidR="00F75278" w:rsidRPr="00E24F70">
              <w:rPr>
                <w:rFonts w:cs="Times New Roman"/>
              </w:rPr>
              <w:t>.</w:t>
            </w:r>
            <w:r w:rsidRPr="00E24F70">
              <w:rPr>
                <w:rFonts w:cs="Times New Roman"/>
              </w:rPr>
              <w:t xml:space="preserve">  </w:t>
            </w:r>
          </w:p>
        </w:tc>
      </w:tr>
    </w:tbl>
    <w:p w14:paraId="691C2ADC" w14:textId="77777777" w:rsidR="00770160" w:rsidRPr="00E24F70" w:rsidRDefault="00770160">
      <w:pPr>
        <w:rPr>
          <w:rFonts w:cs="Times New Roman"/>
        </w:rPr>
      </w:pPr>
    </w:p>
    <w:p w14:paraId="78A52584" w14:textId="77777777" w:rsidR="00770160" w:rsidRPr="00E24F70" w:rsidRDefault="00770160">
      <w:pPr>
        <w:rPr>
          <w:rFonts w:cs="Times New Roman"/>
        </w:rPr>
      </w:pPr>
    </w:p>
    <w:p w14:paraId="729D32DC" w14:textId="77777777" w:rsidR="00770160" w:rsidRPr="00E24F70" w:rsidRDefault="00770160" w:rsidP="007217F5">
      <w:pPr>
        <w:pStyle w:val="1Heading"/>
        <w:keepNext/>
        <w:rPr>
          <w:rFonts w:cs="Times New Roman"/>
        </w:rPr>
      </w:pPr>
      <w:r w:rsidRPr="00E24F70">
        <w:rPr>
          <w:rFonts w:cs="Times New Roman"/>
        </w:rPr>
        <w:t>INTRODUCTION</w:t>
      </w:r>
    </w:p>
    <w:p w14:paraId="3C7A77DC" w14:textId="4DEBB3CD" w:rsidR="00B669AB" w:rsidRPr="00E24F70" w:rsidRDefault="009A01F8" w:rsidP="00C81E59">
      <w:pPr>
        <w:pStyle w:val="2para"/>
        <w:rPr>
          <w:rFonts w:cs="Times New Roman"/>
        </w:rPr>
      </w:pPr>
      <w:r w:rsidRPr="00E24F70">
        <w:rPr>
          <w:rFonts w:cs="Times New Roman"/>
        </w:rPr>
        <w:t>Globally, t</w:t>
      </w:r>
      <w:r w:rsidR="00AF4B28" w:rsidRPr="00E24F70">
        <w:rPr>
          <w:rFonts w:cs="Times New Roman"/>
        </w:rPr>
        <w:t>he</w:t>
      </w:r>
      <w:r w:rsidR="001C267C" w:rsidRPr="00E24F70">
        <w:rPr>
          <w:rFonts w:cs="Times New Roman"/>
        </w:rPr>
        <w:t xml:space="preserve"> </w:t>
      </w:r>
      <w:r w:rsidRPr="00E24F70">
        <w:rPr>
          <w:rFonts w:cs="Times New Roman"/>
        </w:rPr>
        <w:t xml:space="preserve">use of ultra-wideband (UWB) systems/devices is significantly on the increase </w:t>
      </w:r>
      <w:r w:rsidR="00EF6E04" w:rsidRPr="00E24F70">
        <w:rPr>
          <w:rFonts w:cs="Times New Roman"/>
        </w:rPr>
        <w:t xml:space="preserve">and their proliferation has the potential to cause harmful interference to safety critical aeronautical systems. </w:t>
      </w:r>
      <w:r w:rsidR="00E940B5" w:rsidRPr="00E24F70">
        <w:rPr>
          <w:rFonts w:cs="Times New Roman"/>
        </w:rPr>
        <w:t xml:space="preserve">As the impact of UWB devices is not fully understood at this time, the last FSMP-WG/10 </w:t>
      </w:r>
      <w:proofErr w:type="spellStart"/>
      <w:r w:rsidR="00E940B5" w:rsidRPr="00E24F70">
        <w:rPr>
          <w:rFonts w:cs="Times New Roman"/>
        </w:rPr>
        <w:t>meetng</w:t>
      </w:r>
      <w:proofErr w:type="spellEnd"/>
      <w:r w:rsidR="00E940B5" w:rsidRPr="00E24F70">
        <w:rPr>
          <w:rFonts w:cs="Times New Roman"/>
        </w:rPr>
        <w:t xml:space="preserve"> assigned an action item (AI10-06) to states to indicate in the next FSMP-WG/11 meeting how the Radio Frequency Regulatory </w:t>
      </w:r>
      <w:proofErr w:type="spellStart"/>
      <w:r w:rsidR="00E940B5" w:rsidRPr="00E24F70">
        <w:rPr>
          <w:rFonts w:cs="Times New Roman"/>
        </w:rPr>
        <w:t>Autorities</w:t>
      </w:r>
      <w:proofErr w:type="spellEnd"/>
      <w:r w:rsidR="00E940B5" w:rsidRPr="00E24F70">
        <w:rPr>
          <w:rFonts w:cs="Times New Roman"/>
        </w:rPr>
        <w:t xml:space="preserve"> handle the UWB system authorizations at the respective states. </w:t>
      </w:r>
    </w:p>
    <w:p w14:paraId="786C25A6" w14:textId="20895FF8" w:rsidR="00E940B5" w:rsidRPr="00E24F70" w:rsidRDefault="00E940B5" w:rsidP="00C81E59">
      <w:pPr>
        <w:pStyle w:val="2para"/>
        <w:rPr>
          <w:rFonts w:cs="Times New Roman"/>
        </w:rPr>
      </w:pPr>
      <w:r w:rsidRPr="00E24F70">
        <w:rPr>
          <w:rFonts w:cs="Times New Roman"/>
        </w:rPr>
        <w:t>This information paper provides information on how UWB devices are authorized in India.</w:t>
      </w:r>
    </w:p>
    <w:p w14:paraId="24391669" w14:textId="77777777" w:rsidR="00770160" w:rsidRPr="00E24F70" w:rsidRDefault="00770160" w:rsidP="004279C6">
      <w:pPr>
        <w:pStyle w:val="1Heading"/>
        <w:jc w:val="both"/>
        <w:rPr>
          <w:rFonts w:cs="Times New Roman"/>
        </w:rPr>
      </w:pPr>
      <w:r w:rsidRPr="00E24F70">
        <w:rPr>
          <w:rFonts w:cs="Times New Roman"/>
        </w:rPr>
        <w:t>DISCUSSION</w:t>
      </w:r>
    </w:p>
    <w:p w14:paraId="0B26B481" w14:textId="1A8F51DE" w:rsidR="006633B8" w:rsidRPr="00E24F70" w:rsidRDefault="007F4023" w:rsidP="004279C6">
      <w:pPr>
        <w:pStyle w:val="2Heading"/>
        <w:ind w:right="-152"/>
        <w:jc w:val="both"/>
        <w:rPr>
          <w:rFonts w:cs="Times New Roman"/>
          <w:b w:val="0"/>
        </w:rPr>
      </w:pPr>
      <w:r w:rsidRPr="00E24F70">
        <w:rPr>
          <w:rFonts w:cs="Times New Roman"/>
          <w:b w:val="0"/>
        </w:rPr>
        <w:t>The very low power UWB devices permitted to operate between the frequency range 1.6 GH</w:t>
      </w:r>
      <w:r w:rsidR="00735063">
        <w:rPr>
          <w:rFonts w:cs="Times New Roman"/>
          <w:b w:val="0"/>
        </w:rPr>
        <w:t>z</w:t>
      </w:r>
      <w:r w:rsidRPr="00E24F70">
        <w:rPr>
          <w:rFonts w:cs="Times New Roman"/>
          <w:b w:val="0"/>
        </w:rPr>
        <w:t xml:space="preserve"> to 10.6 GH</w:t>
      </w:r>
      <w:r w:rsidR="00735063">
        <w:rPr>
          <w:rFonts w:cs="Times New Roman"/>
          <w:b w:val="0"/>
        </w:rPr>
        <w:t>z</w:t>
      </w:r>
      <w:r w:rsidRPr="00E24F70">
        <w:rPr>
          <w:rFonts w:cs="Times New Roman"/>
          <w:b w:val="0"/>
        </w:rPr>
        <w:t xml:space="preserve"> and above 10.6 GH</w:t>
      </w:r>
      <w:r w:rsidR="00735063">
        <w:rPr>
          <w:rFonts w:cs="Times New Roman"/>
          <w:b w:val="0"/>
        </w:rPr>
        <w:t>z</w:t>
      </w:r>
      <w:r w:rsidRPr="00E24F70">
        <w:rPr>
          <w:rFonts w:cs="Times New Roman"/>
          <w:b w:val="0"/>
        </w:rPr>
        <w:t xml:space="preserve"> are</w:t>
      </w:r>
      <w:r w:rsidR="00DA2E20" w:rsidRPr="00E24F70">
        <w:rPr>
          <w:rFonts w:cs="Times New Roman"/>
          <w:b w:val="0"/>
        </w:rPr>
        <w:t>:</w:t>
      </w:r>
    </w:p>
    <w:p w14:paraId="66E8F530" w14:textId="46D2354A" w:rsidR="00DA2E20" w:rsidRPr="00E24F70" w:rsidRDefault="00DA2E20" w:rsidP="00DA2E20">
      <w:pPr>
        <w:pStyle w:val="3para"/>
        <w:numPr>
          <w:ilvl w:val="0"/>
          <w:numId w:val="11"/>
        </w:numPr>
        <w:rPr>
          <w:rFonts w:cs="Times New Roman"/>
        </w:rPr>
      </w:pPr>
      <w:proofErr w:type="gramStart"/>
      <w:r w:rsidRPr="00E24F70">
        <w:rPr>
          <w:rFonts w:cs="Times New Roman"/>
          <w:color w:val="000000" w:themeColor="text1"/>
        </w:rPr>
        <w:lastRenderedPageBreak/>
        <w:t>Generic  ultra</w:t>
      </w:r>
      <w:proofErr w:type="gramEnd"/>
      <w:r w:rsidRPr="00E24F70">
        <w:rPr>
          <w:rFonts w:cs="Times New Roman"/>
          <w:color w:val="000000" w:themeColor="text1"/>
        </w:rPr>
        <w:t xml:space="preserve">-wideband device such as personal computers, handheld terminals, cable modems, set-top boxes, indoor access points etc.  </w:t>
      </w:r>
    </w:p>
    <w:p w14:paraId="09532FA1" w14:textId="1F676B7C" w:rsidR="00DA2E20" w:rsidRPr="00E24F70" w:rsidRDefault="00DA2E20" w:rsidP="00DA2E20">
      <w:pPr>
        <w:pStyle w:val="3para"/>
        <w:numPr>
          <w:ilvl w:val="0"/>
          <w:numId w:val="11"/>
        </w:numPr>
        <w:rPr>
          <w:rFonts w:cs="Times New Roman"/>
        </w:rPr>
      </w:pPr>
      <w:r w:rsidRPr="00E24F70">
        <w:rPr>
          <w:rFonts w:cs="Times New Roman"/>
          <w:color w:val="000000" w:themeColor="text1"/>
        </w:rPr>
        <w:t>Location tracking system- for location tracking of people or objects.</w:t>
      </w:r>
    </w:p>
    <w:p w14:paraId="655F986D" w14:textId="3E25B601" w:rsidR="00DA2E20" w:rsidRPr="00E24F70" w:rsidRDefault="00DA2E20" w:rsidP="00DA2E20">
      <w:pPr>
        <w:pStyle w:val="3para"/>
        <w:numPr>
          <w:ilvl w:val="0"/>
          <w:numId w:val="11"/>
        </w:numPr>
        <w:rPr>
          <w:rFonts w:cs="Times New Roman"/>
        </w:rPr>
      </w:pPr>
      <w:r w:rsidRPr="00E24F70">
        <w:rPr>
          <w:rFonts w:cs="Times New Roman"/>
          <w:color w:val="000000" w:themeColor="text1"/>
        </w:rPr>
        <w:t>Ultra-wideband device installed in Road and Rail Vehicle</w:t>
      </w:r>
    </w:p>
    <w:p w14:paraId="7140CE7A" w14:textId="77777777" w:rsidR="00DA2E20" w:rsidRPr="00E24F70" w:rsidRDefault="00DA2E20" w:rsidP="00DA2E20">
      <w:pPr>
        <w:pStyle w:val="3Heading"/>
        <w:numPr>
          <w:ilvl w:val="0"/>
          <w:numId w:val="11"/>
        </w:numPr>
        <w:ind w:right="0"/>
        <w:jc w:val="both"/>
        <w:rPr>
          <w:rFonts w:cs="Times New Roman"/>
          <w:b w:val="0"/>
          <w:i w:val="0"/>
          <w:color w:val="000000" w:themeColor="text1"/>
        </w:rPr>
      </w:pPr>
      <w:r w:rsidRPr="00E24F70">
        <w:rPr>
          <w:rFonts w:cs="Times New Roman"/>
          <w:b w:val="0"/>
          <w:i w:val="0"/>
          <w:color w:val="000000" w:themeColor="text1"/>
        </w:rPr>
        <w:t>Material sensing device -a radio determination device designed to detect the location of objects within a structure or to determine the physical properties of a material</w:t>
      </w:r>
    </w:p>
    <w:p w14:paraId="0CDC0F3A" w14:textId="6A5A9B15" w:rsidR="00DA2E20" w:rsidRPr="00E24F70" w:rsidRDefault="00DA2E20" w:rsidP="00DA2E20">
      <w:pPr>
        <w:pStyle w:val="3para"/>
        <w:numPr>
          <w:ilvl w:val="0"/>
          <w:numId w:val="11"/>
        </w:numPr>
        <w:rPr>
          <w:rFonts w:cs="Times New Roman"/>
        </w:rPr>
      </w:pPr>
      <w:r w:rsidRPr="00E24F70">
        <w:rPr>
          <w:rFonts w:cs="Times New Roman"/>
          <w:color w:val="000000" w:themeColor="text1"/>
        </w:rPr>
        <w:t>Building material analysis device</w:t>
      </w:r>
      <w:proofErr w:type="gramStart"/>
      <w:r w:rsidR="00735063">
        <w:rPr>
          <w:rFonts w:cs="Times New Roman"/>
          <w:color w:val="000000" w:themeColor="text1"/>
        </w:rPr>
        <w:t>-</w:t>
      </w:r>
      <w:r w:rsidRPr="00E24F70">
        <w:rPr>
          <w:rFonts w:cs="Times New Roman"/>
          <w:color w:val="000000" w:themeColor="text1"/>
        </w:rPr>
        <w:t xml:space="preserve">  a</w:t>
      </w:r>
      <w:proofErr w:type="gramEnd"/>
      <w:r w:rsidRPr="00E24F70">
        <w:rPr>
          <w:rFonts w:cs="Times New Roman"/>
          <w:color w:val="000000" w:themeColor="text1"/>
        </w:rPr>
        <w:t xml:space="preserve"> material sensing device that is used to detect the location of objects within a building structure, or to determine the physical properties of building material</w:t>
      </w:r>
      <w:r w:rsidR="00BE156C" w:rsidRPr="00E24F70">
        <w:rPr>
          <w:rFonts w:cs="Times New Roman"/>
          <w:color w:val="000000" w:themeColor="text1"/>
        </w:rPr>
        <w:t>.</w:t>
      </w:r>
    </w:p>
    <w:p w14:paraId="3F44CF90" w14:textId="48A0699E" w:rsidR="008C3917" w:rsidRPr="00E24F70" w:rsidRDefault="00D53E7C" w:rsidP="00D748CD">
      <w:pPr>
        <w:pStyle w:val="3Heading"/>
        <w:ind w:right="-62"/>
        <w:jc w:val="both"/>
        <w:rPr>
          <w:rFonts w:cs="Times New Roman"/>
          <w:b w:val="0"/>
          <w:i w:val="0"/>
        </w:rPr>
      </w:pPr>
      <w:r w:rsidRPr="00E24F70">
        <w:rPr>
          <w:rFonts w:cs="Times New Roman"/>
        </w:rPr>
        <w:t xml:space="preserve">2.2 </w:t>
      </w:r>
      <w:r w:rsidRPr="00E24F70">
        <w:rPr>
          <w:rFonts w:cs="Times New Roman"/>
        </w:rPr>
        <w:tab/>
      </w:r>
      <w:r w:rsidRPr="00E24F70">
        <w:rPr>
          <w:rFonts w:cs="Times New Roman"/>
          <w:b w:val="0"/>
          <w:i w:val="0"/>
        </w:rPr>
        <w:tab/>
      </w:r>
      <w:r w:rsidR="005728B3" w:rsidRPr="00E24F70">
        <w:rPr>
          <w:rFonts w:cs="Times New Roman"/>
          <w:b w:val="0"/>
          <w:i w:val="0"/>
        </w:rPr>
        <w:t xml:space="preserve">The use of UWB devices is </w:t>
      </w:r>
      <w:proofErr w:type="spellStart"/>
      <w:r w:rsidR="005728B3" w:rsidRPr="00E24F70">
        <w:rPr>
          <w:rFonts w:cs="Times New Roman"/>
          <w:b w:val="0"/>
          <w:i w:val="0"/>
        </w:rPr>
        <w:t>licence</w:t>
      </w:r>
      <w:proofErr w:type="spellEnd"/>
      <w:r w:rsidR="005728B3" w:rsidRPr="00E24F70">
        <w:rPr>
          <w:rFonts w:cs="Times New Roman"/>
          <w:b w:val="0"/>
          <w:i w:val="0"/>
        </w:rPr>
        <w:t xml:space="preserve">-exempted and </w:t>
      </w:r>
      <w:r w:rsidR="00B96AF6" w:rsidRPr="00E24F70">
        <w:rPr>
          <w:rFonts w:cs="Times New Roman"/>
          <w:b w:val="0"/>
          <w:i w:val="0"/>
        </w:rPr>
        <w:t xml:space="preserve">the </w:t>
      </w:r>
      <w:r w:rsidR="005728B3" w:rsidRPr="00E24F70">
        <w:rPr>
          <w:rFonts w:cs="Times New Roman"/>
          <w:b w:val="0"/>
          <w:i w:val="0"/>
        </w:rPr>
        <w:t xml:space="preserve">designated </w:t>
      </w:r>
      <w:r w:rsidR="00B96AF6" w:rsidRPr="00E24F70">
        <w:rPr>
          <w:rFonts w:cs="Times New Roman"/>
          <w:b w:val="0"/>
          <w:i w:val="0"/>
        </w:rPr>
        <w:t>frequency</w:t>
      </w:r>
      <w:r w:rsidR="005728B3" w:rsidRPr="00E24F70">
        <w:rPr>
          <w:rFonts w:cs="Times New Roman"/>
          <w:b w:val="0"/>
          <w:i w:val="0"/>
        </w:rPr>
        <w:t xml:space="preserve"> bands are available on a non-interference, non-protected and shared on non-exclusive basis.   </w:t>
      </w:r>
    </w:p>
    <w:p w14:paraId="118B7CCE" w14:textId="0ED1D137" w:rsidR="00C33E0C" w:rsidRPr="00E24F70" w:rsidRDefault="00B96AF6" w:rsidP="00D748CD">
      <w:pPr>
        <w:pStyle w:val="3Heading"/>
        <w:ind w:right="-62"/>
        <w:jc w:val="both"/>
        <w:rPr>
          <w:rFonts w:cs="Times New Roman"/>
          <w:b w:val="0"/>
          <w:i w:val="0"/>
          <w:color w:val="000000" w:themeColor="text1"/>
        </w:rPr>
      </w:pPr>
      <w:r w:rsidRPr="00E24F70">
        <w:rPr>
          <w:rFonts w:cs="Times New Roman"/>
          <w:b w:val="0"/>
          <w:i w:val="0"/>
        </w:rPr>
        <w:t xml:space="preserve">2.3 </w:t>
      </w:r>
      <w:r w:rsidRPr="00E24F70">
        <w:rPr>
          <w:rFonts w:cs="Times New Roman"/>
          <w:b w:val="0"/>
          <w:i w:val="0"/>
        </w:rPr>
        <w:tab/>
      </w:r>
      <w:r w:rsidRPr="00E24F70">
        <w:rPr>
          <w:rFonts w:cs="Times New Roman"/>
          <w:b w:val="0"/>
          <w:i w:val="0"/>
        </w:rPr>
        <w:tab/>
      </w:r>
      <w:r w:rsidR="00D53E7C" w:rsidRPr="00E24F70">
        <w:rPr>
          <w:rFonts w:cs="Times New Roman"/>
          <w:b w:val="0"/>
          <w:i w:val="0"/>
        </w:rPr>
        <w:t xml:space="preserve">Decision 2014/702/EU, dated 07 October 2014 </w:t>
      </w:r>
      <w:r w:rsidR="00D748CD" w:rsidRPr="00E24F70">
        <w:rPr>
          <w:rFonts w:cs="Times New Roman"/>
          <w:b w:val="0"/>
          <w:i w:val="0"/>
        </w:rPr>
        <w:t>(amending Decision</w:t>
      </w:r>
      <w:r w:rsidR="00D748CD" w:rsidRPr="00E24F70">
        <w:rPr>
          <w:rFonts w:cs="Times New Roman"/>
          <w:b w:val="0"/>
          <w:i w:val="0"/>
          <w:color w:val="444444"/>
          <w:sz w:val="21"/>
          <w:szCs w:val="21"/>
          <w:shd w:val="clear" w:color="auto" w:fill="FFFFFF"/>
        </w:rPr>
        <w:t xml:space="preserve"> </w:t>
      </w:r>
      <w:r w:rsidR="00D748CD" w:rsidRPr="00E24F70">
        <w:rPr>
          <w:rFonts w:cs="Times New Roman"/>
          <w:b w:val="0"/>
          <w:i w:val="0"/>
          <w:color w:val="000000" w:themeColor="text1"/>
          <w:sz w:val="21"/>
          <w:szCs w:val="21"/>
          <w:shd w:val="clear" w:color="auto" w:fill="FFFFFF"/>
        </w:rPr>
        <w:t>2007/131/EC</w:t>
      </w:r>
      <w:r w:rsidR="00D748CD" w:rsidRPr="00E24F70">
        <w:rPr>
          <w:rFonts w:cs="Times New Roman"/>
          <w:b w:val="0"/>
          <w:i w:val="0"/>
          <w:color w:val="444444"/>
          <w:sz w:val="21"/>
          <w:szCs w:val="21"/>
          <w:shd w:val="clear" w:color="auto" w:fill="FFFFFF"/>
        </w:rPr>
        <w:t>)</w:t>
      </w:r>
      <w:r w:rsidR="00D748CD" w:rsidRPr="00E24F70">
        <w:rPr>
          <w:rFonts w:cs="Times New Roman"/>
          <w:b w:val="0"/>
          <w:i w:val="0"/>
        </w:rPr>
        <w:t xml:space="preserve"> </w:t>
      </w:r>
      <w:r w:rsidR="00D53E7C" w:rsidRPr="00E24F70">
        <w:rPr>
          <w:rFonts w:cs="Times New Roman"/>
          <w:b w:val="0"/>
          <w:i w:val="0"/>
        </w:rPr>
        <w:t>of the European C</w:t>
      </w:r>
      <w:r w:rsidR="00D748CD" w:rsidRPr="00E24F70">
        <w:rPr>
          <w:rFonts w:cs="Times New Roman"/>
          <w:b w:val="0"/>
          <w:i w:val="0"/>
        </w:rPr>
        <w:t>ommission is applied</w:t>
      </w:r>
      <w:r w:rsidRPr="00E24F70">
        <w:rPr>
          <w:rFonts w:cs="Times New Roman"/>
          <w:b w:val="0"/>
          <w:i w:val="0"/>
        </w:rPr>
        <w:t xml:space="preserve">, as a whole, </w:t>
      </w:r>
      <w:r w:rsidR="00D748CD" w:rsidRPr="00E24F70">
        <w:rPr>
          <w:rFonts w:cs="Times New Roman"/>
          <w:b w:val="0"/>
          <w:i w:val="0"/>
        </w:rPr>
        <w:t xml:space="preserve">to regulate the use of UWB devices in India. It is pertinent to note that now European Commission has repealed Decision 2007/131/EC vide </w:t>
      </w:r>
      <w:r w:rsidR="00372AA8" w:rsidRPr="00E24F70">
        <w:rPr>
          <w:rFonts w:cs="Times New Roman"/>
          <w:b w:val="0"/>
          <w:i w:val="0"/>
        </w:rPr>
        <w:t xml:space="preserve">Decision </w:t>
      </w:r>
      <w:r w:rsidR="00D748CD" w:rsidRPr="00E24F70">
        <w:rPr>
          <w:rFonts w:cs="Times New Roman"/>
          <w:b w:val="0"/>
          <w:i w:val="0"/>
        </w:rPr>
        <w:t xml:space="preserve">2019/785 of 14 May 2019. </w:t>
      </w:r>
    </w:p>
    <w:p w14:paraId="327B1F74" w14:textId="77777777" w:rsidR="00770160" w:rsidRPr="00E24F70" w:rsidRDefault="00A459F8">
      <w:pPr>
        <w:pStyle w:val="1Heading"/>
        <w:rPr>
          <w:rFonts w:cs="Times New Roman"/>
        </w:rPr>
      </w:pPr>
      <w:r w:rsidRPr="00E24F70">
        <w:rPr>
          <w:rFonts w:cs="Times New Roman"/>
        </w:rPr>
        <w:t>CONCLUSION</w:t>
      </w:r>
    </w:p>
    <w:p w14:paraId="55F08E5C" w14:textId="60C8C0DF" w:rsidR="00F75278" w:rsidRPr="00E24F70" w:rsidRDefault="00F75278" w:rsidP="00F75278">
      <w:pPr>
        <w:pStyle w:val="2para"/>
        <w:rPr>
          <w:rFonts w:cs="Times New Roman"/>
        </w:rPr>
      </w:pPr>
      <w:r w:rsidRPr="00E24F70">
        <w:rPr>
          <w:rFonts w:cs="Times New Roman"/>
        </w:rPr>
        <w:t>The meeting is invited to note the contents of the paper for information.</w:t>
      </w:r>
    </w:p>
    <w:sectPr w:rsidR="00F75278" w:rsidRPr="00E24F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2DB71" w14:textId="77777777" w:rsidR="00E51740" w:rsidRDefault="00E51740">
      <w:r>
        <w:separator/>
      </w:r>
    </w:p>
  </w:endnote>
  <w:endnote w:type="continuationSeparator" w:id="0">
    <w:p w14:paraId="1A01EE69" w14:textId="77777777" w:rsidR="00E51740" w:rsidRDefault="00E5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0E03B" w14:textId="77777777" w:rsidR="00F54C62" w:rsidRDefault="00F54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07E8C" w14:textId="77777777" w:rsidR="00F54C62" w:rsidRDefault="00F54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71F1B" w14:textId="3AD1D788" w:rsidR="00F17EB9" w:rsidRDefault="00F17EB9" w:rsidP="00E24F7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4C62">
      <w:rPr>
        <w:noProof/>
        <w:sz w:val="18"/>
      </w:rPr>
      <w:t>FSMP-WG11-IP01_UWB devices use in India.docx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466A4" w14:textId="77777777" w:rsidR="00E51740" w:rsidRDefault="00E51740">
      <w:r>
        <w:separator/>
      </w:r>
    </w:p>
  </w:footnote>
  <w:footnote w:type="continuationSeparator" w:id="0">
    <w:p w14:paraId="5BEE1EC0" w14:textId="77777777" w:rsidR="00E51740" w:rsidRDefault="00E5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A90C2" w14:textId="5F5D91D1" w:rsidR="00F17EB9" w:rsidRDefault="00F17EB9" w:rsidP="00E24F70">
    <w:pPr>
      <w:tabs>
        <w:tab w:val="center" w:pos="4876"/>
      </w:tabs>
      <w:spacing w:after="600"/>
    </w:pPr>
    <w:r>
      <w:t>FSMP-WG/</w:t>
    </w:r>
    <w:r w:rsidR="00E301F6">
      <w:t>1</w:t>
    </w:r>
    <w:r w:rsidR="00E940B5">
      <w:t>1</w:t>
    </w:r>
    <w:r>
      <w:t xml:space="preserve"> IP/</w:t>
    </w:r>
    <w:r w:rsidR="00F54C62">
      <w:t>01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4F7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F5AA2" w14:textId="311778D7" w:rsidR="00F17EB9" w:rsidRDefault="00F17EB9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917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>
      <w:t>FSMP-WG/</w:t>
    </w:r>
    <w:r w:rsidR="00E301F6">
      <w:t>10</w:t>
    </w:r>
    <w:r>
      <w:t xml:space="preserve"> IP/</w:t>
    </w:r>
    <w:r w:rsidR="00E301F6">
      <w:t>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Y="1"/>
      <w:tblOverlap w:val="never"/>
      <w:tblW w:w="9883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4202"/>
      <w:gridCol w:w="3766"/>
    </w:tblGrid>
    <w:tr w:rsidR="00F17EB9" w14:paraId="42E2F476" w14:textId="77777777" w:rsidTr="00E24F70">
      <w:trPr>
        <w:trHeight w:val="1705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2AC777F" w14:textId="77777777" w:rsidR="00F17EB9" w:rsidRDefault="00F17EB9">
          <w:pPr>
            <w:autoSpaceDE w:val="0"/>
            <w:autoSpaceDN w:val="0"/>
            <w:adjustRightInd w:val="0"/>
          </w:pPr>
          <w:bookmarkStart w:id="2" w:name="logo"/>
          <w:r>
            <w:rPr>
              <w:noProof/>
              <w:lang w:eastAsia="en-US"/>
            </w:rPr>
            <w:drawing>
              <wp:inline distT="0" distB="0" distL="0" distR="0" wp14:anchorId="4D8848CA" wp14:editId="005D4D72">
                <wp:extent cx="1089660" cy="875665"/>
                <wp:effectExtent l="0" t="0" r="0" b="0"/>
                <wp:docPr id="1" name="Picture 1" descr="ICAOBI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420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918017B" w14:textId="2972C419" w:rsidR="00F17EB9" w:rsidRDefault="00F17EB9" w:rsidP="00E24F70">
          <w:pPr>
            <w:ind w:right="-937"/>
            <w:rPr>
              <w:rFonts w:ascii="Arial" w:hAnsi="Arial" w:cs="Arial"/>
              <w:szCs w:val="22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670BCA6" wp14:editId="7E01E28D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B5AB79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"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  <w:szCs w:val="22"/>
            </w:rPr>
            <w:t xml:space="preserve">International Civil Aviation </w:t>
          </w:r>
          <w:r w:rsidR="00E24F70">
            <w:rPr>
              <w:rFonts w:ascii="Arial" w:hAnsi="Arial" w:cs="Arial"/>
              <w:szCs w:val="22"/>
            </w:rPr>
            <w:t>Organization</w:t>
          </w:r>
        </w:p>
        <w:p w14:paraId="38FDAD17" w14:textId="77777777" w:rsidR="00F17EB9" w:rsidRDefault="00F17EB9">
          <w:pPr>
            <w:rPr>
              <w:rFonts w:ascii="Arial" w:hAnsi="Arial" w:cs="Arial"/>
              <w:szCs w:val="22"/>
            </w:rPr>
          </w:pPr>
        </w:p>
        <w:p w14:paraId="76E62A49" w14:textId="77777777" w:rsidR="00F17EB9" w:rsidRDefault="00F17EB9" w:rsidP="00E24F7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t>INFORMATION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497"/>
          </w:tblGrid>
          <w:tr w:rsidR="00F17EB9" w14:paraId="563C132E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6F1380A" w14:textId="45381602" w:rsidR="00F17EB9" w:rsidRDefault="00E24F70" w:rsidP="009A7E78">
                <w:pPr>
                  <w:framePr w:hSpace="180" w:wrap="around" w:vAnchor="text" w:hAnchor="text" w:y="1"/>
                  <w:suppressOverlap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 xml:space="preserve">     </w:t>
                </w:r>
                <w:r w:rsidR="00F17EB9">
                  <w:rPr>
                    <w:szCs w:val="22"/>
                  </w:rPr>
                  <w:t>FSMP-WG/</w:t>
                </w:r>
                <w:r w:rsidR="00E301F6">
                  <w:rPr>
                    <w:szCs w:val="22"/>
                  </w:rPr>
                  <w:t>1</w:t>
                </w:r>
                <w:r w:rsidR="005F37BD">
                  <w:rPr>
                    <w:szCs w:val="22"/>
                  </w:rPr>
                  <w:t>1</w:t>
                </w:r>
                <w:r w:rsidR="00F17EB9">
                  <w:rPr>
                    <w:szCs w:val="22"/>
                  </w:rPr>
                  <w:t xml:space="preserve"> IP/</w:t>
                </w:r>
                <w:bookmarkEnd w:id="3"/>
                <w:r w:rsidR="00F54C62">
                  <w:rPr>
                    <w:szCs w:val="22"/>
                  </w:rPr>
                  <w:t>01</w:t>
                </w:r>
              </w:p>
              <w:p w14:paraId="1EFFCBD9" w14:textId="3305D794" w:rsidR="00F17EB9" w:rsidRDefault="00E24F70" w:rsidP="009A7E78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rPr>
                    <w:b/>
                  </w:rPr>
                </w:pPr>
                <w:bookmarkStart w:id="4" w:name="related_to"/>
                <w:bookmarkStart w:id="5" w:name="revision_date"/>
                <w:bookmarkStart w:id="6" w:name="revision_no"/>
                <w:bookmarkStart w:id="7" w:name="addendum_corrigendum_appendix"/>
                <w:bookmarkStart w:id="8" w:name="restricted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 xml:space="preserve">            </w:t>
                </w:r>
                <w:r w:rsidR="00E301F6">
                  <w:rPr>
                    <w:sz w:val="18"/>
                    <w:szCs w:val="18"/>
                  </w:rPr>
                  <w:t>202</w:t>
                </w:r>
                <w:r w:rsidR="00F54C62">
                  <w:rPr>
                    <w:sz w:val="18"/>
                    <w:szCs w:val="18"/>
                  </w:rPr>
                  <w:t>1</w:t>
                </w:r>
                <w:r w:rsidR="00E301F6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01</w:t>
                </w:r>
                <w:bookmarkStart w:id="9" w:name="info_paper"/>
                <w:bookmarkEnd w:id="9"/>
                <w:r w:rsidR="00F54C62">
                  <w:rPr>
                    <w:sz w:val="18"/>
                    <w:szCs w:val="18"/>
                  </w:rPr>
                  <w:t>-21</w:t>
                </w:r>
              </w:p>
            </w:tc>
          </w:tr>
          <w:tr w:rsidR="00F17EB9" w14:paraId="1DC1EC3B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59B8B343" w14:textId="77777777" w:rsidR="00F17EB9" w:rsidRDefault="00F17EB9" w:rsidP="009A7E78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rPr>
                    <w:szCs w:val="22"/>
                  </w:rPr>
                </w:pPr>
              </w:p>
            </w:tc>
          </w:tr>
        </w:tbl>
        <w:p w14:paraId="33905393" w14:textId="77777777" w:rsidR="00F17EB9" w:rsidRDefault="00F17EB9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</w:tbl>
  <w:p w14:paraId="1AD0986C" w14:textId="3C1BBFCE" w:rsidR="00F17EB9" w:rsidRDefault="00F17EB9" w:rsidP="00E301F6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38576F"/>
    <w:multiLevelType w:val="hybridMultilevel"/>
    <w:tmpl w:val="DBAA9326"/>
    <w:lvl w:ilvl="0" w:tplc="E65017F8">
      <w:start w:val="2"/>
      <w:numFmt w:val="bullet"/>
      <w:lvlText w:val="—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7327F"/>
    <w:multiLevelType w:val="multilevel"/>
    <w:tmpl w:val="D528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6141898"/>
    <w:multiLevelType w:val="hybridMultilevel"/>
    <w:tmpl w:val="F1B66722"/>
    <w:lvl w:ilvl="0" w:tplc="968C23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53592C"/>
    <w:multiLevelType w:val="hybridMultilevel"/>
    <w:tmpl w:val="5134C01A"/>
    <w:lvl w:ilvl="0" w:tplc="16728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EB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C49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AD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A3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EF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104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C8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AA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53819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6776099"/>
    <w:multiLevelType w:val="hybridMultilevel"/>
    <w:tmpl w:val="7798A1B2"/>
    <w:lvl w:ilvl="0" w:tplc="5EB0085E">
      <w:start w:val="2"/>
      <w:numFmt w:val="bullet"/>
      <w:lvlText w:val="—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6D5009"/>
    <w:multiLevelType w:val="multilevel"/>
    <w:tmpl w:val="D528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BD70F6"/>
    <w:multiLevelType w:val="hybridMultilevel"/>
    <w:tmpl w:val="BFD6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5DA2"/>
    <w:rsid w:val="00044504"/>
    <w:rsid w:val="00062982"/>
    <w:rsid w:val="00080BCB"/>
    <w:rsid w:val="00092688"/>
    <w:rsid w:val="00093158"/>
    <w:rsid w:val="00097B7D"/>
    <w:rsid w:val="000A0A1C"/>
    <w:rsid w:val="000B5014"/>
    <w:rsid w:val="000B739B"/>
    <w:rsid w:val="000E4F8E"/>
    <w:rsid w:val="0010729C"/>
    <w:rsid w:val="00116BAC"/>
    <w:rsid w:val="001311FC"/>
    <w:rsid w:val="001370D4"/>
    <w:rsid w:val="001449D6"/>
    <w:rsid w:val="0016520A"/>
    <w:rsid w:val="001742AF"/>
    <w:rsid w:val="001C267C"/>
    <w:rsid w:val="002135A8"/>
    <w:rsid w:val="00216B7D"/>
    <w:rsid w:val="00225EAC"/>
    <w:rsid w:val="00226E57"/>
    <w:rsid w:val="00270C95"/>
    <w:rsid w:val="00277E9C"/>
    <w:rsid w:val="002C487A"/>
    <w:rsid w:val="002E2F98"/>
    <w:rsid w:val="002E7417"/>
    <w:rsid w:val="002F7EB0"/>
    <w:rsid w:val="00304D65"/>
    <w:rsid w:val="00321D62"/>
    <w:rsid w:val="00322569"/>
    <w:rsid w:val="003277A3"/>
    <w:rsid w:val="00334FD5"/>
    <w:rsid w:val="00341F16"/>
    <w:rsid w:val="003578AC"/>
    <w:rsid w:val="00365A2A"/>
    <w:rsid w:val="00365BFB"/>
    <w:rsid w:val="00372AA8"/>
    <w:rsid w:val="00376027"/>
    <w:rsid w:val="003D7FD8"/>
    <w:rsid w:val="003F1D37"/>
    <w:rsid w:val="003F23BB"/>
    <w:rsid w:val="003F2645"/>
    <w:rsid w:val="004279C6"/>
    <w:rsid w:val="004466C4"/>
    <w:rsid w:val="004514F4"/>
    <w:rsid w:val="0045750B"/>
    <w:rsid w:val="004930F2"/>
    <w:rsid w:val="004942BD"/>
    <w:rsid w:val="004D46B0"/>
    <w:rsid w:val="004E0F4A"/>
    <w:rsid w:val="004F6593"/>
    <w:rsid w:val="0051098D"/>
    <w:rsid w:val="0051262B"/>
    <w:rsid w:val="005562F7"/>
    <w:rsid w:val="00563FE8"/>
    <w:rsid w:val="005728B3"/>
    <w:rsid w:val="005774CF"/>
    <w:rsid w:val="005836DA"/>
    <w:rsid w:val="005A13D7"/>
    <w:rsid w:val="005B62CD"/>
    <w:rsid w:val="005C0A0E"/>
    <w:rsid w:val="005C6922"/>
    <w:rsid w:val="005D52D5"/>
    <w:rsid w:val="005E0823"/>
    <w:rsid w:val="005F37BD"/>
    <w:rsid w:val="005F6476"/>
    <w:rsid w:val="00617702"/>
    <w:rsid w:val="00635A00"/>
    <w:rsid w:val="006633B8"/>
    <w:rsid w:val="00695224"/>
    <w:rsid w:val="00696DB6"/>
    <w:rsid w:val="006A0F3C"/>
    <w:rsid w:val="006A27D0"/>
    <w:rsid w:val="006C2C5C"/>
    <w:rsid w:val="006D52C8"/>
    <w:rsid w:val="006E4B32"/>
    <w:rsid w:val="006E4FE2"/>
    <w:rsid w:val="006F4527"/>
    <w:rsid w:val="00707ADA"/>
    <w:rsid w:val="00714BB6"/>
    <w:rsid w:val="0071789F"/>
    <w:rsid w:val="007217F5"/>
    <w:rsid w:val="00735063"/>
    <w:rsid w:val="00747141"/>
    <w:rsid w:val="00770160"/>
    <w:rsid w:val="00790775"/>
    <w:rsid w:val="007A3E69"/>
    <w:rsid w:val="007B28C2"/>
    <w:rsid w:val="007F3998"/>
    <w:rsid w:val="007F4023"/>
    <w:rsid w:val="00804737"/>
    <w:rsid w:val="00817259"/>
    <w:rsid w:val="008230A5"/>
    <w:rsid w:val="0083089D"/>
    <w:rsid w:val="008370D6"/>
    <w:rsid w:val="00853883"/>
    <w:rsid w:val="00853C0E"/>
    <w:rsid w:val="008A1D5B"/>
    <w:rsid w:val="008C3917"/>
    <w:rsid w:val="009143E6"/>
    <w:rsid w:val="00917E36"/>
    <w:rsid w:val="00927DDC"/>
    <w:rsid w:val="00930FD5"/>
    <w:rsid w:val="00932986"/>
    <w:rsid w:val="0095751F"/>
    <w:rsid w:val="00966223"/>
    <w:rsid w:val="0098006D"/>
    <w:rsid w:val="00995F77"/>
    <w:rsid w:val="009A01F8"/>
    <w:rsid w:val="009A056D"/>
    <w:rsid w:val="009A7E78"/>
    <w:rsid w:val="009B03B5"/>
    <w:rsid w:val="009B7AF6"/>
    <w:rsid w:val="009C6D8B"/>
    <w:rsid w:val="009F63C6"/>
    <w:rsid w:val="009F6661"/>
    <w:rsid w:val="009F7028"/>
    <w:rsid w:val="00A02235"/>
    <w:rsid w:val="00A12CBA"/>
    <w:rsid w:val="00A148BD"/>
    <w:rsid w:val="00A15BA2"/>
    <w:rsid w:val="00A26F34"/>
    <w:rsid w:val="00A459F8"/>
    <w:rsid w:val="00A5755C"/>
    <w:rsid w:val="00A62E30"/>
    <w:rsid w:val="00A7377E"/>
    <w:rsid w:val="00A73973"/>
    <w:rsid w:val="00AA020E"/>
    <w:rsid w:val="00AB7414"/>
    <w:rsid w:val="00AC366D"/>
    <w:rsid w:val="00AD1C3E"/>
    <w:rsid w:val="00AD595B"/>
    <w:rsid w:val="00AF4B28"/>
    <w:rsid w:val="00B10F21"/>
    <w:rsid w:val="00B13B04"/>
    <w:rsid w:val="00B14B97"/>
    <w:rsid w:val="00B4360B"/>
    <w:rsid w:val="00B5341B"/>
    <w:rsid w:val="00B53848"/>
    <w:rsid w:val="00B553CA"/>
    <w:rsid w:val="00B62932"/>
    <w:rsid w:val="00B669AB"/>
    <w:rsid w:val="00B6750A"/>
    <w:rsid w:val="00B87C23"/>
    <w:rsid w:val="00B96AF6"/>
    <w:rsid w:val="00BA1984"/>
    <w:rsid w:val="00BA7724"/>
    <w:rsid w:val="00BB53D1"/>
    <w:rsid w:val="00BE0489"/>
    <w:rsid w:val="00BE156C"/>
    <w:rsid w:val="00BE1EAA"/>
    <w:rsid w:val="00C0214B"/>
    <w:rsid w:val="00C04CD9"/>
    <w:rsid w:val="00C10536"/>
    <w:rsid w:val="00C209A7"/>
    <w:rsid w:val="00C2184E"/>
    <w:rsid w:val="00C33E0C"/>
    <w:rsid w:val="00C62653"/>
    <w:rsid w:val="00C81E59"/>
    <w:rsid w:val="00C830D2"/>
    <w:rsid w:val="00CB19A0"/>
    <w:rsid w:val="00CB5CFE"/>
    <w:rsid w:val="00CB639C"/>
    <w:rsid w:val="00CD6661"/>
    <w:rsid w:val="00D361E2"/>
    <w:rsid w:val="00D37F9C"/>
    <w:rsid w:val="00D53E7C"/>
    <w:rsid w:val="00D65155"/>
    <w:rsid w:val="00D748CD"/>
    <w:rsid w:val="00DA2E20"/>
    <w:rsid w:val="00DB6135"/>
    <w:rsid w:val="00DC34DC"/>
    <w:rsid w:val="00E02614"/>
    <w:rsid w:val="00E1196B"/>
    <w:rsid w:val="00E24517"/>
    <w:rsid w:val="00E24F70"/>
    <w:rsid w:val="00E252E9"/>
    <w:rsid w:val="00E301F6"/>
    <w:rsid w:val="00E47E25"/>
    <w:rsid w:val="00E51740"/>
    <w:rsid w:val="00E558E1"/>
    <w:rsid w:val="00E60C45"/>
    <w:rsid w:val="00E7135B"/>
    <w:rsid w:val="00E940B5"/>
    <w:rsid w:val="00E96D56"/>
    <w:rsid w:val="00EC672D"/>
    <w:rsid w:val="00EE27A9"/>
    <w:rsid w:val="00EE7065"/>
    <w:rsid w:val="00EF6E04"/>
    <w:rsid w:val="00F17DCD"/>
    <w:rsid w:val="00F17EB9"/>
    <w:rsid w:val="00F21296"/>
    <w:rsid w:val="00F35CA5"/>
    <w:rsid w:val="00F411CC"/>
    <w:rsid w:val="00F531BD"/>
    <w:rsid w:val="00F54C62"/>
    <w:rsid w:val="00F56E54"/>
    <w:rsid w:val="00F72209"/>
    <w:rsid w:val="00F72EE3"/>
    <w:rsid w:val="00F75278"/>
    <w:rsid w:val="00F77DA9"/>
    <w:rsid w:val="00FB0DAF"/>
    <w:rsid w:val="00FD7CDA"/>
    <w:rsid w:val="00FE5577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06614"/>
  <w15:chartTrackingRefBased/>
  <w15:docId w15:val="{17EFBC05-86D3-7E44-8EA2-60108C9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E59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rsid w:val="00C81E59"/>
    <w:pPr>
      <w:numPr>
        <w:ilvl w:val="2"/>
      </w:numPr>
      <w:ind w:left="0" w:right="0" w:firstLine="0"/>
      <w:jc w:val="both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376027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</w:rPr>
  </w:style>
  <w:style w:type="character" w:customStyle="1" w:styleId="BalloonTextChar">
    <w:name w:val="Balloon Text Char"/>
    <w:basedOn w:val="DefaultParagraphFont"/>
    <w:link w:val="BalloonText"/>
    <w:rsid w:val="00376027"/>
    <w:rPr>
      <w:sz w:val="18"/>
      <w:szCs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25EAC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EC672D"/>
    <w:pPr>
      <w:ind w:left="720"/>
      <w:contextualSpacing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rsid w:val="006D52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5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52C8"/>
    <w:rPr>
      <w:rFonts w:eastAsiaTheme="minorEastAsia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5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52C8"/>
    <w:rPr>
      <w:rFonts w:eastAsiaTheme="minorEastAsia" w:cstheme="minorBidi"/>
      <w:b/>
      <w:bCs/>
    </w:rPr>
  </w:style>
  <w:style w:type="paragraph" w:styleId="Revision">
    <w:name w:val="Revision"/>
    <w:hidden/>
    <w:uiPriority w:val="99"/>
    <w:semiHidden/>
    <w:rsid w:val="00F56E54"/>
    <w:rPr>
      <w:rFonts w:eastAsiaTheme="minorEastAsia" w:cstheme="minorBidi"/>
      <w:sz w:val="24"/>
      <w:szCs w:val="24"/>
    </w:rPr>
  </w:style>
  <w:style w:type="table" w:styleId="TableGrid">
    <w:name w:val="Table Grid"/>
    <w:basedOn w:val="TableNormal"/>
    <w:rsid w:val="00C3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185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32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3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20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bf276872-af07-4968-a71d-1c83e80bd0bf" origin="userSelected">
  <element uid="id_protectivemarking_newvalue1" value=""/>
</sisl>
</file>

<file path=customXml/itemProps1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EE1F1-893D-47B2-9B68-30AA7AAD1B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Loftur</cp:lastModifiedBy>
  <cp:revision>6</cp:revision>
  <cp:lastPrinted>2005-03-16T18:26:00Z</cp:lastPrinted>
  <dcterms:created xsi:type="dcterms:W3CDTF">2021-01-20T06:24:00Z</dcterms:created>
  <dcterms:modified xsi:type="dcterms:W3CDTF">2021-01-29T14:29:00Z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70cf04e5-e15a-47a8-b01f-e4b3c435974a</vt:lpwstr>
  </property>
  <property fmtid="{D5CDD505-2E9C-101B-9397-08002B2CF9AE}" pid="3" name="bjSaver">
    <vt:lpwstr>nli2z+bAIFdo0g1aq6BzO8PCzK/JlhDL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policy="bf276872-af07-4968-a71d-1c83e80bd0bf" origin="userSelected" xmlns="http://www.boldonj</vt:lpwstr>
  </property>
  <property fmtid="{D5CDD505-2E9C-101B-9397-08002B2CF9AE}" pid="5" name="bjDocumentLabelXML-0">
    <vt:lpwstr>ames.com/2008/01/sie/internal/label"&gt;&lt;element uid="id_protectivemarking_newvalue1" value="" /&gt;&lt;/sisl&gt;</vt:lpwstr>
  </property>
  <property fmtid="{D5CDD505-2E9C-101B-9397-08002B2CF9AE}" pid="6" name="bjDocumentSecurityLabel">
    <vt:lpwstr>Honeywell Unrestricted</vt:lpwstr>
  </property>
  <property fmtid="{D5CDD505-2E9C-101B-9397-08002B2CF9AE}" pid="7" name="BJClassification">
    <vt:lpwstr>Honeywell Unrestricted</vt:lpwstr>
  </property>
</Properties>
</file>