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BC" w:rsidRDefault="000233BC"/>
    <w:p w:rsidR="00E953D0" w:rsidRPr="009C2F8B" w:rsidRDefault="00E953D0" w:rsidP="00E953D0">
      <w:pPr>
        <w:jc w:val="right"/>
        <w:rPr>
          <w:sz w:val="24"/>
          <w:szCs w:val="24"/>
        </w:rPr>
      </w:pPr>
      <w:r w:rsidRPr="009C2F8B">
        <w:rPr>
          <w:sz w:val="24"/>
          <w:szCs w:val="24"/>
        </w:rPr>
        <w:t xml:space="preserve">Flimsy </w:t>
      </w:r>
      <w:proofErr w:type="gramStart"/>
      <w:r w:rsidRPr="009C2F8B">
        <w:rPr>
          <w:sz w:val="24"/>
          <w:szCs w:val="24"/>
        </w:rPr>
        <w:t>4</w:t>
      </w:r>
      <w:proofErr w:type="gramEnd"/>
    </w:p>
    <w:p w:rsidR="00E953D0" w:rsidRPr="009C2F8B" w:rsidRDefault="00E953D0" w:rsidP="00E953D0">
      <w:pPr>
        <w:jc w:val="right"/>
        <w:rPr>
          <w:sz w:val="24"/>
          <w:szCs w:val="24"/>
        </w:rPr>
      </w:pPr>
      <w:r w:rsidRPr="009C2F8B">
        <w:rPr>
          <w:sz w:val="24"/>
          <w:szCs w:val="24"/>
        </w:rPr>
        <w:t>FSMP-WG/11</w:t>
      </w:r>
    </w:p>
    <w:p w:rsidR="00E953D0" w:rsidRPr="009C2F8B" w:rsidRDefault="00E953D0" w:rsidP="00E953D0">
      <w:pPr>
        <w:jc w:val="right"/>
        <w:rPr>
          <w:sz w:val="24"/>
          <w:szCs w:val="24"/>
        </w:rPr>
      </w:pPr>
    </w:p>
    <w:p w:rsidR="00E953D0" w:rsidRPr="009C2F8B" w:rsidRDefault="00E953D0" w:rsidP="00E953D0">
      <w:pPr>
        <w:jc w:val="center"/>
        <w:rPr>
          <w:sz w:val="24"/>
          <w:szCs w:val="24"/>
        </w:rPr>
      </w:pPr>
      <w:r w:rsidRPr="009C2F8B">
        <w:rPr>
          <w:sz w:val="24"/>
          <w:szCs w:val="24"/>
        </w:rPr>
        <w:t>Draft Material for ICAO Reply Liaison to ITU-R WP5B</w:t>
      </w:r>
    </w:p>
    <w:p w:rsidR="00E953D0" w:rsidRPr="009C2F8B" w:rsidRDefault="00E953D0" w:rsidP="00E953D0">
      <w:pPr>
        <w:jc w:val="center"/>
        <w:rPr>
          <w:sz w:val="24"/>
          <w:szCs w:val="24"/>
        </w:rPr>
      </w:pPr>
      <w:r w:rsidRPr="009C2F8B">
        <w:rPr>
          <w:sz w:val="24"/>
          <w:szCs w:val="24"/>
        </w:rPr>
        <w:t>(Reference FSMP-WG/11 WP03)</w:t>
      </w:r>
    </w:p>
    <w:p w:rsidR="00264ECC" w:rsidRPr="009C2F8B" w:rsidRDefault="00264ECC" w:rsidP="00E953D0">
      <w:pPr>
        <w:jc w:val="center"/>
        <w:rPr>
          <w:sz w:val="24"/>
          <w:szCs w:val="24"/>
        </w:rPr>
      </w:pPr>
    </w:p>
    <w:p w:rsidR="00264ECC" w:rsidRPr="009C2F8B" w:rsidRDefault="00264ECC" w:rsidP="00E953D0">
      <w:pPr>
        <w:jc w:val="center"/>
        <w:rPr>
          <w:sz w:val="24"/>
          <w:szCs w:val="24"/>
        </w:rPr>
      </w:pPr>
      <w:r w:rsidRPr="009C2F8B">
        <w:rPr>
          <w:sz w:val="24"/>
          <w:szCs w:val="24"/>
        </w:rPr>
        <w:t xml:space="preserve">REPLY LIAISON STATEMENT TO WORKING PARTY 5B CONCERNING WRC-23 AGENDA ITEM 9.1, </w:t>
      </w:r>
      <w:bookmarkStart w:id="0" w:name="_GoBack"/>
      <w:bookmarkEnd w:id="0"/>
      <w:r w:rsidRPr="009C2F8B">
        <w:rPr>
          <w:sz w:val="24"/>
          <w:szCs w:val="24"/>
        </w:rPr>
        <w:t>TOPIC A) WITH A COPY TO WORKING PARTY 7C</w:t>
      </w:r>
    </w:p>
    <w:p w:rsidR="00E953D0" w:rsidRPr="009C2F8B" w:rsidRDefault="00E953D0" w:rsidP="00E953D0">
      <w:pPr>
        <w:jc w:val="center"/>
        <w:rPr>
          <w:sz w:val="24"/>
          <w:szCs w:val="24"/>
        </w:rPr>
      </w:pPr>
    </w:p>
    <w:p w:rsidR="00E953D0" w:rsidRPr="009C2F8B" w:rsidRDefault="00E953D0" w:rsidP="00E953D0">
      <w:pPr>
        <w:rPr>
          <w:sz w:val="24"/>
          <w:szCs w:val="24"/>
        </w:rPr>
      </w:pPr>
      <w:r w:rsidRPr="009C2F8B">
        <w:rPr>
          <w:sz w:val="24"/>
          <w:szCs w:val="24"/>
        </w:rPr>
        <w:t xml:space="preserve">ICAO thanks ITU-R Working Party 5B (WP 5B) for its liaison as contained in </w:t>
      </w:r>
      <w:r w:rsidR="00264ECC" w:rsidRPr="009C2F8B">
        <w:rPr>
          <w:sz w:val="24"/>
          <w:szCs w:val="24"/>
        </w:rPr>
        <w:t>(</w:t>
      </w:r>
      <w:r w:rsidR="00264ECC" w:rsidRPr="009C2F8B">
        <w:rPr>
          <w:sz w:val="24"/>
          <w:szCs w:val="24"/>
          <w:highlight w:val="yellow"/>
        </w:rPr>
        <w:t>reference</w:t>
      </w:r>
      <w:proofErr w:type="gramStart"/>
      <w:r w:rsidR="00264ECC" w:rsidRPr="009C2F8B">
        <w:rPr>
          <w:sz w:val="24"/>
          <w:szCs w:val="24"/>
          <w:highlight w:val="yellow"/>
        </w:rPr>
        <w:t>??)</w:t>
      </w:r>
      <w:proofErr w:type="gramEnd"/>
      <w:r w:rsidR="00264ECC" w:rsidRPr="009C2F8B">
        <w:rPr>
          <w:sz w:val="24"/>
          <w:szCs w:val="24"/>
        </w:rPr>
        <w:t>. That document was a response to a WP 7C liaison statement contained in Document </w:t>
      </w:r>
      <w:hyperlink r:id="rId4" w:history="1">
        <w:r w:rsidR="00264ECC" w:rsidRPr="009C2F8B">
          <w:rPr>
            <w:rStyle w:val="Hyperlink"/>
            <w:sz w:val="24"/>
            <w:szCs w:val="24"/>
          </w:rPr>
          <w:t>5B/128</w:t>
        </w:r>
      </w:hyperlink>
      <w:r w:rsidR="00264ECC" w:rsidRPr="009C2F8B">
        <w:rPr>
          <w:sz w:val="24"/>
          <w:szCs w:val="24"/>
        </w:rPr>
        <w:t xml:space="preserve"> seeking information on the technical and operational characteristics in relation to WRC-23 agenda item 9.1, topic a) (space weather sensors). In its reply, WP 5B noted that complete information on aeronautical services was not available in ITU-R, so ICAO was copied for possible action.</w:t>
      </w:r>
    </w:p>
    <w:p w:rsidR="005B7ECF" w:rsidRPr="009C2F8B" w:rsidRDefault="00264ECC" w:rsidP="00E953D0">
      <w:pPr>
        <w:rPr>
          <w:sz w:val="24"/>
          <w:szCs w:val="24"/>
        </w:rPr>
      </w:pPr>
      <w:r w:rsidRPr="009C2F8B">
        <w:rPr>
          <w:sz w:val="24"/>
          <w:szCs w:val="24"/>
        </w:rPr>
        <w:t>In response, ICAO would like to provide the information</w:t>
      </w:r>
      <w:r w:rsidR="0065303F" w:rsidRPr="009C2F8B">
        <w:rPr>
          <w:sz w:val="24"/>
          <w:szCs w:val="24"/>
        </w:rPr>
        <w:t>, as contained in Table 1,</w:t>
      </w:r>
      <w:r w:rsidRPr="009C2F8B">
        <w:rPr>
          <w:sz w:val="24"/>
          <w:szCs w:val="24"/>
        </w:rPr>
        <w:t xml:space="preserve"> on </w:t>
      </w:r>
      <w:r w:rsidR="0065303F" w:rsidRPr="009C2F8B">
        <w:rPr>
          <w:sz w:val="24"/>
          <w:szCs w:val="24"/>
        </w:rPr>
        <w:t xml:space="preserve">ICAO-standard </w:t>
      </w:r>
      <w:r w:rsidRPr="009C2F8B">
        <w:rPr>
          <w:sz w:val="24"/>
          <w:szCs w:val="24"/>
        </w:rPr>
        <w:t xml:space="preserve">aeronautical </w:t>
      </w:r>
      <w:proofErr w:type="spellStart"/>
      <w:r w:rsidRPr="009C2F8B">
        <w:rPr>
          <w:sz w:val="24"/>
          <w:szCs w:val="24"/>
        </w:rPr>
        <w:t>radionavigation</w:t>
      </w:r>
      <w:proofErr w:type="spellEnd"/>
      <w:r w:rsidRPr="009C2F8B">
        <w:rPr>
          <w:sz w:val="24"/>
          <w:szCs w:val="24"/>
        </w:rPr>
        <w:t xml:space="preserve"> service and aeronautical mobile service systems operating in </w:t>
      </w:r>
      <w:r w:rsidR="00C0456D" w:rsidRPr="009C2F8B">
        <w:rPr>
          <w:sz w:val="24"/>
          <w:szCs w:val="24"/>
        </w:rPr>
        <w:t xml:space="preserve">portions of </w:t>
      </w:r>
      <w:r w:rsidRPr="009C2F8B">
        <w:rPr>
          <w:sz w:val="24"/>
          <w:szCs w:val="24"/>
        </w:rPr>
        <w:t xml:space="preserve">the frequency bands of interest to WP 7C. </w:t>
      </w:r>
      <w:r w:rsidR="0065303F" w:rsidRPr="009C2F8B">
        <w:rPr>
          <w:sz w:val="24"/>
          <w:szCs w:val="24"/>
        </w:rPr>
        <w:t>Detail</w:t>
      </w:r>
      <w:r w:rsidRPr="009C2F8B">
        <w:rPr>
          <w:sz w:val="24"/>
          <w:szCs w:val="24"/>
        </w:rPr>
        <w:t xml:space="preserve"> on the characteristics of those systems </w:t>
      </w:r>
      <w:proofErr w:type="gramStart"/>
      <w:r w:rsidRPr="009C2F8B">
        <w:rPr>
          <w:sz w:val="24"/>
          <w:szCs w:val="24"/>
        </w:rPr>
        <w:t>can be found</w:t>
      </w:r>
      <w:proofErr w:type="gramEnd"/>
      <w:r w:rsidRPr="009C2F8B">
        <w:rPr>
          <w:sz w:val="24"/>
          <w:szCs w:val="24"/>
        </w:rPr>
        <w:t xml:space="preserve"> in </w:t>
      </w:r>
      <w:r w:rsidR="005B7ECF" w:rsidRPr="009C2F8B">
        <w:rPr>
          <w:sz w:val="24"/>
          <w:szCs w:val="24"/>
        </w:rPr>
        <w:t xml:space="preserve">Annex 10 to </w:t>
      </w:r>
      <w:r w:rsidRPr="009C2F8B">
        <w:rPr>
          <w:sz w:val="24"/>
          <w:szCs w:val="24"/>
        </w:rPr>
        <w:t xml:space="preserve">the Convention </w:t>
      </w:r>
      <w:r w:rsidR="005B7ECF" w:rsidRPr="009C2F8B">
        <w:rPr>
          <w:sz w:val="24"/>
          <w:szCs w:val="24"/>
        </w:rPr>
        <w:t>on International Civil Aviation, Volumes I, III and V.</w:t>
      </w:r>
    </w:p>
    <w:p w:rsidR="005B7ECF" w:rsidRPr="009C2F8B" w:rsidRDefault="005B7ECF" w:rsidP="00E953D0">
      <w:pPr>
        <w:rPr>
          <w:sz w:val="24"/>
          <w:szCs w:val="24"/>
        </w:rPr>
      </w:pPr>
    </w:p>
    <w:p w:rsidR="00264ECC" w:rsidRPr="009C2F8B" w:rsidRDefault="005B7ECF" w:rsidP="005B7ECF">
      <w:pPr>
        <w:jc w:val="center"/>
        <w:rPr>
          <w:sz w:val="24"/>
          <w:szCs w:val="24"/>
        </w:rPr>
      </w:pPr>
      <w:r w:rsidRPr="009C2F8B">
        <w:rPr>
          <w:sz w:val="24"/>
          <w:szCs w:val="24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7ECF" w:rsidRPr="009C2F8B" w:rsidTr="005B7ECF">
        <w:tc>
          <w:tcPr>
            <w:tcW w:w="3116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Frequency Band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Service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Aviation Use</w:t>
            </w:r>
          </w:p>
        </w:tc>
      </w:tr>
      <w:tr w:rsidR="005B7ECF" w:rsidRPr="009C2F8B" w:rsidTr="005B7ECF">
        <w:tc>
          <w:tcPr>
            <w:tcW w:w="3116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2 850 – 22 000 kHz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AM(R)S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Air-ground communications</w:t>
            </w:r>
          </w:p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(HF voice and data)</w:t>
            </w:r>
          </w:p>
        </w:tc>
      </w:tr>
      <w:tr w:rsidR="005B7ECF" w:rsidRPr="009C2F8B" w:rsidTr="005B7ECF">
        <w:tc>
          <w:tcPr>
            <w:tcW w:w="3116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108 – 117.975 MHz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ARNS</w:t>
            </w:r>
          </w:p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AM(R)S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VOR/ILS localizer</w:t>
            </w:r>
          </w:p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GBAS/VDL Mode 4</w:t>
            </w:r>
          </w:p>
        </w:tc>
      </w:tr>
      <w:tr w:rsidR="005B7ECF" w:rsidRPr="009C2F8B" w:rsidTr="005B7ECF">
        <w:tc>
          <w:tcPr>
            <w:tcW w:w="3116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117.975 - 137 MHz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AM(R)S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Air-ground and air-air communications</w:t>
            </w:r>
          </w:p>
        </w:tc>
      </w:tr>
      <w:tr w:rsidR="005B7ECF" w:rsidRPr="009C2F8B" w:rsidTr="005B7ECF">
        <w:tc>
          <w:tcPr>
            <w:tcW w:w="3116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121.5 123.1 and 243 MHz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AM(R)S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Emergency frequencies</w:t>
            </w:r>
          </w:p>
        </w:tc>
      </w:tr>
      <w:tr w:rsidR="005B7ECF" w:rsidRPr="009C2F8B" w:rsidTr="005B7ECF">
        <w:tc>
          <w:tcPr>
            <w:tcW w:w="3116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328.6 – 335.4 MHz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ARNS</w:t>
            </w:r>
          </w:p>
        </w:tc>
        <w:tc>
          <w:tcPr>
            <w:tcW w:w="3117" w:type="dxa"/>
          </w:tcPr>
          <w:p w:rsidR="005B7ECF" w:rsidRPr="009C2F8B" w:rsidRDefault="005B7ECF" w:rsidP="005B7ECF">
            <w:pPr>
              <w:jc w:val="center"/>
              <w:rPr>
                <w:sz w:val="24"/>
                <w:szCs w:val="24"/>
              </w:rPr>
            </w:pPr>
            <w:r w:rsidRPr="009C2F8B">
              <w:rPr>
                <w:sz w:val="24"/>
                <w:szCs w:val="24"/>
              </w:rPr>
              <w:t>ILS glide path</w:t>
            </w:r>
          </w:p>
        </w:tc>
      </w:tr>
    </w:tbl>
    <w:p w:rsidR="005B7ECF" w:rsidRPr="009C2F8B" w:rsidRDefault="005B7ECF" w:rsidP="005B7ECF">
      <w:pPr>
        <w:jc w:val="center"/>
        <w:rPr>
          <w:sz w:val="24"/>
          <w:szCs w:val="24"/>
        </w:rPr>
      </w:pPr>
    </w:p>
    <w:p w:rsidR="00C0456D" w:rsidRPr="009C2F8B" w:rsidRDefault="00C0456D" w:rsidP="00C0456D">
      <w:pPr>
        <w:spacing w:before="120" w:after="360"/>
        <w:rPr>
          <w:sz w:val="24"/>
          <w:szCs w:val="24"/>
        </w:rPr>
      </w:pPr>
      <w:r w:rsidRPr="009C2F8B">
        <w:rPr>
          <w:sz w:val="24"/>
          <w:szCs w:val="24"/>
          <w:lang w:eastAsia="zh-CN"/>
        </w:rPr>
        <w:t>ICAO</w:t>
      </w:r>
      <w:r w:rsidRPr="009C2F8B">
        <w:rPr>
          <w:sz w:val="24"/>
          <w:szCs w:val="24"/>
          <w:lang w:eastAsia="zh-CN"/>
        </w:rPr>
        <w:t xml:space="preserve"> kindly requests </w:t>
      </w:r>
      <w:r w:rsidRPr="009C2F8B">
        <w:rPr>
          <w:sz w:val="24"/>
          <w:szCs w:val="24"/>
          <w:lang w:eastAsia="zh-CN"/>
        </w:rPr>
        <w:t xml:space="preserve">WP 5B and </w:t>
      </w:r>
      <w:r w:rsidRPr="009C2F8B">
        <w:rPr>
          <w:sz w:val="24"/>
          <w:szCs w:val="24"/>
          <w:lang w:eastAsia="zh-CN"/>
        </w:rPr>
        <w:t>WP 7C to be kept informed on the progress of the compatibility and sharing studies under WRC-23 agenda item 9.1, topic a).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C0456D" w:rsidRPr="00B4747C" w:rsidTr="00267604">
        <w:tc>
          <w:tcPr>
            <w:tcW w:w="5000" w:type="pct"/>
            <w:gridSpan w:val="2"/>
          </w:tcPr>
          <w:p w:rsidR="00C0456D" w:rsidRPr="00B4747C" w:rsidRDefault="00C0456D" w:rsidP="00267604">
            <w:pPr>
              <w:keepNext/>
              <w:keepLine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Status:</w:t>
            </w:r>
            <w:r w:rsidRPr="00B4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47C">
              <w:rPr>
                <w:rFonts w:ascii="Times New Roman" w:hAnsi="Times New Roman" w:cs="Times New Roman"/>
                <w:sz w:val="24"/>
                <w:szCs w:val="24"/>
              </w:rPr>
              <w:tab/>
              <w:t>For information and action as needed</w:t>
            </w:r>
            <w:hyperlink r:id="rId5" w:history="1"/>
          </w:p>
        </w:tc>
      </w:tr>
      <w:tr w:rsidR="00C0456D" w:rsidRPr="00B4747C" w:rsidTr="00267604">
        <w:tc>
          <w:tcPr>
            <w:tcW w:w="2500" w:type="pct"/>
          </w:tcPr>
          <w:p w:rsidR="00C0456D" w:rsidRPr="00B4747C" w:rsidRDefault="00C0456D" w:rsidP="00C0456D">
            <w:pPr>
              <w:keepNext/>
              <w:keepLine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7C">
              <w:rPr>
                <w:rFonts w:ascii="Times New Roman" w:hAnsi="Times New Roman" w:cs="Times New Roman"/>
                <w:b/>
                <w:sz w:val="24"/>
                <w:szCs w:val="24"/>
              </w:rPr>
              <w:t>Contact:</w:t>
            </w:r>
            <w:r w:rsidRPr="00B474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Mr. </w:t>
            </w:r>
            <w:proofErr w:type="spellStart"/>
            <w:r w:rsidR="0065303F">
              <w:rPr>
                <w:rFonts w:ascii="Times New Roman" w:hAnsi="Times New Roman" w:cs="Times New Roman"/>
                <w:sz w:val="24"/>
                <w:szCs w:val="24"/>
              </w:rPr>
              <w:t>Loftur</w:t>
            </w:r>
            <w:proofErr w:type="spellEnd"/>
            <w:r w:rsidR="0065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03F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nasson</w:t>
            </w:r>
            <w:proofErr w:type="spellEnd"/>
          </w:p>
        </w:tc>
        <w:tc>
          <w:tcPr>
            <w:tcW w:w="2500" w:type="pct"/>
          </w:tcPr>
          <w:p w:rsidR="00C0456D" w:rsidRPr="00B4747C" w:rsidRDefault="00C0456D" w:rsidP="00C0456D">
            <w:pPr>
              <w:keepNext/>
              <w:keepLines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7C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B4747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hyperlink r:id="rId6" w:history="1">
              <w:r w:rsidR="0065303F" w:rsidRPr="000306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LJonasson@ICAO.int</w:t>
              </w:r>
            </w:hyperlink>
            <w:r w:rsidRPr="00B4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B7ECF" w:rsidRDefault="005B7ECF" w:rsidP="00C0456D"/>
    <w:p w:rsidR="005B7ECF" w:rsidRDefault="005B7ECF" w:rsidP="005B7ECF">
      <w:pPr>
        <w:jc w:val="center"/>
      </w:pPr>
    </w:p>
    <w:p w:rsidR="005B7ECF" w:rsidRDefault="005B7ECF" w:rsidP="005B7ECF">
      <w:pPr>
        <w:jc w:val="center"/>
      </w:pPr>
    </w:p>
    <w:p w:rsidR="005B7ECF" w:rsidRDefault="005B7ECF" w:rsidP="005B7ECF">
      <w:pPr>
        <w:jc w:val="center"/>
      </w:pPr>
    </w:p>
    <w:p w:rsidR="005B7ECF" w:rsidRDefault="005B7ECF" w:rsidP="005B7ECF">
      <w:pPr>
        <w:jc w:val="center"/>
      </w:pPr>
    </w:p>
    <w:p w:rsidR="005B7ECF" w:rsidRDefault="005B7ECF" w:rsidP="005B7ECF">
      <w:pPr>
        <w:jc w:val="center"/>
      </w:pPr>
    </w:p>
    <w:p w:rsidR="00E953D0" w:rsidRDefault="00E953D0"/>
    <w:sectPr w:rsidR="00E9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D0"/>
    <w:rsid w:val="000233BC"/>
    <w:rsid w:val="00264ECC"/>
    <w:rsid w:val="005B7ECF"/>
    <w:rsid w:val="0065303F"/>
    <w:rsid w:val="009C2F8B"/>
    <w:rsid w:val="00C0456D"/>
    <w:rsid w:val="00E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0B00"/>
  <w15:chartTrackingRefBased/>
  <w15:docId w15:val="{24460F05-8B7E-4032-96B8-D11485B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EC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B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Jonasson@ICAO.i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itu.int/md/R19-WP5B-C-0128/en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55A70-481B-4147-A2A0-B893720FA7F4}"/>
</file>

<file path=customXml/itemProps2.xml><?xml version="1.0" encoding="utf-8"?>
<ds:datastoreItem xmlns:ds="http://schemas.openxmlformats.org/officeDocument/2006/customXml" ds:itemID="{B3236E26-9702-4059-A1BA-BE227B36E1B2}"/>
</file>

<file path=customXml/itemProps3.xml><?xml version="1.0" encoding="utf-8"?>
<ds:datastoreItem xmlns:ds="http://schemas.openxmlformats.org/officeDocument/2006/customXml" ds:itemID="{CF0072FC-2148-440D-92E7-7C45752B7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3</cp:revision>
  <dcterms:created xsi:type="dcterms:W3CDTF">2021-03-03T16:00:00Z</dcterms:created>
  <dcterms:modified xsi:type="dcterms:W3CDTF">2021-03-03T16:37:00Z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