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E6DBA" w14:textId="0EC24489" w:rsidR="00770160" w:rsidRDefault="000D26D5" w:rsidP="00725205">
      <w:pPr>
        <w:jc w:val="center"/>
        <w:rPr>
          <w:b/>
        </w:rPr>
      </w:pPr>
      <w:r>
        <w:rPr>
          <w:b/>
          <w:sz w:val="24"/>
          <w:lang w:val="en-US"/>
        </w:rPr>
        <w:t>FREQUENCY SPECTRUM</w:t>
      </w:r>
      <w:r>
        <w:rPr>
          <w:b/>
        </w:rPr>
        <w:t xml:space="preserve"> </w:t>
      </w:r>
      <w:r w:rsidR="0069494F">
        <w:rPr>
          <w:b/>
        </w:rPr>
        <w:t>MAN</w:t>
      </w:r>
      <w:r w:rsidR="001756DA">
        <w:rPr>
          <w:b/>
        </w:rPr>
        <w:t>A</w:t>
      </w:r>
      <w:r w:rsidR="0069494F">
        <w:rPr>
          <w:b/>
        </w:rPr>
        <w:t>GEMENT PANEL</w:t>
      </w:r>
      <w:r>
        <w:rPr>
          <w:b/>
        </w:rPr>
        <w:t xml:space="preserve"> (FSMP)</w:t>
      </w:r>
    </w:p>
    <w:p w14:paraId="7EA47566" w14:textId="77777777" w:rsidR="00770160" w:rsidRDefault="00770160">
      <w:pPr>
        <w:tabs>
          <w:tab w:val="left" w:pos="6972"/>
        </w:tabs>
        <w:jc w:val="center"/>
        <w:rPr>
          <w:b/>
        </w:rPr>
      </w:pPr>
    </w:p>
    <w:p w14:paraId="282FFFB4" w14:textId="77777777" w:rsidR="00FA1371" w:rsidRDefault="00FA1371" w:rsidP="00FA1371">
      <w:pPr>
        <w:pStyle w:val="Maintitle"/>
      </w:pPr>
      <w:bookmarkStart w:id="0" w:name="agenda_item"/>
      <w:bookmarkEnd w:id="0"/>
      <w:r>
        <w:rPr>
          <w:lang w:val="en-US"/>
        </w:rPr>
        <w:t>Ten</w:t>
      </w:r>
      <w:r w:rsidRPr="00D1646C">
        <w:rPr>
          <w:lang w:val="en-US"/>
        </w:rPr>
        <w:t>th</w:t>
      </w:r>
      <w:r>
        <w:t xml:space="preserve"> Working Group meeting</w:t>
      </w:r>
    </w:p>
    <w:p w14:paraId="547170E9" w14:textId="77777777" w:rsidR="00FA1371" w:rsidRDefault="00FA1371" w:rsidP="00FA1371"/>
    <w:p w14:paraId="1F05704A" w14:textId="77777777" w:rsidR="00FA1371" w:rsidRDefault="00FA1371" w:rsidP="00FA1371">
      <w:pPr>
        <w:jc w:val="center"/>
        <w:rPr>
          <w:b/>
          <w:bCs/>
          <w:szCs w:val="22"/>
        </w:rPr>
      </w:pPr>
      <w:r w:rsidRPr="006F36AD">
        <w:rPr>
          <w:b/>
          <w:bCs/>
          <w:szCs w:val="22"/>
        </w:rPr>
        <w:t>Virtual Meeting, 17 – 26 August 2020</w:t>
      </w:r>
    </w:p>
    <w:p w14:paraId="00F320A3" w14:textId="77777777" w:rsidR="00770160" w:rsidRDefault="00770160">
      <w:pPr>
        <w:tabs>
          <w:tab w:val="left" w:pos="0"/>
          <w:tab w:val="left" w:pos="1570"/>
          <w:tab w:val="left" w:pos="1857"/>
        </w:tabs>
      </w:pPr>
    </w:p>
    <w:p w14:paraId="0A37B9BA" w14:textId="77777777" w:rsidR="00770160" w:rsidRDefault="00770160">
      <w:pPr>
        <w:tabs>
          <w:tab w:val="left" w:pos="0"/>
          <w:tab w:val="left" w:pos="1570"/>
          <w:tab w:val="left" w:pos="1857"/>
        </w:tabs>
      </w:pPr>
    </w:p>
    <w:p w14:paraId="16DCC401" w14:textId="66CAAAC7" w:rsidR="00770160" w:rsidRDefault="00770160">
      <w:pPr>
        <w:pStyle w:val="Agendaitemtitle"/>
        <w:rPr>
          <w:lang w:val="sv-SE"/>
        </w:rPr>
      </w:pPr>
      <w:r>
        <w:rPr>
          <w:lang w:val="sv-SE"/>
        </w:rPr>
        <w:t>Agenda Item ..:</w:t>
      </w:r>
      <w:r>
        <w:rPr>
          <w:lang w:val="sv-SE"/>
        </w:rPr>
        <w:tab/>
      </w:r>
      <w:r w:rsidR="001756DA">
        <w:rPr>
          <w:lang w:val="sv-SE"/>
        </w:rPr>
        <w:t>WRC-23 Agenda Items</w:t>
      </w:r>
    </w:p>
    <w:p w14:paraId="2E581885" w14:textId="77777777" w:rsidR="00770160" w:rsidRDefault="00770160">
      <w:pPr>
        <w:pStyle w:val="Agendaitemtitle"/>
        <w:rPr>
          <w:b w:val="0"/>
          <w:lang w:val="sv-SE"/>
        </w:rPr>
      </w:pPr>
    </w:p>
    <w:p w14:paraId="04B1605A" w14:textId="77777777" w:rsidR="00770160" w:rsidRDefault="00770160">
      <w:pPr>
        <w:tabs>
          <w:tab w:val="left" w:pos="6972"/>
        </w:tabs>
        <w:rPr>
          <w:b/>
          <w:lang w:val="sv-SE"/>
        </w:rPr>
      </w:pPr>
    </w:p>
    <w:p w14:paraId="23CA171B" w14:textId="1A2AD732" w:rsidR="00770160" w:rsidRDefault="00C3498A">
      <w:pPr>
        <w:pStyle w:val="Maintitle"/>
      </w:pPr>
      <w:r>
        <w:t xml:space="preserve">Regulatory </w:t>
      </w:r>
      <w:r w:rsidR="00D666D2">
        <w:t>Analysis on Agenda Item 1.9 Wideband HF</w:t>
      </w:r>
    </w:p>
    <w:p w14:paraId="1AE51DB2" w14:textId="77777777" w:rsidR="00770160" w:rsidRDefault="00770160">
      <w:pPr>
        <w:tabs>
          <w:tab w:val="left" w:pos="6972"/>
        </w:tabs>
      </w:pPr>
    </w:p>
    <w:p w14:paraId="62B0FE4E" w14:textId="77777777" w:rsidR="00770160" w:rsidRDefault="00770160">
      <w:pPr>
        <w:tabs>
          <w:tab w:val="left" w:pos="6972"/>
        </w:tabs>
      </w:pPr>
    </w:p>
    <w:p w14:paraId="3B18E737" w14:textId="355D4245" w:rsidR="00770160" w:rsidRDefault="00770160">
      <w:pPr>
        <w:jc w:val="center"/>
      </w:pPr>
      <w:r>
        <w:t>(Presented by</w:t>
      </w:r>
      <w:bookmarkStart w:id="1" w:name="presented_by"/>
      <w:bookmarkEnd w:id="1"/>
      <w:r>
        <w:t xml:space="preserve"> </w:t>
      </w:r>
      <w:r w:rsidR="00BF3A8E">
        <w:t>Gregory Baker</w:t>
      </w:r>
      <w:r>
        <w:t>)</w:t>
      </w:r>
    </w:p>
    <w:p w14:paraId="456B084A" w14:textId="77777777" w:rsidR="00770160" w:rsidRDefault="00770160"/>
    <w:p w14:paraId="3629DA85"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67513880" w14:textId="77777777">
        <w:trPr>
          <w:cantSplit/>
          <w:trHeight w:hRule="exact" w:val="480"/>
          <w:jc w:val="center"/>
        </w:trPr>
        <w:tc>
          <w:tcPr>
            <w:tcW w:w="7200" w:type="dxa"/>
            <w:vAlign w:val="center"/>
          </w:tcPr>
          <w:p w14:paraId="7EB0FFC6" w14:textId="77777777" w:rsidR="00770160" w:rsidRDefault="00770160">
            <w:pPr>
              <w:jc w:val="center"/>
              <w:rPr>
                <w:sz w:val="24"/>
                <w:lang w:val="en-US"/>
              </w:rPr>
            </w:pPr>
            <w:r>
              <w:rPr>
                <w:b/>
              </w:rPr>
              <w:t>SUMMARY</w:t>
            </w:r>
          </w:p>
        </w:tc>
      </w:tr>
      <w:tr w:rsidR="00770160" w14:paraId="1967BD76" w14:textId="77777777">
        <w:trPr>
          <w:cantSplit/>
          <w:jc w:val="center"/>
        </w:trPr>
        <w:tc>
          <w:tcPr>
            <w:tcW w:w="7200" w:type="dxa"/>
          </w:tcPr>
          <w:p w14:paraId="31F18428" w14:textId="486C046A" w:rsidR="00770160" w:rsidRDefault="006815DB">
            <w:pPr>
              <w:rPr>
                <w:lang w:val="en-US"/>
              </w:rPr>
            </w:pPr>
            <w:r>
              <w:rPr>
                <w:lang w:val="en-US"/>
              </w:rPr>
              <w:t>This paper discu</w:t>
            </w:r>
            <w:r w:rsidR="0078252A">
              <w:rPr>
                <w:lang w:val="en-US"/>
              </w:rPr>
              <w:t xml:space="preserve">sses </w:t>
            </w:r>
            <w:r w:rsidR="001756DA">
              <w:rPr>
                <w:lang w:val="en-US"/>
              </w:rPr>
              <w:t xml:space="preserve">a potential regulatory framework for Wideband HF under Agenda Item 1.9 from a </w:t>
            </w:r>
            <w:r w:rsidR="0078252A">
              <w:rPr>
                <w:lang w:val="en-US"/>
              </w:rPr>
              <w:t>historical context.</w:t>
            </w:r>
            <w:r w:rsidR="000D455B">
              <w:rPr>
                <w:lang w:val="en-US"/>
              </w:rPr>
              <w:t xml:space="preserve"> </w:t>
            </w:r>
            <w:r w:rsidR="0022737F">
              <w:rPr>
                <w:lang w:val="en-US"/>
              </w:rPr>
              <w:t>It aims to facilitate a discussion over the role of ICAO in coordination for HF assignments as well as future Wideband H</w:t>
            </w:r>
            <w:r w:rsidR="00F867C7">
              <w:rPr>
                <w:lang w:val="en-US"/>
              </w:rPr>
              <w:t xml:space="preserve">F </w:t>
            </w:r>
            <w:r w:rsidR="0022737F">
              <w:rPr>
                <w:lang w:val="en-US"/>
              </w:rPr>
              <w:t>assignments.</w:t>
            </w:r>
          </w:p>
        </w:tc>
      </w:tr>
    </w:tbl>
    <w:p w14:paraId="3BDC23EC" w14:textId="77777777" w:rsidR="00770160" w:rsidRDefault="00770160"/>
    <w:p w14:paraId="075AD63A" w14:textId="77777777" w:rsidR="00770160" w:rsidRDefault="00770160"/>
    <w:p w14:paraId="42D9191B" w14:textId="77777777" w:rsidR="00770160" w:rsidRDefault="00770160">
      <w:pPr>
        <w:pStyle w:val="1Heading"/>
      </w:pPr>
      <w:r>
        <w:t>INTRODUCTION</w:t>
      </w:r>
    </w:p>
    <w:p w14:paraId="470A3323" w14:textId="2586C118" w:rsidR="00D44D6D" w:rsidRPr="00D44D6D" w:rsidRDefault="00D44D6D" w:rsidP="00C93F2F">
      <w:pPr>
        <w:pStyle w:val="2para"/>
      </w:pPr>
      <w:r w:rsidRPr="00D44D6D">
        <w:t xml:space="preserve">WRC-23 Agenda Item 1.9 (AI 1.9) provides the aviation industry an opportunity to modernize </w:t>
      </w:r>
      <w:r w:rsidR="001756DA">
        <w:t xml:space="preserve">its </w:t>
      </w:r>
      <w:r w:rsidRPr="00D44D6D">
        <w:t xml:space="preserve">current HF usage and systems to allow for greater connectivity to modern aircraft.  However, it also comes with an interesting question of how </w:t>
      </w:r>
      <w:r w:rsidR="001756DA">
        <w:t>to</w:t>
      </w:r>
      <w:r w:rsidRPr="00D44D6D">
        <w:t xml:space="preserve"> apply these new Wide Band HF (WBHF) systems with the existing, regulatory framework that is the ITU-R Radio Regulations Appendix 27 (Appendix 27).  This paper provides</w:t>
      </w:r>
      <w:r w:rsidR="00B5754A" w:rsidRPr="00B5754A">
        <w:t xml:space="preserve"> </w:t>
      </w:r>
      <w:r w:rsidR="00A54991">
        <w:t>h</w:t>
      </w:r>
      <w:r w:rsidR="00B5754A">
        <w:t xml:space="preserve">istorical </w:t>
      </w:r>
      <w:r w:rsidR="00A54991">
        <w:t>c</w:t>
      </w:r>
      <w:r w:rsidR="00B5754A">
        <w:t xml:space="preserve">ontext related to the implementation of SSB and </w:t>
      </w:r>
      <w:r w:rsidR="00011020">
        <w:t>HFDL and</w:t>
      </w:r>
      <w:r w:rsidR="00B5754A">
        <w:t xml:space="preserve"> discusse</w:t>
      </w:r>
      <w:r w:rsidR="00A54991">
        <w:t>s</w:t>
      </w:r>
      <w:r w:rsidR="001812BA">
        <w:t xml:space="preserve"> </w:t>
      </w:r>
      <w:r w:rsidR="00B5754A">
        <w:t>the existing regulatory framework for Appendix 27</w:t>
      </w:r>
      <w:r w:rsidR="00A54991">
        <w:t>.</w:t>
      </w:r>
      <w:r w:rsidR="00B5754A" w:rsidRPr="00B5754A">
        <w:t xml:space="preserve"> </w:t>
      </w:r>
    </w:p>
    <w:p w14:paraId="1DA4F6D4" w14:textId="423AF40C" w:rsidR="00770160" w:rsidRDefault="00EF0668" w:rsidP="00A6216C">
      <w:pPr>
        <w:pStyle w:val="2para"/>
      </w:pPr>
      <w:r>
        <w:t>HF was the primary communication method</w:t>
      </w:r>
      <w:r w:rsidR="005265A8">
        <w:t xml:space="preserve"> for </w:t>
      </w:r>
      <w:r w:rsidR="00A54991">
        <w:t>a</w:t>
      </w:r>
      <w:r w:rsidR="005265A8">
        <w:t>ircraft</w:t>
      </w:r>
      <w:r>
        <w:t xml:space="preserve"> </w:t>
      </w:r>
      <w:r w:rsidR="005265A8">
        <w:t>in</w:t>
      </w:r>
      <w:r>
        <w:t xml:space="preserve"> </w:t>
      </w:r>
      <w:r w:rsidR="00A54991">
        <w:t>o</w:t>
      </w:r>
      <w:r w:rsidR="00F817D2">
        <w:t xml:space="preserve">ceanic and </w:t>
      </w:r>
      <w:r w:rsidR="00A54991">
        <w:t>r</w:t>
      </w:r>
      <w:r w:rsidR="00F817D2">
        <w:t xml:space="preserve">emote </w:t>
      </w:r>
      <w:r w:rsidR="00A54991">
        <w:t>a</w:t>
      </w:r>
      <w:r w:rsidR="00F817D2">
        <w:t xml:space="preserve">irspace, as well as some domestic </w:t>
      </w:r>
      <w:r w:rsidR="00A54991">
        <w:t>a</w:t>
      </w:r>
      <w:r w:rsidR="00F817D2">
        <w:t>irspace</w:t>
      </w:r>
      <w:r w:rsidR="00A54991">
        <w:t xml:space="preserve"> during the early days of aviation and well into the 20</w:t>
      </w:r>
      <w:r w:rsidR="001756DA">
        <w:t>th</w:t>
      </w:r>
      <w:r w:rsidR="00A54991">
        <w:t xml:space="preserve"> </w:t>
      </w:r>
      <w:r w:rsidR="001812BA">
        <w:t>centur</w:t>
      </w:r>
      <w:r w:rsidR="001756DA">
        <w:t>y</w:t>
      </w:r>
      <w:r w:rsidR="00A54991">
        <w:t>.</w:t>
      </w:r>
      <w:r w:rsidR="00C55C76">
        <w:t xml:space="preserve"> It </w:t>
      </w:r>
      <w:r w:rsidR="00A54991">
        <w:t xml:space="preserve">was </w:t>
      </w:r>
      <w:r w:rsidR="00C55C76">
        <w:t xml:space="preserve">used </w:t>
      </w:r>
      <w:r w:rsidR="00C87729">
        <w:t>for communication</w:t>
      </w:r>
      <w:r w:rsidR="001756DA">
        <w:t>s</w:t>
      </w:r>
      <w:r w:rsidR="00C87729">
        <w:t xml:space="preserve"> for aircraft before ICAO was established and before</w:t>
      </w:r>
      <w:r w:rsidR="005265A8">
        <w:t xml:space="preserve"> there were allocations to services in the Radio Regulations.</w:t>
      </w:r>
      <w:r w:rsidR="00DA43EE">
        <w:t xml:space="preserve"> Many of the </w:t>
      </w:r>
      <w:r w:rsidR="001756DA">
        <w:t>s</w:t>
      </w:r>
      <w:r w:rsidR="00DA43EE">
        <w:t xml:space="preserve">pectrum </w:t>
      </w:r>
      <w:r w:rsidR="001756DA">
        <w:t>m</w:t>
      </w:r>
      <w:r w:rsidR="00DA43EE">
        <w:t xml:space="preserve">anagement </w:t>
      </w:r>
      <w:r w:rsidR="00C57622">
        <w:t xml:space="preserve">techniques </w:t>
      </w:r>
      <w:r w:rsidR="001812BA">
        <w:t>for Aeronautical</w:t>
      </w:r>
      <w:r w:rsidR="00C57622">
        <w:t xml:space="preserve"> </w:t>
      </w:r>
      <w:r w:rsidR="00F03FE6">
        <w:t>Mobile</w:t>
      </w:r>
      <w:r w:rsidR="00C57622">
        <w:t xml:space="preserve"> (R) </w:t>
      </w:r>
      <w:r w:rsidR="00DA43EE">
        <w:t>HF</w:t>
      </w:r>
      <w:r w:rsidR="00F030EE">
        <w:t xml:space="preserve"> can be traced back to </w:t>
      </w:r>
      <w:r w:rsidR="008F04A1">
        <w:t>Appendix 27</w:t>
      </w:r>
      <w:r w:rsidR="001756DA">
        <w:t xml:space="preserve"> and its development through WRCs.</w:t>
      </w:r>
    </w:p>
    <w:p w14:paraId="2FC5063F" w14:textId="5F3299C2" w:rsidR="00D41533" w:rsidRDefault="00CE06DB">
      <w:pPr>
        <w:pStyle w:val="2para"/>
      </w:pPr>
      <w:r>
        <w:t xml:space="preserve">Since the </w:t>
      </w:r>
      <w:r w:rsidR="00793888">
        <w:t>implementation</w:t>
      </w:r>
      <w:r>
        <w:t xml:space="preserve"> of L-Band SATCOM</w:t>
      </w:r>
      <w:r w:rsidR="00053DE8">
        <w:t xml:space="preserve">, HF usage has seen a decline </w:t>
      </w:r>
      <w:r w:rsidR="00367D78">
        <w:t>in usage</w:t>
      </w:r>
      <w:r w:rsidR="003764F4">
        <w:t xml:space="preserve"> </w:t>
      </w:r>
      <w:r w:rsidR="00367D78">
        <w:t>for o</w:t>
      </w:r>
      <w:r w:rsidR="00053DE8">
        <w:t xml:space="preserve">ceanic and </w:t>
      </w:r>
      <w:r w:rsidR="00367D78">
        <w:t>r</w:t>
      </w:r>
      <w:r w:rsidR="00053DE8">
        <w:t xml:space="preserve">emote </w:t>
      </w:r>
      <w:r w:rsidR="00367D78">
        <w:t>c</w:t>
      </w:r>
      <w:r w:rsidR="00053DE8">
        <w:t>ommunication</w:t>
      </w:r>
      <w:r w:rsidR="00367D78">
        <w:t>, especially on new airframes</w:t>
      </w:r>
      <w:r w:rsidR="00C57622">
        <w:t>.</w:t>
      </w:r>
      <w:r w:rsidR="00053DE8">
        <w:t xml:space="preserve"> However, </w:t>
      </w:r>
      <w:r w:rsidR="001812BA">
        <w:t>HF is</w:t>
      </w:r>
      <w:r w:rsidR="00053DE8">
        <w:t xml:space="preserve"> still required </w:t>
      </w:r>
      <w:r w:rsidR="00793888">
        <w:t>equipage</w:t>
      </w:r>
      <w:r w:rsidR="00053DE8">
        <w:t xml:space="preserve"> </w:t>
      </w:r>
      <w:r w:rsidR="00367D78">
        <w:t xml:space="preserve">as the primary means of communication by many regulators </w:t>
      </w:r>
      <w:r w:rsidR="00053DE8">
        <w:t xml:space="preserve">for Oceanic </w:t>
      </w:r>
      <w:r w:rsidR="00793888">
        <w:t>Clearance</w:t>
      </w:r>
      <w:r w:rsidR="00053DE8">
        <w:t xml:space="preserve"> and still </w:t>
      </w:r>
      <w:r w:rsidR="00053DE8">
        <w:lastRenderedPageBreak/>
        <w:t xml:space="preserve">will have a role as a future communication </w:t>
      </w:r>
      <w:r w:rsidR="00793888">
        <w:t>mechanism</w:t>
      </w:r>
      <w:r w:rsidR="00053DE8">
        <w:t>, as</w:t>
      </w:r>
      <w:r w:rsidR="00040E9C">
        <w:t xml:space="preserve"> it has different</w:t>
      </w:r>
      <w:r w:rsidR="00446DC3">
        <w:t xml:space="preserve"> interference/outage</w:t>
      </w:r>
      <w:r w:rsidR="00040E9C">
        <w:t xml:space="preserve"> </w:t>
      </w:r>
      <w:r w:rsidR="00793888">
        <w:t>susceptibility</w:t>
      </w:r>
      <w:r w:rsidR="00040E9C">
        <w:t xml:space="preserve"> then L-Band SATCOM.</w:t>
      </w:r>
    </w:p>
    <w:p w14:paraId="53CAAEED" w14:textId="5AB7CA10" w:rsidR="004A5727" w:rsidRDefault="00B45168" w:rsidP="004A5727">
      <w:pPr>
        <w:pStyle w:val="2para"/>
      </w:pPr>
      <w:r>
        <w:t xml:space="preserve">As discussed below, there is a regulatory overlap between the ITU-R and ICAO for aeronautical HF assignments that, if refined as part of this Agenda Item, </w:t>
      </w:r>
      <w:r w:rsidR="004A5727">
        <w:t xml:space="preserve">would promote more efficient use of the spectrum </w:t>
      </w:r>
      <w:r>
        <w:t xml:space="preserve">that is more response to the operators and users. </w:t>
      </w:r>
      <w:r w:rsidR="004A5727">
        <w:t>This would not remove the necessary work of the ITU-R, and the requirement to submit assignments to the MIFR</w:t>
      </w:r>
      <w:r>
        <w:t>, but could be part of</w:t>
      </w:r>
      <w:r w:rsidR="004A5727">
        <w:t xml:space="preserve"> </w:t>
      </w:r>
      <w:r>
        <w:t>a</w:t>
      </w:r>
      <w:r w:rsidR="004A5727">
        <w:t>n HF Overlay approach would fit into the existing framework of Appendix 27, and not require a full rewrite.</w:t>
      </w:r>
    </w:p>
    <w:p w14:paraId="318A1E61" w14:textId="2E9259DD" w:rsidR="00E71C45" w:rsidRDefault="00031669" w:rsidP="00E71C45">
      <w:pPr>
        <w:pStyle w:val="1Heading"/>
        <w:rPr>
          <w:lang w:val="en-US"/>
        </w:rPr>
      </w:pPr>
      <w:r>
        <w:rPr>
          <w:lang w:val="en-US"/>
        </w:rPr>
        <w:t>UPDATES FROM</w:t>
      </w:r>
      <w:r w:rsidR="00E522C3">
        <w:rPr>
          <w:lang w:val="en-US"/>
        </w:rPr>
        <w:t xml:space="preserve">  </w:t>
      </w:r>
      <w:r>
        <w:rPr>
          <w:lang w:val="en-US"/>
        </w:rPr>
        <w:t xml:space="preserve">1979 AND HFDL </w:t>
      </w:r>
      <w:r w:rsidR="00E522C3">
        <w:rPr>
          <w:lang w:val="en-US"/>
        </w:rPr>
        <w:t>IN</w:t>
      </w:r>
      <w:r w:rsidR="00A42709">
        <w:rPr>
          <w:lang w:val="en-US"/>
        </w:rPr>
        <w:t xml:space="preserve"> 1998</w:t>
      </w:r>
    </w:p>
    <w:p w14:paraId="78B6F75B" w14:textId="55C97AB3" w:rsidR="00D5471B" w:rsidRDefault="00270D3D">
      <w:pPr>
        <w:pStyle w:val="2para"/>
      </w:pPr>
      <w:r>
        <w:t>The las</w:t>
      </w:r>
      <w:r w:rsidR="00B91E7F">
        <w:t>t</w:t>
      </w:r>
      <w:r>
        <w:t xml:space="preserve"> significant changes</w:t>
      </w:r>
      <w:r w:rsidR="00C57622">
        <w:t xml:space="preserve"> to </w:t>
      </w:r>
      <w:r>
        <w:t xml:space="preserve">Appendix 27 </w:t>
      </w:r>
      <w:r w:rsidR="00793888">
        <w:t>were</w:t>
      </w:r>
      <w:r>
        <w:t xml:space="preserve"> at </w:t>
      </w:r>
      <w:r w:rsidR="00DA4F63" w:rsidRPr="00DA4F63">
        <w:t>World Administrative Radio Conference on the Aeronautical Mobile (R) Service (Geneva, 1978)</w:t>
      </w:r>
      <w:r w:rsidR="00BC5FF5">
        <w:t xml:space="preserve">, establishing the regulatory framework to allow the transition from </w:t>
      </w:r>
      <w:r w:rsidR="005A2F73">
        <w:t>D</w:t>
      </w:r>
      <w:r w:rsidR="00BC5FF5">
        <w:t xml:space="preserve">ouble </w:t>
      </w:r>
      <w:r w:rsidR="005A2F73">
        <w:t>S</w:t>
      </w:r>
      <w:r w:rsidR="00BC5FF5">
        <w:t>ide</w:t>
      </w:r>
      <w:r w:rsidR="00AD1672">
        <w:t xml:space="preserve"> </w:t>
      </w:r>
      <w:r w:rsidR="005A2F73">
        <w:t>B</w:t>
      </w:r>
      <w:r w:rsidR="00AD1672">
        <w:t>and</w:t>
      </w:r>
      <w:r w:rsidR="00F13408">
        <w:t xml:space="preserve"> (DSB)</w:t>
      </w:r>
      <w:r w:rsidR="00AD1672">
        <w:t xml:space="preserve"> to </w:t>
      </w:r>
      <w:r w:rsidR="00C15A05">
        <w:t>S</w:t>
      </w:r>
      <w:r w:rsidR="00AD1672">
        <w:t xml:space="preserve">ingle </w:t>
      </w:r>
      <w:r w:rsidR="00C15A05">
        <w:t>S</w:t>
      </w:r>
      <w:r w:rsidR="00AD1672">
        <w:t xml:space="preserve">ide </w:t>
      </w:r>
      <w:r w:rsidR="00C15A05">
        <w:t>B</w:t>
      </w:r>
      <w:r w:rsidR="00AD1672">
        <w:t>and</w:t>
      </w:r>
      <w:r w:rsidR="00C15A05">
        <w:t xml:space="preserve"> (SSB)</w:t>
      </w:r>
      <w:r w:rsidR="00AD1672">
        <w:t xml:space="preserve"> (Using Upper Side Band</w:t>
      </w:r>
      <w:r w:rsidR="00C15A05">
        <w:t xml:space="preserve"> (USB)</w:t>
      </w:r>
      <w:r w:rsidR="00AD1672">
        <w:t xml:space="preserve">). </w:t>
      </w:r>
      <w:r w:rsidR="00F04337">
        <w:t xml:space="preserve">At </w:t>
      </w:r>
      <w:r w:rsidR="00C94784">
        <w:t xml:space="preserve">the same </w:t>
      </w:r>
      <w:r w:rsidR="00F04337">
        <w:t xml:space="preserve">conference </w:t>
      </w:r>
      <w:r w:rsidR="00F04337" w:rsidRPr="00C93F2F">
        <w:t>world-wide allotment area</w:t>
      </w:r>
      <w:r w:rsidR="00446DC3">
        <w:t>s</w:t>
      </w:r>
      <w:r w:rsidR="00AD1672">
        <w:t xml:space="preserve"> </w:t>
      </w:r>
      <w:r w:rsidR="00F04337">
        <w:t xml:space="preserve">for the purpose of creating Long </w:t>
      </w:r>
      <w:r w:rsidR="00C94784">
        <w:t>D</w:t>
      </w:r>
      <w:r w:rsidR="00F04337">
        <w:t xml:space="preserve">istance </w:t>
      </w:r>
      <w:r w:rsidR="00C94784">
        <w:t>O</w:t>
      </w:r>
      <w:r w:rsidR="00F04337">
        <w:t xml:space="preserve">perational </w:t>
      </w:r>
      <w:r w:rsidR="00C94784">
        <w:t>C</w:t>
      </w:r>
      <w:r w:rsidR="00F04337">
        <w:t xml:space="preserve">ontrol </w:t>
      </w:r>
      <w:r w:rsidR="00C94784">
        <w:t>F</w:t>
      </w:r>
      <w:r w:rsidR="00F04337">
        <w:t>requencies</w:t>
      </w:r>
      <w:r w:rsidR="00836BAD">
        <w:t xml:space="preserve"> were allocated</w:t>
      </w:r>
      <w:r w:rsidR="00F04337">
        <w:t>.</w:t>
      </w:r>
      <w:r w:rsidR="00B91E7F">
        <w:t xml:space="preserve"> </w:t>
      </w:r>
    </w:p>
    <w:p w14:paraId="313CCECA" w14:textId="40E0F568" w:rsidR="00770160" w:rsidRDefault="00B91E7F">
      <w:pPr>
        <w:pStyle w:val="2para"/>
      </w:pPr>
      <w:r>
        <w:t xml:space="preserve">An important concept </w:t>
      </w:r>
      <w:r w:rsidR="00D33884">
        <w:t xml:space="preserve">to consider was </w:t>
      </w:r>
      <w:r w:rsidR="00D5471B">
        <w:t>the transition from DSB to SSB and</w:t>
      </w:r>
      <w:r w:rsidR="00606582">
        <w:t xml:space="preserve"> the transition period. As see</w:t>
      </w:r>
      <w:r w:rsidR="00B45168">
        <w:t>n</w:t>
      </w:r>
      <w:r w:rsidR="00606582">
        <w:t xml:space="preserve"> </w:t>
      </w:r>
      <w:r w:rsidR="00BD1BD2">
        <w:t>from the Radio Regulations</w:t>
      </w:r>
      <w:r w:rsidR="007E5422">
        <w:t xml:space="preserve">, the transition period was from the end of the WARC </w:t>
      </w:r>
      <w:r w:rsidR="005D5B2F">
        <w:t xml:space="preserve">Aer2 </w:t>
      </w:r>
      <w:r w:rsidR="00D5471B" w:rsidRPr="00DA4F63">
        <w:t>(Geneva, 1978</w:t>
      </w:r>
      <w:r w:rsidR="00D5471B">
        <w:t xml:space="preserve">) </w:t>
      </w:r>
      <w:r w:rsidR="007E5422">
        <w:t>to 1983 (</w:t>
      </w:r>
      <w:r w:rsidR="00446DC3">
        <w:t>a</w:t>
      </w:r>
      <w:r w:rsidR="007E5422">
        <w:t>s we see in the s</w:t>
      </w:r>
      <w:r w:rsidR="005D5B2F">
        <w:t>p</w:t>
      </w:r>
      <w:r w:rsidR="007E5422">
        <w:t>ectrum mask</w:t>
      </w:r>
      <w:r w:rsidR="005D5B2F">
        <w:t>s</w:t>
      </w:r>
      <w:r w:rsidR="00167E31">
        <w:t xml:space="preserve"> in </w:t>
      </w:r>
      <w:r w:rsidR="00167E31" w:rsidRPr="00446DC3">
        <w:t>27/</w:t>
      </w:r>
      <w:r w:rsidR="00F77E17" w:rsidRPr="00446DC3">
        <w:t>74</w:t>
      </w:r>
      <w:r w:rsidR="007E5422">
        <w:t>)</w:t>
      </w:r>
      <w:r w:rsidR="005D5B2F">
        <w:t>. When the channel plan was developed</w:t>
      </w:r>
      <w:r w:rsidR="00C94784">
        <w:t xml:space="preserve"> </w:t>
      </w:r>
      <w:r w:rsidR="00F13408">
        <w:t xml:space="preserve">the </w:t>
      </w:r>
      <w:proofErr w:type="gramStart"/>
      <w:r w:rsidR="00C94784">
        <w:t>carrier</w:t>
      </w:r>
      <w:proofErr w:type="gramEnd"/>
      <w:r w:rsidR="00F13408">
        <w:t xml:space="preserve"> frequencies remained the same. Since DSB was still in use, it made practical sense to keep the same carrier </w:t>
      </w:r>
      <w:r w:rsidR="00BD1BD2">
        <w:t>frequencies and</w:t>
      </w:r>
      <w:r w:rsidR="004814E6">
        <w:t xml:space="preserve"> have the SSB use the upper portion</w:t>
      </w:r>
      <w:r w:rsidR="00B45168">
        <w:t xml:space="preserve"> of the assignment</w:t>
      </w:r>
      <w:r w:rsidR="004814E6">
        <w:t>.</w:t>
      </w:r>
    </w:p>
    <w:p w14:paraId="260EF672" w14:textId="71A06450" w:rsidR="00D46246" w:rsidRDefault="00D46246" w:rsidP="00D46246">
      <w:pPr>
        <w:pStyle w:val="Caption"/>
        <w:keepNext/>
        <w:jc w:val="center"/>
      </w:pPr>
      <w:r>
        <w:t xml:space="preserve">Figure </w:t>
      </w:r>
      <w:r>
        <w:fldChar w:fldCharType="begin"/>
      </w:r>
      <w:r>
        <w:instrText xml:space="preserve"> SEQ Figure \* ARABIC </w:instrText>
      </w:r>
      <w:r>
        <w:fldChar w:fldCharType="separate"/>
      </w:r>
      <w:r>
        <w:rPr>
          <w:noProof/>
        </w:rPr>
        <w:t>1</w:t>
      </w:r>
      <w:r>
        <w:fldChar w:fldCharType="end"/>
      </w:r>
      <w:r>
        <w:t>- DSB and USB</w:t>
      </w:r>
      <w:r w:rsidR="00285194">
        <w:rPr>
          <w:rStyle w:val="FootnoteReference"/>
        </w:rPr>
        <w:footnoteReference w:id="2"/>
      </w:r>
    </w:p>
    <w:p w14:paraId="307176C3" w14:textId="28F495C6" w:rsidR="00D46246" w:rsidRDefault="000873CE" w:rsidP="00D46246">
      <w:pPr>
        <w:pStyle w:val="2para"/>
        <w:numPr>
          <w:ilvl w:val="0"/>
          <w:numId w:val="0"/>
        </w:numPr>
        <w:jc w:val="center"/>
      </w:pPr>
      <w:r>
        <w:rPr>
          <w:noProof/>
        </w:rPr>
        <w:drawing>
          <wp:inline distT="0" distB="0" distL="0" distR="0" wp14:anchorId="037C3D9C" wp14:editId="43AFA9B1">
            <wp:extent cx="3432174" cy="2588197"/>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4869" cy="2612852"/>
                    </a:xfrm>
                    <a:prstGeom prst="rect">
                      <a:avLst/>
                    </a:prstGeom>
                    <a:noFill/>
                    <a:ln>
                      <a:noFill/>
                    </a:ln>
                  </pic:spPr>
                </pic:pic>
              </a:graphicData>
            </a:graphic>
          </wp:inline>
        </w:drawing>
      </w:r>
    </w:p>
    <w:p w14:paraId="7ADDD96B" w14:textId="17C48B3C" w:rsidR="00283466" w:rsidRDefault="00283466">
      <w:pPr>
        <w:pStyle w:val="2para"/>
      </w:pPr>
      <w:r>
        <w:t xml:space="preserve">During the late </w:t>
      </w:r>
      <w:r w:rsidR="00F23262">
        <w:t xml:space="preserve">1990’s, the SARPs were developed for HFDL. </w:t>
      </w:r>
      <w:r w:rsidR="00F03FE6">
        <w:t>One administration</w:t>
      </w:r>
      <w:r w:rsidR="00F23262">
        <w:t xml:space="preserve"> had submitted </w:t>
      </w:r>
      <w:r w:rsidR="00CE1496">
        <w:t xml:space="preserve">assignments </w:t>
      </w:r>
      <w:r w:rsidR="00F23262" w:rsidRPr="001812BA">
        <w:t xml:space="preserve">to the </w:t>
      </w:r>
      <w:r w:rsidR="00F03FE6" w:rsidRPr="001812BA">
        <w:t>ITU</w:t>
      </w:r>
      <w:r w:rsidR="00F03FE6">
        <w:t xml:space="preserve">-R </w:t>
      </w:r>
      <w:r w:rsidR="00CA4514">
        <w:t xml:space="preserve">to </w:t>
      </w:r>
      <w:r w:rsidR="00372DB0">
        <w:t>recognize</w:t>
      </w:r>
      <w:r w:rsidR="00CA4514">
        <w:t xml:space="preserve"> the new emissions (J2D) and the new ground stations. </w:t>
      </w:r>
      <w:r w:rsidR="00CA4514">
        <w:lastRenderedPageBreak/>
        <w:t xml:space="preserve">The </w:t>
      </w:r>
      <w:r w:rsidR="00F03FE6">
        <w:t xml:space="preserve">ITU-R </w:t>
      </w:r>
      <w:r w:rsidR="00CA4514">
        <w:t>held off on</w:t>
      </w:r>
      <w:r w:rsidR="009A71C0">
        <w:t xml:space="preserve"> the license applications until there was clarification</w:t>
      </w:r>
      <w:r w:rsidR="00372DB0">
        <w:t xml:space="preserve"> on the procedure</w:t>
      </w:r>
      <w:r w:rsidR="009A71C0">
        <w:t xml:space="preserve"> by ICAO</w:t>
      </w:r>
      <w:r w:rsidR="000B5B0F">
        <w:rPr>
          <w:rStyle w:val="FootnoteReference"/>
        </w:rPr>
        <w:footnoteReference w:id="3"/>
      </w:r>
      <w:r w:rsidR="009A71C0">
        <w:t xml:space="preserve"> and the RRB</w:t>
      </w:r>
      <w:r w:rsidR="003C2CB3">
        <w:rPr>
          <w:rStyle w:val="FootnoteReference"/>
        </w:rPr>
        <w:footnoteReference w:id="4"/>
      </w:r>
      <w:r w:rsidR="009A71C0">
        <w:t>. ICAO had submitted the initial</w:t>
      </w:r>
      <w:r w:rsidR="00857747">
        <w:t xml:space="preserve"> </w:t>
      </w:r>
      <w:r w:rsidR="00E231B5">
        <w:t>Recommendation</w:t>
      </w:r>
      <w:r w:rsidR="00857747">
        <w:t xml:space="preserve"> (M.1640) based on the development work of the SARPs.</w:t>
      </w:r>
      <w:r w:rsidR="004B1121">
        <w:t xml:space="preserve"> The RRB allowed HFDL</w:t>
      </w:r>
      <w:r w:rsidR="0012097D">
        <w:t xml:space="preserve"> as stated in the Rules of Procedure for Appendix 27</w:t>
      </w:r>
      <w:r w:rsidR="00194C3E">
        <w:rPr>
          <w:rStyle w:val="FootnoteReference"/>
        </w:rPr>
        <w:footnoteReference w:id="5"/>
      </w:r>
      <w:r w:rsidR="0012097D">
        <w:t>.</w:t>
      </w:r>
      <w:r w:rsidR="00857747">
        <w:t xml:space="preserve"> </w:t>
      </w:r>
    </w:p>
    <w:p w14:paraId="6F0EE0EF" w14:textId="531C7F5C" w:rsidR="00E71C45" w:rsidRDefault="00031669" w:rsidP="00E71C45">
      <w:pPr>
        <w:pStyle w:val="1Heading"/>
        <w:rPr>
          <w:lang w:val="en-US"/>
        </w:rPr>
      </w:pPr>
      <w:r>
        <w:rPr>
          <w:lang w:val="en-US"/>
        </w:rPr>
        <w:t>DEVELOPMENT OF APPENDIX 27</w:t>
      </w:r>
    </w:p>
    <w:p w14:paraId="7D22845A" w14:textId="1667CC86" w:rsidR="00E862D5" w:rsidRDefault="00E862D5">
      <w:pPr>
        <w:pStyle w:val="2para"/>
      </w:pPr>
      <w:r>
        <w:t>Since HF</w:t>
      </w:r>
      <w:r w:rsidR="00DA6533">
        <w:t xml:space="preserve"> had been used for aviation before this time, there was fragmentation</w:t>
      </w:r>
      <w:r w:rsidR="00231458">
        <w:t xml:space="preserve"> of</w:t>
      </w:r>
      <w:r w:rsidR="00DA6533">
        <w:t xml:space="preserve"> different standards for the use of HF</w:t>
      </w:r>
      <w:r w:rsidR="00657123">
        <w:t xml:space="preserve"> and the current Standards and </w:t>
      </w:r>
      <w:r w:rsidR="000E3E56">
        <w:t>Recommended</w:t>
      </w:r>
      <w:r w:rsidR="00657123">
        <w:t xml:space="preserve"> Practices </w:t>
      </w:r>
      <w:r w:rsidR="00F03FE6">
        <w:t>were preliminary.</w:t>
      </w:r>
      <w:r w:rsidR="00DA6533">
        <w:t xml:space="preserve"> The other issue</w:t>
      </w:r>
      <w:r w:rsidR="00231458">
        <w:t xml:space="preserve"> was</w:t>
      </w:r>
      <w:r w:rsidR="00DA6533">
        <w:t xml:space="preserve"> the difference in country signatories</w:t>
      </w:r>
      <w:r w:rsidR="00625EC0">
        <w:rPr>
          <w:rStyle w:val="FootnoteReference"/>
        </w:rPr>
        <w:footnoteReference w:id="6"/>
      </w:r>
      <w:r w:rsidR="00DA6533">
        <w:t>. The Radio Regulations had been in force much longer</w:t>
      </w:r>
      <w:r w:rsidR="001800E1">
        <w:t xml:space="preserve"> th</w:t>
      </w:r>
      <w:r w:rsidR="00086E22">
        <w:t>a</w:t>
      </w:r>
      <w:r w:rsidR="001800E1">
        <w:t xml:space="preserve">n the </w:t>
      </w:r>
      <w:r w:rsidR="00086E22">
        <w:t xml:space="preserve">ICAO </w:t>
      </w:r>
      <w:r w:rsidR="001800E1">
        <w:t xml:space="preserve">Chicago </w:t>
      </w:r>
      <w:r w:rsidR="006D240B">
        <w:t>Convention</w:t>
      </w:r>
      <w:r w:rsidR="00913972">
        <w:t xml:space="preserve"> and t</w:t>
      </w:r>
      <w:r w:rsidR="001800E1">
        <w:t xml:space="preserve">here was a large difference between the </w:t>
      </w:r>
      <w:r w:rsidR="00762478">
        <w:t xml:space="preserve">signatories between </w:t>
      </w:r>
      <w:r w:rsidR="00086E22">
        <w:t xml:space="preserve">the </w:t>
      </w:r>
      <w:r w:rsidR="001812BA">
        <w:t>two treaties</w:t>
      </w:r>
      <w:r w:rsidR="00762478">
        <w:t>.</w:t>
      </w:r>
      <w:r w:rsidR="00913972">
        <w:t xml:space="preserve"> Figure </w:t>
      </w:r>
      <w:r w:rsidR="00D01222">
        <w:t xml:space="preserve">2 </w:t>
      </w:r>
      <w:r w:rsidR="00913972">
        <w:t xml:space="preserve">below, taken from data available on the ITU-R and ICAO Websites demonstrates the signatory gap. </w:t>
      </w:r>
      <w:r w:rsidR="00DC3C3F">
        <w:t>Today</w:t>
      </w:r>
      <w:r w:rsidR="00913972">
        <w:t xml:space="preserve"> there are </w:t>
      </w:r>
      <w:r w:rsidR="00231458">
        <w:t xml:space="preserve">almost no </w:t>
      </w:r>
      <w:r w:rsidR="00913972">
        <w:t>differences between country signatorie</w:t>
      </w:r>
      <w:r w:rsidR="00E75B7C">
        <w:t>s, but the total count remains the same.</w:t>
      </w:r>
    </w:p>
    <w:p w14:paraId="341D4716" w14:textId="37341996" w:rsidR="00E75B7C" w:rsidRDefault="00E75B7C" w:rsidP="00E75B7C">
      <w:pPr>
        <w:pStyle w:val="Caption"/>
        <w:keepNext/>
        <w:jc w:val="center"/>
      </w:pPr>
      <w:r>
        <w:lastRenderedPageBreak/>
        <w:t xml:space="preserve">Figure </w:t>
      </w:r>
      <w:r>
        <w:fldChar w:fldCharType="begin"/>
      </w:r>
      <w:r>
        <w:instrText xml:space="preserve"> SEQ Figure \* ARABIC </w:instrText>
      </w:r>
      <w:r>
        <w:fldChar w:fldCharType="separate"/>
      </w:r>
      <w:r w:rsidR="00D46246">
        <w:rPr>
          <w:noProof/>
        </w:rPr>
        <w:t>2</w:t>
      </w:r>
      <w:r>
        <w:fldChar w:fldCharType="end"/>
      </w:r>
      <w:r>
        <w:t xml:space="preserve">- ICAO and ITU-R </w:t>
      </w:r>
      <w:r w:rsidR="005A2F73">
        <w:t>Signatory</w:t>
      </w:r>
      <w:r>
        <w:t xml:space="preserve"> Countries</w:t>
      </w:r>
      <w:r>
        <w:rPr>
          <w:rStyle w:val="FootnoteReference"/>
        </w:rPr>
        <w:footnoteReference w:id="7"/>
      </w:r>
    </w:p>
    <w:p w14:paraId="6E0A78DA" w14:textId="45543229" w:rsidR="00E75B7C" w:rsidRDefault="00E75B7C" w:rsidP="00514EF0">
      <w:pPr>
        <w:pStyle w:val="2para"/>
        <w:numPr>
          <w:ilvl w:val="0"/>
          <w:numId w:val="0"/>
        </w:numPr>
        <w:jc w:val="center"/>
      </w:pPr>
      <w:r>
        <w:rPr>
          <w:noProof/>
        </w:rPr>
        <w:drawing>
          <wp:inline distT="0" distB="0" distL="0" distR="0" wp14:anchorId="4A15328D" wp14:editId="7BCB7948">
            <wp:extent cx="6189980" cy="3536315"/>
            <wp:effectExtent l="0" t="0" r="1270" b="6985"/>
            <wp:docPr id="4" name="Chart 4">
              <a:extLst xmlns:a="http://schemas.openxmlformats.org/drawingml/2006/main">
                <a:ext uri="{FF2B5EF4-FFF2-40B4-BE49-F238E27FC236}">
                  <a16:creationId xmlns:a16="http://schemas.microsoft.com/office/drawing/2014/main" id="{D8F4DECB-AA4D-4044-B481-F41D2DC77B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7162C8" w14:textId="59FB325F" w:rsidR="00E75B7C" w:rsidRDefault="0096092D">
      <w:pPr>
        <w:pStyle w:val="2para"/>
      </w:pPr>
      <w:r>
        <w:t>Allotments</w:t>
      </w:r>
      <w:r w:rsidR="00424ABA">
        <w:t xml:space="preserve"> </w:t>
      </w:r>
      <w:r w:rsidR="00086E22">
        <w:t xml:space="preserve">were made </w:t>
      </w:r>
      <w:r w:rsidR="00424ABA">
        <w:t xml:space="preserve">to </w:t>
      </w:r>
      <w:r w:rsidR="00950DD3" w:rsidRPr="00950DD3">
        <w:t>RDARA</w:t>
      </w:r>
      <w:r w:rsidR="00424ABA">
        <w:t xml:space="preserve"> MWARA</w:t>
      </w:r>
      <w:r w:rsidR="00086E22">
        <w:t xml:space="preserve"> and LDOC (worldwide) and</w:t>
      </w:r>
      <w:r>
        <w:t xml:space="preserve"> </w:t>
      </w:r>
      <w:r w:rsidR="00A26626">
        <w:t>are</w:t>
      </w:r>
      <w:r>
        <w:t xml:space="preserve"> </w:t>
      </w:r>
      <w:r w:rsidR="00094886">
        <w:t xml:space="preserve">understood to be </w:t>
      </w:r>
      <w:r>
        <w:t>based on data analysis for air traffic</w:t>
      </w:r>
      <w:r w:rsidR="00135B52">
        <w:t xml:space="preserve"> as well as existing VHF coverage</w:t>
      </w:r>
      <w:r w:rsidR="005A4482">
        <w:t xml:space="preserve"> and national requirements</w:t>
      </w:r>
      <w:r w:rsidRPr="0073157C">
        <w:t xml:space="preserve">. </w:t>
      </w:r>
      <w:r w:rsidR="0069494F" w:rsidRPr="004A5727">
        <w:t>Administrations</w:t>
      </w:r>
      <w:r w:rsidRPr="001812BA">
        <w:t xml:space="preserve"> would submit their current air traffic</w:t>
      </w:r>
      <w:r w:rsidR="005F6E9C" w:rsidRPr="001812BA">
        <w:t xml:space="preserve"> data</w:t>
      </w:r>
      <w:r w:rsidRPr="001812BA">
        <w:t xml:space="preserve"> </w:t>
      </w:r>
      <w:r w:rsidR="009605A0" w:rsidRPr="001812BA">
        <w:t>and decisions were made</w:t>
      </w:r>
      <w:r w:rsidR="00987473" w:rsidRPr="001812BA">
        <w:t xml:space="preserve"> during </w:t>
      </w:r>
      <w:r w:rsidR="001812BA" w:rsidRPr="001812BA">
        <w:t>the WRC</w:t>
      </w:r>
      <w:r w:rsidR="00987473" w:rsidRPr="001812BA">
        <w:t xml:space="preserve"> Session</w:t>
      </w:r>
      <w:r w:rsidR="009605A0" w:rsidRPr="001812BA">
        <w:t xml:space="preserve"> on how to allocate RDARAs.</w:t>
      </w:r>
      <w:r w:rsidR="00086E22">
        <w:t xml:space="preserve"> </w:t>
      </w:r>
    </w:p>
    <w:p w14:paraId="0A822D1A" w14:textId="64289BC2" w:rsidR="005D5B5F" w:rsidRDefault="00B86391">
      <w:pPr>
        <w:pStyle w:val="2para"/>
      </w:pPr>
      <w:r>
        <w:t xml:space="preserve">The </w:t>
      </w:r>
      <w:r w:rsidR="00231458">
        <w:t xml:space="preserve">believed </w:t>
      </w:r>
      <w:r>
        <w:t xml:space="preserve">intent behind </w:t>
      </w:r>
      <w:r w:rsidR="00950DD3" w:rsidRPr="00950DD3">
        <w:t>RDARA</w:t>
      </w:r>
      <w:r w:rsidR="006815DB">
        <w:t xml:space="preserve"> frequencies</w:t>
      </w:r>
      <w:r>
        <w:t xml:space="preserve"> was that </w:t>
      </w:r>
      <w:r w:rsidR="0069494F">
        <w:t>administrations</w:t>
      </w:r>
      <w:r>
        <w:t xml:space="preserve"> </w:t>
      </w:r>
      <w:r w:rsidR="00CF212A">
        <w:t xml:space="preserve">could </w:t>
      </w:r>
      <w:r w:rsidR="00A341AA">
        <w:t>minimize</w:t>
      </w:r>
      <w:r w:rsidR="00CF212A">
        <w:t xml:space="preserve"> coordination, possibl</w:t>
      </w:r>
      <w:r w:rsidR="009E4910">
        <w:t>y</w:t>
      </w:r>
      <w:r w:rsidR="00CF212A">
        <w:t xml:space="preserve"> </w:t>
      </w:r>
      <w:r>
        <w:t>need</w:t>
      </w:r>
      <w:r w:rsidR="00CF212A">
        <w:t>ing only</w:t>
      </w:r>
      <w:r>
        <w:t xml:space="preserve"> to do multi-lateral or bi-lateral </w:t>
      </w:r>
      <w:r w:rsidR="001B016D">
        <w:t>negotiations</w:t>
      </w:r>
      <w:r>
        <w:t xml:space="preserve"> rather than </w:t>
      </w:r>
      <w:r w:rsidR="001812BA">
        <w:t xml:space="preserve">coordinating </w:t>
      </w:r>
      <w:r w:rsidR="00C97450">
        <w:t>through an</w:t>
      </w:r>
      <w:r>
        <w:t xml:space="preserve"> international body</w:t>
      </w:r>
      <w:r w:rsidR="00CF212A">
        <w:t xml:space="preserve">. This would allow administration to meet their needs for </w:t>
      </w:r>
      <w:r w:rsidR="00987473">
        <w:t>domestic and regional air traffic need</w:t>
      </w:r>
      <w:r w:rsidR="00FC117B">
        <w:t>s</w:t>
      </w:r>
      <w:r w:rsidR="0078219E">
        <w:t xml:space="preserve">. </w:t>
      </w:r>
      <w:r w:rsidR="00867377">
        <w:t>Still, considerations must be given for sovereignty of administration in any updates under Agenda Item 1.9.</w:t>
      </w:r>
    </w:p>
    <w:p w14:paraId="146FF628" w14:textId="5880E098" w:rsidR="00872530" w:rsidRDefault="00950DD3" w:rsidP="00E44682">
      <w:pPr>
        <w:pStyle w:val="2para"/>
      </w:pPr>
      <w:r>
        <w:t>Should administration need to allocate</w:t>
      </w:r>
      <w:r w:rsidR="00E44682">
        <w:t xml:space="preserve"> additional frequencies </w:t>
      </w:r>
      <w:r w:rsidR="00872530">
        <w:t>for the purpose of</w:t>
      </w:r>
      <w:r w:rsidR="00E44682">
        <w:t xml:space="preserve"> MWARA</w:t>
      </w:r>
      <w:r w:rsidR="00872530">
        <w:t xml:space="preserve">, they are able to do so </w:t>
      </w:r>
      <w:r w:rsidR="006C3F90">
        <w:t>through</w:t>
      </w:r>
      <w:r w:rsidR="0033535E">
        <w:t xml:space="preserve"> RR 27/21</w:t>
      </w:r>
      <w:r w:rsidR="00E44682">
        <w:t>.</w:t>
      </w:r>
      <w:r w:rsidR="002B4920">
        <w:t xml:space="preserve"> However, this is subject to coordination in ICAO. There are some</w:t>
      </w:r>
      <w:r w:rsidR="00732291">
        <w:t xml:space="preserve"> HF Networks that currently use RDARAs frequencies for MWARAs through RR 27/21</w:t>
      </w:r>
      <w:r w:rsidR="00A462D2">
        <w:t>.</w:t>
      </w:r>
    </w:p>
    <w:p w14:paraId="0A18A6AC" w14:textId="784FE5B4" w:rsidR="00E44682" w:rsidRDefault="00804003">
      <w:pPr>
        <w:pStyle w:val="2para"/>
      </w:pPr>
      <w:r>
        <w:t xml:space="preserve">If </w:t>
      </w:r>
      <w:r w:rsidR="00A74045">
        <w:t>administrations</w:t>
      </w:r>
      <w:r>
        <w:t xml:space="preserve"> need to allocate frequencies </w:t>
      </w:r>
      <w:r w:rsidR="002B440B">
        <w:t>not in accordance with the Appendix 27 allotment plan</w:t>
      </w:r>
      <w:r w:rsidR="00094886">
        <w:t>,</w:t>
      </w:r>
      <w:r w:rsidR="002B440B">
        <w:t xml:space="preserve"> </w:t>
      </w:r>
      <w:r w:rsidR="00021425">
        <w:t xml:space="preserve"> they can assign a frequency, such that it does</w:t>
      </w:r>
      <w:r w:rsidR="002F7A5D">
        <w:t xml:space="preserve"> not</w:t>
      </w:r>
      <w:r w:rsidR="00A74045">
        <w:t xml:space="preserve"> “reduce protection of the same frequencies </w:t>
      </w:r>
      <w:r w:rsidR="002B440B">
        <w:t xml:space="preserve">operating </w:t>
      </w:r>
      <w:r w:rsidR="00A74045">
        <w:t>in</w:t>
      </w:r>
      <w:r w:rsidR="002B440B">
        <w:t xml:space="preserve"> accordance with </w:t>
      </w:r>
      <w:r w:rsidR="00A74045">
        <w:t>the allotted plan”</w:t>
      </w:r>
      <w:r w:rsidR="00021425">
        <w:t xml:space="preserve"> </w:t>
      </w:r>
      <w:r w:rsidR="00A74045">
        <w:t>under AP27/20.</w:t>
      </w:r>
      <w:r w:rsidR="00BA47CE">
        <w:t xml:space="preserve"> This is not under the same category as </w:t>
      </w:r>
      <w:r w:rsidR="00094886">
        <w:t xml:space="preserve">an individual administration assignment under </w:t>
      </w:r>
      <w:r w:rsidR="00BA47CE">
        <w:t>RR 4.4</w:t>
      </w:r>
      <w:r w:rsidR="00094886">
        <w:t xml:space="preserve"> provisions</w:t>
      </w:r>
      <w:r w:rsidR="00BA47CE">
        <w:t>.</w:t>
      </w:r>
    </w:p>
    <w:p w14:paraId="1A98AB7E" w14:textId="5DFEE470" w:rsidR="00E71C45" w:rsidRDefault="00A42709" w:rsidP="00E71C45">
      <w:pPr>
        <w:pStyle w:val="1Heading"/>
        <w:rPr>
          <w:lang w:val="en-US"/>
        </w:rPr>
      </w:pPr>
      <w:r>
        <w:rPr>
          <w:lang w:val="en-US"/>
        </w:rPr>
        <w:lastRenderedPageBreak/>
        <w:t>LIMITATIONS IN APPENDIX 27</w:t>
      </w:r>
    </w:p>
    <w:p w14:paraId="0B4CBA59" w14:textId="54F98738" w:rsidR="00E71C45" w:rsidRDefault="00FC41F5">
      <w:pPr>
        <w:pStyle w:val="2para"/>
      </w:pPr>
      <w:r>
        <w:t xml:space="preserve">Appendix 27 </w:t>
      </w:r>
      <w:r w:rsidR="00266445">
        <w:t xml:space="preserve">has been vital to the success of the aviation </w:t>
      </w:r>
      <w:r w:rsidR="0069494F">
        <w:t>industry</w:t>
      </w:r>
      <w:r w:rsidR="00266445">
        <w:t xml:space="preserve"> in order meet the communications needs for international air traffic.</w:t>
      </w:r>
      <w:r w:rsidR="00904A38">
        <w:t xml:space="preserve"> Given the increase in air travel, and technological changes in the last 40 years, </w:t>
      </w:r>
      <w:r w:rsidR="007E027F">
        <w:t xml:space="preserve">some </w:t>
      </w:r>
      <w:r w:rsidR="001812BA">
        <w:t>minor regulatory</w:t>
      </w:r>
      <w:r w:rsidR="007E027F">
        <w:t xml:space="preserve"> </w:t>
      </w:r>
      <w:r w:rsidR="001812BA">
        <w:t>framework changes</w:t>
      </w:r>
      <w:r w:rsidR="002B440B">
        <w:t xml:space="preserve"> </w:t>
      </w:r>
      <w:r w:rsidR="007E027F">
        <w:t>may</w:t>
      </w:r>
      <w:r w:rsidR="002B440B">
        <w:t xml:space="preserve"> be</w:t>
      </w:r>
      <w:r w:rsidR="007E027F">
        <w:t xml:space="preserve"> need</w:t>
      </w:r>
      <w:r w:rsidR="002B440B">
        <w:t>ed</w:t>
      </w:r>
      <w:r w:rsidR="007E027F">
        <w:t xml:space="preserve"> to account for current practices.</w:t>
      </w:r>
    </w:p>
    <w:p w14:paraId="067938E6" w14:textId="586F0787" w:rsidR="007E027F" w:rsidRDefault="00462120">
      <w:pPr>
        <w:pStyle w:val="2para"/>
      </w:pPr>
      <w:r>
        <w:t>HF assignment</w:t>
      </w:r>
      <w:r w:rsidR="0096779C">
        <w:t xml:space="preserve"> planning utilizes</w:t>
      </w:r>
      <w:r>
        <w:t xml:space="preserve"> the concept of “family of frequencies”</w:t>
      </w:r>
      <w:r w:rsidR="009573DF">
        <w:t xml:space="preserve"> i.e. a group of frequencies used</w:t>
      </w:r>
      <w:r w:rsidR="0096779C">
        <w:t xml:space="preserve"> for a </w:t>
      </w:r>
      <w:r w:rsidR="001503DF">
        <w:t>network</w:t>
      </w:r>
      <w:r w:rsidR="009573DF">
        <w:t>, as the frequenc</w:t>
      </w:r>
      <w:r w:rsidR="00446DC3">
        <w:t>ies</w:t>
      </w:r>
      <w:r w:rsidR="009573DF">
        <w:t xml:space="preserve"> are best </w:t>
      </w:r>
      <w:r w:rsidR="001503DF">
        <w:t xml:space="preserve">utilized </w:t>
      </w:r>
      <w:r w:rsidR="009573DF">
        <w:t>for a certain period of time.</w:t>
      </w:r>
      <w:r w:rsidR="00BE3915" w:rsidRPr="00BE3915">
        <w:t xml:space="preserve"> </w:t>
      </w:r>
      <w:r w:rsidR="00BE3915">
        <w:t>Coordination of the operational use in ICAO results in the establishment of “families of HF frequencies” that can be used for communications along major world air routes in accord</w:t>
      </w:r>
      <w:r w:rsidR="000343CA">
        <w:t>ance with 27/19</w:t>
      </w:r>
      <w:r w:rsidR="00BE3915">
        <w:t xml:space="preserve">. </w:t>
      </w:r>
      <w:r w:rsidR="009573DF">
        <w:t xml:space="preserve"> As can be seen in the Air Navigation Plans, ICAO subdivides MWARA regions into further sub-region</w:t>
      </w:r>
      <w:r w:rsidR="00C53546">
        <w:t xml:space="preserve"> networks</w:t>
      </w:r>
      <w:r w:rsidR="009573DF">
        <w:t xml:space="preserve"> (For instance </w:t>
      </w:r>
      <w:r w:rsidR="006B4347">
        <w:t xml:space="preserve">the AFI region will have </w:t>
      </w:r>
      <w:r w:rsidR="00C53546">
        <w:t xml:space="preserve">Network </w:t>
      </w:r>
      <w:r w:rsidR="006B4347">
        <w:t>AFI-1,</w:t>
      </w:r>
      <w:r w:rsidR="006815DB">
        <w:t xml:space="preserve"> </w:t>
      </w:r>
      <w:r w:rsidR="006B4347">
        <w:t xml:space="preserve">AFI-2 etc.). The </w:t>
      </w:r>
      <w:r w:rsidR="001503DF">
        <w:t xml:space="preserve">protection levels considered </w:t>
      </w:r>
      <w:r w:rsidR="006B4347">
        <w:t xml:space="preserve">in AP27 do not </w:t>
      </w:r>
      <w:r w:rsidR="0069494F">
        <w:t>highlight</w:t>
      </w:r>
      <w:r w:rsidR="006B4347">
        <w:t xml:space="preserve"> that Voice or Data communications may have multiple transmitters/receivers in a region or area tuned to the same frequency.</w:t>
      </w:r>
      <w:r w:rsidR="001503DF">
        <w:t xml:space="preserve"> It only considers interference contours for protection </w:t>
      </w:r>
      <w:r w:rsidR="001812BA">
        <w:t>based on</w:t>
      </w:r>
      <w:r w:rsidR="001503DF">
        <w:t xml:space="preserve"> individual frequency assignments by administration.</w:t>
      </w:r>
      <w:r w:rsidR="00AF0849">
        <w:t xml:space="preserve"> Potential interference between aircraft station</w:t>
      </w:r>
      <w:r w:rsidR="00490C19">
        <w:t>s</w:t>
      </w:r>
      <w:r w:rsidR="00AF0849">
        <w:t xml:space="preserve"> is not considered in Appendix 27</w:t>
      </w:r>
      <w:r w:rsidR="00AF0849">
        <w:rPr>
          <w:rStyle w:val="FootnoteReference"/>
        </w:rPr>
        <w:footnoteReference w:id="8"/>
      </w:r>
      <w:r w:rsidR="00A74A29">
        <w:t>.</w:t>
      </w:r>
    </w:p>
    <w:p w14:paraId="69892552" w14:textId="391C103C" w:rsidR="006B4347" w:rsidRDefault="006B4347">
      <w:pPr>
        <w:pStyle w:val="2para"/>
      </w:pPr>
      <w:r>
        <w:t>Another limitation has been the precision of frequency assignments in the MIFR</w:t>
      </w:r>
      <w:r w:rsidR="0077636E">
        <w:t xml:space="preserve"> </w:t>
      </w:r>
      <w:r w:rsidR="003C1B05">
        <w:t>as the</w:t>
      </w:r>
      <w:r w:rsidR="0077636E">
        <w:t xml:space="preserve"> last update</w:t>
      </w:r>
      <w:r w:rsidR="005A75C1">
        <w:t xml:space="preserve"> in </w:t>
      </w:r>
      <w:r w:rsidR="005D0FC9">
        <w:t>’</w:t>
      </w:r>
      <w:r w:rsidR="005A75C1">
        <w:t>78</w:t>
      </w:r>
      <w:r w:rsidR="005D0FC9">
        <w:t xml:space="preserve"> </w:t>
      </w:r>
      <w:r w:rsidR="0077636E">
        <w:t xml:space="preserve">was before </w:t>
      </w:r>
      <w:r w:rsidR="00374370">
        <w:t xml:space="preserve">some of the current </w:t>
      </w:r>
      <w:r w:rsidR="00374370" w:rsidRPr="00374370">
        <w:t>datum</w:t>
      </w:r>
      <w:r w:rsidR="00374370">
        <w:t>s</w:t>
      </w:r>
      <w:r w:rsidR="00374370">
        <w:rPr>
          <w:rStyle w:val="FootnoteReference"/>
        </w:rPr>
        <w:footnoteReference w:id="9"/>
      </w:r>
      <w:r w:rsidR="006C5E0D">
        <w:t xml:space="preserve">. </w:t>
      </w:r>
      <w:r w:rsidR="00C33567">
        <w:t xml:space="preserve">The current precision of assignments </w:t>
      </w:r>
      <w:r w:rsidR="002112ED">
        <w:t xml:space="preserve">appears to be </w:t>
      </w:r>
      <w:r w:rsidR="00793888">
        <w:t>only</w:t>
      </w:r>
      <w:r w:rsidR="002112ED">
        <w:t xml:space="preserve"> to the level</w:t>
      </w:r>
      <w:r w:rsidR="00C33567">
        <w:t xml:space="preserve"> </w:t>
      </w:r>
      <w:r w:rsidR="002112ED">
        <w:t>of</w:t>
      </w:r>
      <w:r w:rsidR="00C33567">
        <w:t xml:space="preserve"> Degree and Minutes, not including seconds. This result</w:t>
      </w:r>
      <w:r w:rsidR="002112ED">
        <w:t xml:space="preserve">s in a </w:t>
      </w:r>
      <w:r w:rsidR="0069494F">
        <w:t>precision</w:t>
      </w:r>
      <w:r w:rsidR="002112ED">
        <w:t xml:space="preserve"> of 60 NM.</w:t>
      </w:r>
      <w:r w:rsidR="003C1B05">
        <w:t xml:space="preserve"> There are additional</w:t>
      </w:r>
      <w:r w:rsidR="006C7667">
        <w:t xml:space="preserve"> issues related to the data available at the time, that can be found in another ICAO Paper</w:t>
      </w:r>
      <w:r w:rsidR="006C7667">
        <w:rPr>
          <w:rStyle w:val="FootnoteReference"/>
        </w:rPr>
        <w:footnoteReference w:id="10"/>
      </w:r>
      <w:r w:rsidR="006C7667">
        <w:t>.</w:t>
      </w:r>
    </w:p>
    <w:p w14:paraId="4B74EFE8" w14:textId="2C2C20C7" w:rsidR="00E71C45" w:rsidRDefault="00A42709" w:rsidP="00E71C45">
      <w:pPr>
        <w:pStyle w:val="1Heading"/>
      </w:pPr>
      <w:r>
        <w:t>DISCUSSION</w:t>
      </w:r>
    </w:p>
    <w:p w14:paraId="5E42CEE4" w14:textId="07655EC8" w:rsidR="002A3B9B" w:rsidRDefault="00823764">
      <w:pPr>
        <w:pStyle w:val="2para"/>
      </w:pPr>
      <w:r>
        <w:t xml:space="preserve">ASRI has noticed in the last </w:t>
      </w:r>
      <w:r w:rsidR="00F07E36">
        <w:t xml:space="preserve">couple decades, a decrease in </w:t>
      </w:r>
      <w:r w:rsidR="0076142A">
        <w:t>a</w:t>
      </w:r>
      <w:r w:rsidR="0069494F">
        <w:t>ttendance</w:t>
      </w:r>
      <w:r w:rsidR="00F07E36">
        <w:t xml:space="preserve"> from ANSPs and CAA’s at the W</w:t>
      </w:r>
      <w:r w:rsidR="005C1B6E">
        <w:t xml:space="preserve">orking </w:t>
      </w:r>
      <w:r w:rsidR="00F07E36">
        <w:t>P</w:t>
      </w:r>
      <w:r w:rsidR="005C1B6E">
        <w:t>arty</w:t>
      </w:r>
      <w:r w:rsidR="00F07E36">
        <w:t xml:space="preserve"> level of ITU-R meetings. Offline discussions have le</w:t>
      </w:r>
      <w:r w:rsidR="00AA25DA">
        <w:t xml:space="preserve">d to considerations about </w:t>
      </w:r>
      <w:r w:rsidR="0069494F">
        <w:t>justification</w:t>
      </w:r>
      <w:r w:rsidR="005C1B6E">
        <w:t xml:space="preserve"> to management</w:t>
      </w:r>
      <w:r w:rsidR="00AA25DA">
        <w:t xml:space="preserve"> and cost. Views have also been expressed</w:t>
      </w:r>
      <w:r w:rsidR="005C1B6E">
        <w:t xml:space="preserve"> about the </w:t>
      </w:r>
      <w:r w:rsidR="007D7472">
        <w:t>applicability</w:t>
      </w:r>
      <w:r w:rsidR="005C1B6E">
        <w:t xml:space="preserve"> of roles within </w:t>
      </w:r>
      <w:r w:rsidR="007D7472">
        <w:t>government: i.e.</w:t>
      </w:r>
      <w:r w:rsidR="00AA25DA">
        <w:t xml:space="preserve"> </w:t>
      </w:r>
      <w:r w:rsidR="007D7472">
        <w:t>“...</w:t>
      </w:r>
      <w:r w:rsidR="00AA25DA">
        <w:t xml:space="preserve">that ITU-R is for the </w:t>
      </w:r>
      <w:r w:rsidR="007D7472">
        <w:t xml:space="preserve">Frequency </w:t>
      </w:r>
      <w:r w:rsidR="00596529">
        <w:t>Regulato</w:t>
      </w:r>
      <w:r w:rsidR="007D7472">
        <w:t>r</w:t>
      </w:r>
      <w:r w:rsidR="00596529">
        <w:t>s</w:t>
      </w:r>
      <w:r w:rsidR="00AA25DA">
        <w:t>, and ICAO is for</w:t>
      </w:r>
      <w:r w:rsidR="0092336F">
        <w:t xml:space="preserve"> the Aviation Regulators and </w:t>
      </w:r>
      <w:r w:rsidR="007D7472">
        <w:t>Aviation Industry”</w:t>
      </w:r>
      <w:r w:rsidR="0092336F">
        <w:t>.</w:t>
      </w:r>
    </w:p>
    <w:p w14:paraId="11E635B9" w14:textId="30B88122" w:rsidR="00946552" w:rsidRDefault="00946552">
      <w:pPr>
        <w:pStyle w:val="2para"/>
      </w:pPr>
      <w:r>
        <w:t>Additionally, the development of email and internet, has allowed a smoother coordination</w:t>
      </w:r>
      <w:r w:rsidR="00D874B1">
        <w:t xml:space="preserve"> for</w:t>
      </w:r>
      <w:r w:rsidR="003640B3">
        <w:t xml:space="preserve"> Frequency Assignments between </w:t>
      </w:r>
      <w:r w:rsidR="0069494F">
        <w:t>administrations</w:t>
      </w:r>
      <w:r w:rsidR="003640B3">
        <w:t xml:space="preserve">. What was once a </w:t>
      </w:r>
      <w:r w:rsidR="0076142A">
        <w:t>f</w:t>
      </w:r>
      <w:r w:rsidR="003640B3">
        <w:t xml:space="preserve">ax, telegraph, or </w:t>
      </w:r>
      <w:r w:rsidR="0076142A">
        <w:t>l</w:t>
      </w:r>
      <w:r w:rsidR="003640B3">
        <w:t xml:space="preserve">etter is now a quick entry to a database </w:t>
      </w:r>
      <w:r w:rsidR="0076142A">
        <w:t xml:space="preserve">or coordination </w:t>
      </w:r>
      <w:r w:rsidR="003640B3">
        <w:t>over the internet or email</w:t>
      </w:r>
      <w:r w:rsidR="00D874B1">
        <w:t xml:space="preserve"> between </w:t>
      </w:r>
      <w:r w:rsidR="002D7940">
        <w:t>administrations</w:t>
      </w:r>
      <w:r w:rsidR="009A186C">
        <w:t>.</w:t>
      </w:r>
    </w:p>
    <w:p w14:paraId="4489F288" w14:textId="3035973A" w:rsidR="009A186C" w:rsidRDefault="009A186C" w:rsidP="009A186C">
      <w:pPr>
        <w:pStyle w:val="1Heading"/>
      </w:pPr>
      <w:r>
        <w:t>SUMMARY</w:t>
      </w:r>
    </w:p>
    <w:p w14:paraId="686D4F59" w14:textId="3DEF59C4" w:rsidR="009A186C" w:rsidRDefault="009A186C">
      <w:pPr>
        <w:pStyle w:val="2para"/>
      </w:pPr>
      <w:r>
        <w:t xml:space="preserve">Given the </w:t>
      </w:r>
      <w:r w:rsidR="00391EB1">
        <w:t xml:space="preserve">technological </w:t>
      </w:r>
      <w:r>
        <w:t>developments</w:t>
      </w:r>
      <w:r w:rsidR="00391EB1">
        <w:t xml:space="preserve"> and expansion in VHF Coverage and use over the last 40 years</w:t>
      </w:r>
      <w:r>
        <w:t>, ASRI would like</w:t>
      </w:r>
      <w:r w:rsidR="00842844">
        <w:t xml:space="preserve"> to discuss and consider views </w:t>
      </w:r>
      <w:r w:rsidR="00A06C71">
        <w:t xml:space="preserve">from the meeting </w:t>
      </w:r>
      <w:r w:rsidR="00842844">
        <w:t xml:space="preserve">about ICAO </w:t>
      </w:r>
      <w:r w:rsidR="0076142A">
        <w:t xml:space="preserve">regional meetings </w:t>
      </w:r>
      <w:r w:rsidR="00842844">
        <w:t>taking a more significant role in coordination of HF frequency assignments</w:t>
      </w:r>
      <w:r w:rsidR="00D64688">
        <w:t xml:space="preserve">, as well as future </w:t>
      </w:r>
      <w:r w:rsidR="00D64688">
        <w:lastRenderedPageBreak/>
        <w:t>Wideband HF assignments</w:t>
      </w:r>
      <w:r w:rsidR="00842844">
        <w:t xml:space="preserve">. </w:t>
      </w:r>
      <w:r w:rsidR="00665C45">
        <w:t>Administrations</w:t>
      </w:r>
      <w:r w:rsidR="00842844">
        <w:t xml:space="preserve"> are already required to do HF planning as part of the Regional Air Navigation </w:t>
      </w:r>
      <w:r w:rsidR="00C53546">
        <w:t>Plan and</w:t>
      </w:r>
      <w:r w:rsidR="00A06C71">
        <w:t xml:space="preserve"> movin</w:t>
      </w:r>
      <w:r w:rsidR="00D64688">
        <w:t>g some of the work to ICAO will be less of a burden on coordination</w:t>
      </w:r>
      <w:r w:rsidR="00FD5537">
        <w:t xml:space="preserve">. </w:t>
      </w:r>
      <w:r w:rsidR="00446DC3">
        <w:t xml:space="preserve">For Wideband HF, </w:t>
      </w:r>
      <w:r w:rsidR="00FD5537">
        <w:t xml:space="preserve">ASRI envisions a process </w:t>
      </w:r>
      <w:r w:rsidR="002D711D">
        <w:t>similar to how</w:t>
      </w:r>
      <w:r w:rsidR="00A409D8">
        <w:t xml:space="preserve"> the</w:t>
      </w:r>
      <w:r w:rsidR="00FD5537">
        <w:t xml:space="preserve"> ICAO EURO FMG</w:t>
      </w:r>
      <w:r w:rsidR="0059637E">
        <w:t xml:space="preserve"> </w:t>
      </w:r>
      <w:r w:rsidR="00A409D8">
        <w:t xml:space="preserve">manages </w:t>
      </w:r>
      <w:r w:rsidR="0059637E">
        <w:t>VDL M2</w:t>
      </w:r>
      <w:r w:rsidR="00A409D8">
        <w:t xml:space="preserve"> </w:t>
      </w:r>
      <w:r w:rsidR="00C53546">
        <w:t>and</w:t>
      </w:r>
      <w:r w:rsidR="00DF318A">
        <w:t xml:space="preserve"> believes that the </w:t>
      </w:r>
      <w:r w:rsidR="00A409D8">
        <w:t xml:space="preserve">existing </w:t>
      </w:r>
      <w:r w:rsidR="00DF318A">
        <w:t xml:space="preserve">ICAO </w:t>
      </w:r>
      <w:r w:rsidR="0054353D" w:rsidRPr="0054353D">
        <w:t xml:space="preserve">Planning and Implementation Regional Groups (PIRGs) </w:t>
      </w:r>
      <w:r w:rsidR="00DF318A">
        <w:t>would be the best place to discuss coordination and assignment of HF and Wideband HF frequency assignments.</w:t>
      </w:r>
    </w:p>
    <w:p w14:paraId="29BA86A3" w14:textId="06C83B4C" w:rsidR="00D64688" w:rsidRDefault="00D64688">
      <w:pPr>
        <w:pStyle w:val="2para"/>
      </w:pPr>
      <w:r>
        <w:t>This would not</w:t>
      </w:r>
      <w:r w:rsidR="00FD5537">
        <w:t xml:space="preserve"> remove the necessary work of the ITU-R, and </w:t>
      </w:r>
      <w:r w:rsidR="00DF318A">
        <w:t xml:space="preserve">requirement to submit </w:t>
      </w:r>
      <w:r w:rsidR="00391EB1">
        <w:t xml:space="preserve">assignments to </w:t>
      </w:r>
      <w:r w:rsidR="00DF318A">
        <w:t>the MIFR.</w:t>
      </w:r>
      <w:r w:rsidR="00587A75">
        <w:t xml:space="preserve"> The intent behind this action is to remove some of the regulatory overlap between ICAO and ITU-R, and work on a process that</w:t>
      </w:r>
      <w:r w:rsidR="005F7651">
        <w:t xml:space="preserve"> will increase </w:t>
      </w:r>
      <w:r w:rsidR="0054353D">
        <w:t xml:space="preserve">spectrum efficiency </w:t>
      </w:r>
      <w:r w:rsidR="005F7651">
        <w:t xml:space="preserve">for the HF frequency </w:t>
      </w:r>
      <w:r w:rsidR="0054353D">
        <w:t>assignments</w:t>
      </w:r>
      <w:r w:rsidR="005F7651">
        <w:t>.</w:t>
      </w:r>
    </w:p>
    <w:p w14:paraId="04D5D681" w14:textId="77777777" w:rsidR="00770160" w:rsidRDefault="00770160">
      <w:pPr>
        <w:pStyle w:val="1Heading"/>
      </w:pPr>
      <w:r>
        <w:t>ACTION BY THE MEETING</w:t>
      </w:r>
    </w:p>
    <w:p w14:paraId="1A92D268" w14:textId="77777777" w:rsidR="00770160" w:rsidRDefault="00770160">
      <w:pPr>
        <w:pStyle w:val="2para"/>
      </w:pPr>
      <w:r>
        <w:t>The meeting is invited to:</w:t>
      </w:r>
    </w:p>
    <w:p w14:paraId="686BD915" w14:textId="32224A1D" w:rsidR="00DB09C9" w:rsidRDefault="0054353D" w:rsidP="00412362">
      <w:pPr>
        <w:pStyle w:val="3para"/>
      </w:pPr>
      <w:r>
        <w:t xml:space="preserve">Verify historical aspects of Appendix 27 and </w:t>
      </w:r>
      <w:r w:rsidR="00151A74">
        <w:t>fill in any gaps that may be pertinent.</w:t>
      </w:r>
    </w:p>
    <w:p w14:paraId="102D4278" w14:textId="688208D5" w:rsidR="00724A49" w:rsidRDefault="00724A49" w:rsidP="00724A49">
      <w:pPr>
        <w:pStyle w:val="3para"/>
      </w:pPr>
      <w:r w:rsidRPr="00724A49">
        <w:t xml:space="preserve">Discuss views about </w:t>
      </w:r>
      <w:r w:rsidR="00844868">
        <w:t xml:space="preserve">ICAO taking a larger role in coordination </w:t>
      </w:r>
      <w:r w:rsidR="00ED532A">
        <w:t xml:space="preserve">of </w:t>
      </w:r>
      <w:r w:rsidR="00151A74">
        <w:t xml:space="preserve">aeronautical </w:t>
      </w:r>
      <w:r w:rsidR="00ED532A">
        <w:t>HF</w:t>
      </w:r>
      <w:r w:rsidR="009F0E20">
        <w:t>, including new Wideband HF systems</w:t>
      </w:r>
      <w:r w:rsidR="00151A74">
        <w:t>.</w:t>
      </w:r>
    </w:p>
    <w:p w14:paraId="53ACD8E6" w14:textId="624F9268" w:rsidR="00ED532A" w:rsidRPr="00724A49" w:rsidRDefault="009F0E20" w:rsidP="00ED532A">
      <w:pPr>
        <w:pStyle w:val="3para"/>
      </w:pPr>
      <w:r>
        <w:t xml:space="preserve">Seek to develop </w:t>
      </w:r>
      <w:r w:rsidR="00AB710C">
        <w:t xml:space="preserve">these </w:t>
      </w:r>
      <w:r>
        <w:t xml:space="preserve">concepts </w:t>
      </w:r>
      <w:r w:rsidR="00AB710C">
        <w:t xml:space="preserve">further within </w:t>
      </w:r>
      <w:r w:rsidR="009307FB">
        <w:t xml:space="preserve">FSMP </w:t>
      </w:r>
      <w:r w:rsidR="00AB710C">
        <w:t>to support</w:t>
      </w:r>
      <w:r w:rsidR="00ED532A" w:rsidRPr="00724A49">
        <w:t xml:space="preserve"> Agenda Item 1.9</w:t>
      </w:r>
      <w:r w:rsidR="009307FB">
        <w:t>.</w:t>
      </w:r>
    </w:p>
    <w:p w14:paraId="15E60350" w14:textId="77777777" w:rsidR="00724A49" w:rsidRPr="00DB09C9" w:rsidRDefault="00724A49" w:rsidP="00C93F2F">
      <w:pPr>
        <w:pStyle w:val="3para"/>
        <w:numPr>
          <w:ilvl w:val="0"/>
          <w:numId w:val="0"/>
        </w:numPr>
        <w:ind w:left="1440"/>
      </w:pPr>
    </w:p>
    <w:p w14:paraId="36895693" w14:textId="77777777" w:rsidR="00DB09C9" w:rsidRDefault="00DB09C9" w:rsidP="00C93F2F">
      <w:pPr>
        <w:pStyle w:val="2para"/>
        <w:numPr>
          <w:ilvl w:val="0"/>
          <w:numId w:val="0"/>
        </w:numPr>
        <w:ind w:left="720"/>
      </w:pPr>
    </w:p>
    <w:p w14:paraId="297CAF23" w14:textId="77777777" w:rsidR="00770160" w:rsidRDefault="00770160">
      <w:pPr>
        <w:spacing w:before="600"/>
        <w:jc w:val="center"/>
      </w:pPr>
      <w:r>
        <w:t>— END —</w:t>
      </w:r>
    </w:p>
    <w:p w14:paraId="2F578B7C" w14:textId="60A41E33" w:rsidR="00A12CBA" w:rsidRDefault="00A12CBA" w:rsidP="00C97450">
      <w:pPr>
        <w:spacing w:before="600"/>
      </w:pPr>
    </w:p>
    <w:sectPr w:rsidR="00A12CBA">
      <w:headerReference w:type="even" r:id="rId13"/>
      <w:headerReference w:type="default" r:id="rId14"/>
      <w:footerReference w:type="even" r:id="rId15"/>
      <w:footerReference w:type="default" r:id="rId16"/>
      <w:headerReference w:type="first" r:id="rId17"/>
      <w:footerReference w:type="first" r:id="rId18"/>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3F32D" w14:textId="77777777" w:rsidR="00E6398A" w:rsidRDefault="00E6398A">
      <w:r>
        <w:separator/>
      </w:r>
    </w:p>
  </w:endnote>
  <w:endnote w:type="continuationSeparator" w:id="0">
    <w:p w14:paraId="36CE2E93" w14:textId="77777777" w:rsidR="00E6398A" w:rsidRDefault="00E6398A">
      <w:r>
        <w:continuationSeparator/>
      </w:r>
    </w:p>
  </w:endnote>
  <w:endnote w:type="continuationNotice" w:id="1">
    <w:p w14:paraId="32C41C71" w14:textId="77777777" w:rsidR="00E6398A" w:rsidRDefault="00E63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TimesNewRomanPS-BoldMT">
    <w:altName w:val="Times New Roman"/>
    <w:panose1 w:val="020B0604020202020204"/>
    <w:charset w:val="00"/>
    <w:family w:val="auto"/>
    <w:notTrueType/>
    <w:pitch w:val="default"/>
    <w:sig w:usb0="00000003" w:usb1="00000000" w:usb2="00000000" w:usb3="00000000" w:csb0="00000001"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2B0AD" w14:textId="77777777" w:rsidR="00586139" w:rsidRDefault="00586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33E85" w14:textId="77777777" w:rsidR="00586139" w:rsidRDefault="00586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67535"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860FB4">
      <w:rPr>
        <w:noProof/>
        <w:sz w:val="18"/>
        <w:lang w:val="fr-FR"/>
      </w:rPr>
      <w:t>3</w:t>
    </w:r>
    <w:r>
      <w:rPr>
        <w:sz w:val="18"/>
        <w:lang w:val="en-US"/>
      </w:rPr>
      <w:fldChar w:fldCharType="end"/>
    </w:r>
    <w:r>
      <w:rPr>
        <w:sz w:val="18"/>
        <w:lang w:val="fr-FR"/>
      </w:rPr>
      <w:t xml:space="preserve"> pages)</w:t>
    </w:r>
  </w:p>
  <w:p w14:paraId="367B213C" w14:textId="55297238"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586139">
      <w:rPr>
        <w:noProof/>
        <w:sz w:val="18"/>
        <w:lang w:val="en-US"/>
      </w:rPr>
      <w:t>FSMP-WG10-WP17_ICAO FSMP Agenda Item 1.9 Regulatory Paper.docx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11A9A" w14:textId="77777777" w:rsidR="00E6398A" w:rsidRDefault="00E6398A">
      <w:r>
        <w:separator/>
      </w:r>
    </w:p>
  </w:footnote>
  <w:footnote w:type="continuationSeparator" w:id="0">
    <w:p w14:paraId="21625382" w14:textId="77777777" w:rsidR="00E6398A" w:rsidRDefault="00E6398A">
      <w:r>
        <w:continuationSeparator/>
      </w:r>
    </w:p>
  </w:footnote>
  <w:footnote w:type="continuationNotice" w:id="1">
    <w:p w14:paraId="798810A4" w14:textId="77777777" w:rsidR="00E6398A" w:rsidRDefault="00E6398A"/>
  </w:footnote>
  <w:footnote w:id="2">
    <w:p w14:paraId="313538EA" w14:textId="6F2901D6" w:rsidR="00285194" w:rsidRPr="00285194" w:rsidRDefault="00285194" w:rsidP="00446DC3">
      <w:pPr>
        <w:pStyle w:val="FootnoteText"/>
        <w:jc w:val="left"/>
        <w:rPr>
          <w:lang w:val="en-US"/>
        </w:rPr>
      </w:pPr>
      <w:r>
        <w:rPr>
          <w:rStyle w:val="FootnoteReference"/>
        </w:rPr>
        <w:footnoteRef/>
      </w:r>
      <w:r>
        <w:t xml:space="preserve"> </w:t>
      </w:r>
      <w:r w:rsidRPr="00285194">
        <w:t>Amplitude modulation sidebands. Power/frequency plot. Drawn by Heron2 2006-06-07</w:t>
      </w:r>
      <w:r>
        <w:t xml:space="preserve">, </w:t>
      </w:r>
      <w:hyperlink r:id="rId1" w:history="1">
        <w:r w:rsidR="00FD2CA4" w:rsidRPr="00E06C47">
          <w:rPr>
            <w:rStyle w:val="Hyperlink"/>
          </w:rPr>
          <w:t>https://commons.wikimedia.org/wiki/File:Am-sidebands.png</w:t>
        </w:r>
      </w:hyperlink>
      <w:r w:rsidR="007E79AE">
        <w:t>. Edited</w:t>
      </w:r>
      <w:r w:rsidR="005E59D6">
        <w:t>/altered</w:t>
      </w:r>
      <w:r w:rsidR="007E79AE">
        <w:t xml:space="preserve"> from original version.</w:t>
      </w:r>
    </w:p>
  </w:footnote>
  <w:footnote w:id="3">
    <w:p w14:paraId="6A1E3C55" w14:textId="6905D744" w:rsidR="000B5B0F" w:rsidRPr="00731C44" w:rsidRDefault="000B5B0F" w:rsidP="00731C44">
      <w:pPr>
        <w:autoSpaceDE w:val="0"/>
        <w:autoSpaceDN w:val="0"/>
        <w:adjustRightInd w:val="0"/>
        <w:jc w:val="left"/>
        <w:rPr>
          <w:lang w:val="en-US"/>
        </w:rPr>
      </w:pPr>
      <w:r>
        <w:rPr>
          <w:rStyle w:val="FootnoteReference"/>
        </w:rPr>
        <w:footnoteRef/>
      </w:r>
      <w:r>
        <w:t xml:space="preserve"> </w:t>
      </w:r>
      <w:r w:rsidRPr="00731C44">
        <w:rPr>
          <w:sz w:val="20"/>
          <w:szCs w:val="18"/>
        </w:rPr>
        <w:t>RR</w:t>
      </w:r>
      <w:r>
        <w:t xml:space="preserve"> </w:t>
      </w:r>
      <w:r w:rsidRPr="00731C44">
        <w:rPr>
          <w:rFonts w:ascii="TimesNewRomanPS-BoldMT" w:hAnsi="TimesNewRomanPS-BoldMT" w:cs="TimesNewRomanPS-BoldMT"/>
          <w:b/>
          <w:bCs/>
          <w:sz w:val="20"/>
          <w:lang w:val="en-US"/>
        </w:rPr>
        <w:t>27</w:t>
      </w:r>
      <w:r w:rsidRPr="00731C44">
        <w:rPr>
          <w:rFonts w:ascii="TimesNewRomanPSMT" w:hAnsi="TimesNewRomanPSMT" w:cs="TimesNewRomanPSMT"/>
          <w:sz w:val="20"/>
          <w:lang w:val="en-US"/>
        </w:rPr>
        <w:t>/19 The International Civil Aviation Organization (ICAO) coordinates radiocommunications of the aeronautical mobile (R) service with international aeronautical operations and this Organization should be consulted in all appropriate cases in the operational use</w:t>
      </w:r>
      <w:r>
        <w:rPr>
          <w:rFonts w:ascii="TimesNewRomanPSMT" w:hAnsi="TimesNewRomanPSMT" w:cs="TimesNewRomanPSMT"/>
          <w:sz w:val="20"/>
          <w:lang w:val="en-US"/>
        </w:rPr>
        <w:t xml:space="preserve"> </w:t>
      </w:r>
      <w:r w:rsidRPr="00731C44">
        <w:rPr>
          <w:rFonts w:ascii="TimesNewRomanPSMT" w:hAnsi="TimesNewRomanPSMT" w:cs="TimesNewRomanPSMT"/>
          <w:sz w:val="20"/>
          <w:lang w:val="en-US"/>
        </w:rPr>
        <w:t>of the frequencies in the Plan.</w:t>
      </w:r>
    </w:p>
  </w:footnote>
  <w:footnote w:id="4">
    <w:p w14:paraId="2346F053" w14:textId="10DD4E9B" w:rsidR="003C2CB3" w:rsidRPr="00665C45" w:rsidRDefault="003C2CB3" w:rsidP="00446DC3">
      <w:pPr>
        <w:pStyle w:val="FootnoteText"/>
        <w:jc w:val="left"/>
        <w:rPr>
          <w:lang w:val="en-US"/>
        </w:rPr>
      </w:pPr>
      <w:r>
        <w:rPr>
          <w:rStyle w:val="FootnoteReference"/>
        </w:rPr>
        <w:footnoteRef/>
      </w:r>
      <w:r>
        <w:t xml:space="preserve"> </w:t>
      </w:r>
      <w:r w:rsidR="006B70C2" w:rsidRPr="006B70C2">
        <w:t>Rules of Procedure on Appendix S27 (Rev.1998) - Use of frequencies of Appendix 27 AER2 and the role of ICAO</w:t>
      </w:r>
      <w:r w:rsidR="006B70C2">
        <w:t xml:space="preserve">; </w:t>
      </w:r>
      <w:hyperlink r:id="rId2" w:history="1">
        <w:r w:rsidR="006B70C2" w:rsidRPr="006B70C2">
          <w:rPr>
            <w:rStyle w:val="Hyperlink"/>
          </w:rPr>
          <w:t>https://www.itu.int/itudoc/itu-r/archives/rrb/docs/13th/98-100.html</w:t>
        </w:r>
      </w:hyperlink>
    </w:p>
  </w:footnote>
  <w:footnote w:id="5">
    <w:p w14:paraId="55EF5A4C" w14:textId="611031C6" w:rsidR="00194C3E" w:rsidRPr="00665C45" w:rsidRDefault="00194C3E" w:rsidP="00446DC3">
      <w:pPr>
        <w:jc w:val="left"/>
        <w:rPr>
          <w:lang w:val="en-US"/>
        </w:rPr>
      </w:pPr>
      <w:r>
        <w:rPr>
          <w:rStyle w:val="FootnoteReference"/>
        </w:rPr>
        <w:footnoteRef/>
      </w:r>
      <w:r>
        <w:t xml:space="preserve"> </w:t>
      </w:r>
      <w:r w:rsidRPr="00C93F2F">
        <w:rPr>
          <w:sz w:val="20"/>
          <w:szCs w:val="18"/>
          <w:lang w:val="en-US"/>
        </w:rPr>
        <w:t>Rules of Procedure</w:t>
      </w:r>
      <w:r w:rsidR="00CF2076" w:rsidRPr="00C93F2F">
        <w:rPr>
          <w:sz w:val="20"/>
          <w:szCs w:val="18"/>
          <w:lang w:val="en-US"/>
        </w:rPr>
        <w:t xml:space="preserve"> 27/15</w:t>
      </w:r>
      <w:r w:rsidRPr="00C93F2F">
        <w:rPr>
          <w:sz w:val="20"/>
          <w:szCs w:val="18"/>
          <w:lang w:val="en-US"/>
        </w:rPr>
        <w:t>:</w:t>
      </w:r>
      <w:r w:rsidR="00CF2076" w:rsidRPr="00C93F2F">
        <w:rPr>
          <w:sz w:val="20"/>
          <w:szCs w:val="18"/>
        </w:rPr>
        <w:t xml:space="preserve"> “</w:t>
      </w:r>
      <w:r w:rsidR="00CF2076" w:rsidRPr="00C93F2F">
        <w:rPr>
          <w:i/>
          <w:iCs/>
          <w:sz w:val="20"/>
          <w:szCs w:val="18"/>
        </w:rPr>
        <w:t>This provision specifies that the use of channels derived from the frequencies indicated in No. </w:t>
      </w:r>
      <w:r w:rsidR="00CF2076" w:rsidRPr="00C93F2F">
        <w:rPr>
          <w:rStyle w:val="Artref"/>
          <w:b/>
          <w:bCs/>
          <w:i/>
          <w:iCs/>
          <w:color w:val="000000"/>
          <w:sz w:val="20"/>
          <w:szCs w:val="18"/>
        </w:rPr>
        <w:t>27</w:t>
      </w:r>
      <w:r w:rsidR="00CF2076" w:rsidRPr="00C93F2F">
        <w:rPr>
          <w:i/>
          <w:iCs/>
          <w:sz w:val="20"/>
          <w:szCs w:val="18"/>
        </w:rPr>
        <w:t xml:space="preserve">/18 for the various classes of emission other than J3E and H2B will be subject to special arrangements by the administrations concerned and affected. In this connection, and having in mind the spirit of Resolution </w:t>
      </w:r>
      <w:r w:rsidR="00CF2076" w:rsidRPr="00C93F2F">
        <w:rPr>
          <w:rStyle w:val="Resref"/>
          <w:b/>
          <w:bCs/>
          <w:i/>
          <w:iCs/>
          <w:color w:val="000000"/>
          <w:sz w:val="20"/>
          <w:szCs w:val="18"/>
        </w:rPr>
        <w:t>713 (WRC-95)</w:t>
      </w:r>
      <w:r w:rsidR="00CF2076" w:rsidRPr="00C93F2F">
        <w:rPr>
          <w:rStyle w:val="FootnoteReference"/>
          <w:b/>
          <w:bCs/>
          <w:i/>
          <w:iCs/>
          <w:sz w:val="20"/>
          <w:szCs w:val="18"/>
        </w:rPr>
        <w:t>*</w:t>
      </w:r>
      <w:r w:rsidR="00CF2076" w:rsidRPr="00C93F2F">
        <w:rPr>
          <w:i/>
          <w:iCs/>
          <w:sz w:val="20"/>
          <w:szCs w:val="18"/>
        </w:rPr>
        <w:t>, the Board considers as a valid “special arrangement by the administrations concerned” any formal action by the International Civil Aviation Organization (ICAO) which results in Standards and Recommended Practices (SARPs), which are approved by the ICAO in accordance with its procedures and which are communicated to the ITU accordingly</w:t>
      </w:r>
      <w:r w:rsidR="00CF2076" w:rsidRPr="00C93F2F">
        <w:rPr>
          <w:sz w:val="20"/>
          <w:szCs w:val="18"/>
        </w:rPr>
        <w:t>.”</w:t>
      </w:r>
    </w:p>
  </w:footnote>
  <w:footnote w:id="6">
    <w:p w14:paraId="7F3FEE79" w14:textId="7CDA8E52" w:rsidR="00625EC0" w:rsidRPr="00665C45" w:rsidRDefault="00625EC0" w:rsidP="00446DC3">
      <w:pPr>
        <w:pStyle w:val="FootnoteText"/>
        <w:jc w:val="left"/>
        <w:rPr>
          <w:lang w:val="en-US"/>
        </w:rPr>
      </w:pPr>
      <w:r>
        <w:rPr>
          <w:rStyle w:val="FootnoteReference"/>
        </w:rPr>
        <w:footnoteRef/>
      </w:r>
      <w:r>
        <w:t xml:space="preserve"> </w:t>
      </w:r>
      <w:r>
        <w:rPr>
          <w:lang w:val="en-US"/>
        </w:rPr>
        <w:t>See “</w:t>
      </w:r>
      <w:r>
        <w:t>Concerning the Publication by the International Telecommunications Union of Certain Service Documents”,</w:t>
      </w:r>
      <w:r w:rsidR="00C62B74">
        <w:t xml:space="preserve"> Considering</w:t>
      </w:r>
      <w:r>
        <w:t xml:space="preserve"> F) that</w:t>
      </w:r>
      <w:r w:rsidR="00C62B74">
        <w:t>,</w:t>
      </w:r>
      <w:r>
        <w:t xml:space="preserve"> however</w:t>
      </w:r>
      <w:r w:rsidR="00C62B74">
        <w:t>,</w:t>
      </w:r>
      <w:r>
        <w:t xml:space="preserve"> all I.T.U. members are not members of I.C.A.O. and if such a map is not published by the I.T.U., those States which are not members of I.C.A.</w:t>
      </w:r>
      <w:r w:rsidR="007A395A">
        <w:t>O</w:t>
      </w:r>
      <w:r>
        <w:t>. will have to make individual arrangements with the latter :organization in order</w:t>
      </w:r>
      <w:r w:rsidR="00077ED4">
        <w:t xml:space="preserve"> to obtain such charts and maps in case they consider the information contained in the List of Radiolocation Stations published by I.T.U. (paragraph 453 of the Radio Regulations, 1947) to be insufficient. (Geneva</w:t>
      </w:r>
      <w:r w:rsidR="00C76A07">
        <w:t>, 1948)</w:t>
      </w:r>
    </w:p>
  </w:footnote>
  <w:footnote w:id="7">
    <w:p w14:paraId="49A6F133" w14:textId="23B4C03E" w:rsidR="00E75B7C" w:rsidRPr="00E75B7C" w:rsidRDefault="00E75B7C" w:rsidP="00446DC3">
      <w:pPr>
        <w:pStyle w:val="FootnoteText"/>
        <w:jc w:val="left"/>
        <w:rPr>
          <w:lang w:val="en-US"/>
        </w:rPr>
      </w:pPr>
      <w:r>
        <w:rPr>
          <w:rStyle w:val="FootnoteReference"/>
        </w:rPr>
        <w:footnoteRef/>
      </w:r>
      <w:r>
        <w:t xml:space="preserve"> </w:t>
      </w:r>
      <w:r w:rsidR="00FC0368">
        <w:rPr>
          <w:lang w:val="en-US"/>
        </w:rPr>
        <w:t xml:space="preserve">Note: </w:t>
      </w:r>
      <w:r w:rsidR="00717C53">
        <w:rPr>
          <w:lang w:val="en-US"/>
        </w:rPr>
        <w:t xml:space="preserve">Any </w:t>
      </w:r>
      <w:r w:rsidR="00F20DDC">
        <w:rPr>
          <w:lang w:val="en-US"/>
        </w:rPr>
        <w:t xml:space="preserve">signatories </w:t>
      </w:r>
      <w:r w:rsidR="00717C53">
        <w:rPr>
          <w:lang w:val="en-US"/>
        </w:rPr>
        <w:t>before</w:t>
      </w:r>
      <w:r w:rsidR="00FC0368">
        <w:rPr>
          <w:lang w:val="en-US"/>
        </w:rPr>
        <w:t xml:space="preserve"> 194</w:t>
      </w:r>
      <w:r w:rsidR="00F20DDC">
        <w:rPr>
          <w:lang w:val="en-US"/>
        </w:rPr>
        <w:t>7</w:t>
      </w:r>
      <w:r w:rsidR="00FC0368">
        <w:rPr>
          <w:lang w:val="en-US"/>
        </w:rPr>
        <w:t xml:space="preserve"> were </w:t>
      </w:r>
      <w:r w:rsidR="007741AF">
        <w:rPr>
          <w:lang w:val="en-US"/>
        </w:rPr>
        <w:t>put in as at 1947</w:t>
      </w:r>
      <w:r w:rsidR="00FC0368">
        <w:rPr>
          <w:lang w:val="en-US"/>
        </w:rPr>
        <w:t xml:space="preserve">. This is due to a software limitation in Excel, as a different </w:t>
      </w:r>
      <w:r w:rsidR="008253CE">
        <w:rPr>
          <w:lang w:val="en-US"/>
        </w:rPr>
        <w:t>Calendar</w:t>
      </w:r>
      <w:r w:rsidR="00FC0368">
        <w:rPr>
          <w:lang w:val="en-US"/>
        </w:rPr>
        <w:t xml:space="preserve"> system was used in the 19</w:t>
      </w:r>
      <w:r w:rsidR="00FC0368" w:rsidRPr="00FC0368">
        <w:rPr>
          <w:vertAlign w:val="superscript"/>
          <w:lang w:val="en-US"/>
        </w:rPr>
        <w:t>th</w:t>
      </w:r>
      <w:r w:rsidR="00FC0368">
        <w:rPr>
          <w:lang w:val="en-US"/>
        </w:rPr>
        <w:t xml:space="preserve"> </w:t>
      </w:r>
      <w:r w:rsidR="008253CE">
        <w:rPr>
          <w:lang w:val="en-US"/>
        </w:rPr>
        <w:t>Century</w:t>
      </w:r>
      <w:r w:rsidR="007741AF">
        <w:rPr>
          <w:lang w:val="en-US"/>
        </w:rPr>
        <w:t xml:space="preserve">. </w:t>
      </w:r>
    </w:p>
  </w:footnote>
  <w:footnote w:id="8">
    <w:p w14:paraId="5BCA5EAE" w14:textId="3D9D2407" w:rsidR="00AF0849" w:rsidRPr="00C93F2F" w:rsidRDefault="00AF0849" w:rsidP="00446DC3">
      <w:pPr>
        <w:pStyle w:val="FootnoteText"/>
        <w:jc w:val="left"/>
        <w:rPr>
          <w:lang w:val="en-US"/>
        </w:rPr>
      </w:pPr>
      <w:r>
        <w:rPr>
          <w:rStyle w:val="FootnoteReference"/>
        </w:rPr>
        <w:footnoteRef/>
      </w:r>
      <w:r>
        <w:t xml:space="preserve"> </w:t>
      </w:r>
      <w:r w:rsidR="0051496F">
        <w:rPr>
          <w:lang w:val="en-US"/>
        </w:rPr>
        <w:t>Appendix C “</w:t>
      </w:r>
      <w:r w:rsidR="0051496F">
        <w:t>HF frequency allocations, allotments and assignments used by aviation”</w:t>
      </w:r>
      <w:r w:rsidR="00233D82">
        <w:t xml:space="preserve">. </w:t>
      </w:r>
      <w:hyperlink r:id="rId3" w:history="1">
        <w:r w:rsidR="00233D82" w:rsidRPr="00233D82">
          <w:rPr>
            <w:rStyle w:val="Hyperlink"/>
          </w:rPr>
          <w:t>SUMMARY REPORT ON THE FREQUENCY MANAGEMENT WORKSHOP (Dakar, Senegal, 28-30 September 2009).</w:t>
        </w:r>
      </w:hyperlink>
      <w:r w:rsidR="00233D82">
        <w:t xml:space="preserve"> </w:t>
      </w:r>
    </w:p>
  </w:footnote>
  <w:footnote w:id="9">
    <w:p w14:paraId="3DE1E4B4" w14:textId="32BD6C04" w:rsidR="00374370" w:rsidRPr="00374370" w:rsidRDefault="00374370" w:rsidP="00446DC3">
      <w:pPr>
        <w:pStyle w:val="FootnoteText"/>
        <w:jc w:val="left"/>
        <w:rPr>
          <w:lang w:val="en-US"/>
        </w:rPr>
      </w:pPr>
      <w:r>
        <w:rPr>
          <w:rStyle w:val="FootnoteReference"/>
        </w:rPr>
        <w:footnoteRef/>
      </w:r>
      <w:r>
        <w:t xml:space="preserve"> </w:t>
      </w:r>
      <w:r w:rsidR="006E4822">
        <w:t>Google maps utilizes WGS-84</w:t>
      </w:r>
      <w:r w:rsidR="006C5E0D">
        <w:t>. The previous Datum utilized could have been WGS-72, but this is outdated. ASRI cannot confirm the Datum utilized at the time</w:t>
      </w:r>
    </w:p>
  </w:footnote>
  <w:footnote w:id="10">
    <w:p w14:paraId="1AF30DB5" w14:textId="33B8A516" w:rsidR="006C7667" w:rsidRPr="00C93F2F" w:rsidRDefault="006C7667" w:rsidP="00446DC3">
      <w:pPr>
        <w:pStyle w:val="FootnoteText"/>
        <w:jc w:val="left"/>
        <w:rPr>
          <w:lang w:val="en-US"/>
        </w:rPr>
      </w:pPr>
      <w:r>
        <w:rPr>
          <w:rStyle w:val="FootnoteReference"/>
        </w:rPr>
        <w:footnoteRef/>
      </w:r>
      <w:r>
        <w:t xml:space="preserve"> </w:t>
      </w:r>
      <w:hyperlink r:id="rId4" w:history="1">
        <w:r w:rsidR="00446DC3" w:rsidRPr="007F3038">
          <w:rPr>
            <w:rStyle w:val="Hyperlink"/>
          </w:rPr>
          <w:t>https://www.icao.int/ESAF/Documents/meetings/2009/AFI_Frequency_MG1/FREQ_MGMT_Workshop_Summary.pdf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20BCB" w14:textId="2EBB60B0" w:rsidR="00770160" w:rsidRDefault="000D26D5" w:rsidP="00725205">
    <w:pPr>
      <w:tabs>
        <w:tab w:val="center" w:pos="4876"/>
      </w:tabs>
      <w:spacing w:after="600"/>
    </w:pPr>
    <w:r>
      <w:t>FS</w:t>
    </w:r>
    <w:r w:rsidR="00725205">
      <w:t>MP</w:t>
    </w:r>
    <w:r w:rsidR="00586139">
      <w:t xml:space="preserve"> WG</w:t>
    </w:r>
    <w:r w:rsidR="00770160">
      <w:t>/</w:t>
    </w:r>
    <w:r w:rsidR="00586139">
      <w:t>0</w:t>
    </w:r>
    <w:r w:rsidR="00725205">
      <w:t>1</w:t>
    </w:r>
    <w:r w:rsidR="00770160">
      <w:t>-WP/</w:t>
    </w:r>
    <w:r w:rsidR="00586139">
      <w:t>17</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860FB4">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AAD2C" w14:textId="07BA1AC6" w:rsidR="00770160" w:rsidRDefault="00770160" w:rsidP="00725205">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860FB4">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586139">
      <w:t xml:space="preserve"> WG</w:t>
    </w:r>
    <w:r w:rsidR="00725205">
      <w:t>/1</w:t>
    </w:r>
    <w:r w:rsidR="00586139">
      <w:t>0</w:t>
    </w:r>
    <w:r w:rsidR="0049280E">
      <w:t>-</w:t>
    </w:r>
    <w:r>
      <w:t>WP/</w:t>
    </w:r>
    <w:r w:rsidR="00586139">
      <w:t>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0AFA7F04" w14:textId="77777777" w:rsidTr="00664C07">
      <w:trPr>
        <w:trHeight w:val="1790"/>
      </w:trPr>
      <w:tc>
        <w:tcPr>
          <w:tcW w:w="1915" w:type="dxa"/>
          <w:shd w:val="clear" w:color="auto" w:fill="FFFFFF"/>
        </w:tcPr>
        <w:p w14:paraId="7E7FBBF7" w14:textId="5ADCAB65" w:rsidR="00920C27" w:rsidRDefault="005E541B" w:rsidP="00664C07">
          <w:bookmarkStart w:id="2" w:name="logo"/>
          <w:r w:rsidRPr="00484298">
            <w:rPr>
              <w:noProof/>
              <w:lang w:eastAsia="zh-CN"/>
            </w:rPr>
            <w:drawing>
              <wp:inline distT="0" distB="0" distL="0" distR="0" wp14:anchorId="334D4416" wp14:editId="50835EE7">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2"/>
        </w:p>
      </w:tc>
      <w:tc>
        <w:tcPr>
          <w:tcW w:w="3895" w:type="dxa"/>
          <w:shd w:val="clear" w:color="auto" w:fill="FFFFFF"/>
          <w:tcMar>
            <w:right w:w="0" w:type="dxa"/>
          </w:tcMar>
        </w:tcPr>
        <w:p w14:paraId="055AE2C1" w14:textId="7409CA64" w:rsidR="00920C27" w:rsidRPr="00066AB7" w:rsidRDefault="005E541B"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8240" behindDoc="0" locked="0" layoutInCell="1" allowOverlap="1" wp14:anchorId="3639DF3A" wp14:editId="11834564">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93F0D"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"/>
                </w:pict>
              </mc:Fallback>
            </mc:AlternateContent>
          </w:r>
        </w:p>
        <w:p w14:paraId="0AB9A882"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0F824504" w14:textId="77777777" w:rsidR="00920C27" w:rsidRPr="00066AB7" w:rsidRDefault="00920C27" w:rsidP="00664C07">
          <w:pPr>
            <w:rPr>
              <w:rFonts w:ascii="Arial" w:hAnsi="Arial" w:cs="Arial"/>
              <w:szCs w:val="22"/>
            </w:rPr>
          </w:pPr>
        </w:p>
        <w:p w14:paraId="139E705D"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14:paraId="30261321" w14:textId="77777777" w:rsidTr="00664C07">
            <w:trPr>
              <w:jc w:val="right"/>
            </w:trPr>
            <w:tc>
              <w:tcPr>
                <w:tcW w:w="0" w:type="auto"/>
              </w:tcPr>
              <w:p w14:paraId="40496552" w14:textId="7EEF539B" w:rsidR="00920C27" w:rsidRPr="00066AB7" w:rsidRDefault="000D26D5" w:rsidP="00FA1371">
                <w:pPr>
                  <w:framePr w:hSpace="180" w:wrap="around" w:vAnchor="text" w:hAnchor="text" w:y="1"/>
                  <w:suppressOverlap/>
                  <w:jc w:val="left"/>
                  <w:rPr>
                    <w:szCs w:val="22"/>
                  </w:rPr>
                </w:pPr>
                <w:bookmarkStart w:id="3" w:name="document_no"/>
                <w:r>
                  <w:rPr>
                    <w:szCs w:val="22"/>
                  </w:rPr>
                  <w:t>FS</w:t>
                </w:r>
                <w:r w:rsidR="00725205">
                  <w:rPr>
                    <w:szCs w:val="22"/>
                  </w:rPr>
                  <w:t>MP</w:t>
                </w:r>
                <w:r w:rsidR="00586139">
                  <w:rPr>
                    <w:szCs w:val="22"/>
                  </w:rPr>
                  <w:t xml:space="preserve"> WG</w:t>
                </w:r>
                <w:r w:rsidR="00920C27" w:rsidRPr="00066AB7">
                  <w:rPr>
                    <w:szCs w:val="22"/>
                  </w:rPr>
                  <w:t>/</w:t>
                </w:r>
                <w:r w:rsidR="00725205">
                  <w:rPr>
                    <w:szCs w:val="22"/>
                  </w:rPr>
                  <w:t>1</w:t>
                </w:r>
                <w:r w:rsidR="00397B58">
                  <w:rPr>
                    <w:szCs w:val="22"/>
                  </w:rPr>
                  <w:t>0</w:t>
                </w:r>
                <w:r w:rsidR="00920C27" w:rsidRPr="00066AB7">
                  <w:rPr>
                    <w:szCs w:val="22"/>
                  </w:rPr>
                  <w:t>-WP/</w:t>
                </w:r>
                <w:r w:rsidR="00586139">
                  <w:rPr>
                    <w:szCs w:val="22"/>
                  </w:rPr>
                  <w:t>17</w:t>
                </w:r>
                <w:bookmarkEnd w:id="3"/>
              </w:p>
              <w:p w14:paraId="5AC0C3D8" w14:textId="23A8FEEA" w:rsidR="00920C27" w:rsidRPr="00066AB7" w:rsidRDefault="00586139" w:rsidP="00FA1371">
                <w:pPr>
                  <w:framePr w:hSpace="180" w:wrap="around" w:vAnchor="text" w:hAnchor="text" w:y="1"/>
                  <w:suppressOverlap/>
                  <w:jc w:val="left"/>
                  <w:rPr>
                    <w:b/>
                  </w:rPr>
                </w:pPr>
                <w:bookmarkStart w:id="4" w:name="restricted"/>
                <w:bookmarkStart w:id="5" w:name="addendum_corrigendum_appendix"/>
                <w:bookmarkStart w:id="6" w:name="revision_no"/>
                <w:bookmarkStart w:id="7" w:name="revision_date"/>
                <w:bookmarkStart w:id="8" w:name="related_to"/>
                <w:bookmarkEnd w:id="4"/>
                <w:bookmarkEnd w:id="5"/>
                <w:bookmarkEnd w:id="6"/>
                <w:bookmarkEnd w:id="7"/>
                <w:bookmarkEnd w:id="8"/>
                <w:r>
                  <w:rPr>
                    <w:sz w:val="18"/>
                    <w:szCs w:val="18"/>
                  </w:rPr>
                  <w:t>2020-08-12</w:t>
                </w:r>
                <w:r w:rsidR="00920C27" w:rsidRPr="00066AB7">
                  <w:rPr>
                    <w:b/>
                    <w:sz w:val="18"/>
                    <w:szCs w:val="18"/>
                  </w:rPr>
                  <w:t xml:space="preserve"> </w:t>
                </w:r>
                <w:bookmarkStart w:id="9" w:name="info_paper"/>
                <w:bookmarkEnd w:id="9"/>
              </w:p>
            </w:tc>
          </w:tr>
          <w:tr w:rsidR="00920C27" w14:paraId="2BFBFD54" w14:textId="77777777" w:rsidTr="00664C07">
            <w:trPr>
              <w:jc w:val="right"/>
            </w:trPr>
            <w:tc>
              <w:tcPr>
                <w:tcW w:w="0" w:type="auto"/>
              </w:tcPr>
              <w:p w14:paraId="3FB8B4C7" w14:textId="77777777" w:rsidR="00920C27" w:rsidRPr="00066AB7" w:rsidRDefault="00920C27" w:rsidP="00FA1371">
                <w:pPr>
                  <w:framePr w:hSpace="180" w:wrap="around" w:vAnchor="text" w:hAnchor="text" w:y="1"/>
                  <w:suppressOverlap/>
                  <w:jc w:val="left"/>
                  <w:rPr>
                    <w:szCs w:val="22"/>
                  </w:rPr>
                </w:pPr>
              </w:p>
            </w:tc>
          </w:tr>
        </w:tbl>
        <w:p w14:paraId="7D323A7B"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392DBE94" w14:textId="0CDA4F88" w:rsidR="00770160" w:rsidRDefault="00A12CBA" w:rsidP="00397B58">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11E07"/>
    <w:multiLevelType w:val="singleLevel"/>
    <w:tmpl w:val="CD8E7696"/>
    <w:lvl w:ilvl="0">
      <w:start w:val="1"/>
      <w:numFmt w:val="bullet"/>
      <w:lvlText w:val="—"/>
      <w:lvlJc w:val="left"/>
      <w:pPr>
        <w:tabs>
          <w:tab w:val="num" w:pos="2520"/>
        </w:tabs>
        <w:ind w:left="2520" w:hanging="360"/>
      </w:pPr>
      <w:rPr>
        <w:rFonts w:ascii="Times New Roman" w:hAnsi="Times New Roman" w:hint="default"/>
      </w:rPr>
    </w:lvl>
  </w:abstractNum>
  <w:abstractNum w:abstractNumId="1" w15:restartNumberingAfterBreak="0">
    <w:nsid w:val="12DE0BA3"/>
    <w:multiLevelType w:val="hybridMultilevel"/>
    <w:tmpl w:val="31B0A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B6BB0"/>
    <w:multiLevelType w:val="singleLevel"/>
    <w:tmpl w:val="F490B8D8"/>
    <w:lvl w:ilvl="0">
      <w:start w:val="1"/>
      <w:numFmt w:val="decimal"/>
      <w:lvlText w:val="%1)"/>
      <w:lvlJc w:val="left"/>
      <w:pPr>
        <w:tabs>
          <w:tab w:val="num" w:pos="2160"/>
        </w:tabs>
        <w:ind w:left="2160" w:hanging="360"/>
      </w:pPr>
    </w:lvl>
  </w:abstractNum>
  <w:abstractNum w:abstractNumId="3" w15:restartNumberingAfterBreak="0">
    <w:nsid w:val="4A5C61B2"/>
    <w:multiLevelType w:val="multilevel"/>
    <w:tmpl w:val="75FA81E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
      <w:lvlText w:val="%1.%2"/>
      <w:lvlJc w:val="left"/>
      <w:pPr>
        <w:tabs>
          <w:tab w:val="num" w:pos="6210"/>
        </w:tabs>
        <w:ind w:left="720" w:firstLine="0"/>
      </w:pPr>
      <w:rPr>
        <w:rFonts w:ascii="Times New Roman" w:hAnsi="Times New Roman" w:hint="default"/>
        <w:b w:val="0"/>
        <w:i w:val="0"/>
        <w:sz w:val="22"/>
      </w:rPr>
    </w:lvl>
    <w:lvl w:ilvl="2">
      <w:start w:val="1"/>
      <w:numFmt w:val="decimal"/>
      <w:pStyle w:val="3para"/>
      <w:lvlText w:val="%1.%2.%3"/>
      <w:lvlJc w:val="left"/>
      <w:pPr>
        <w:tabs>
          <w:tab w:val="num" w:pos="1440"/>
        </w:tabs>
        <w:ind w:left="1440" w:hanging="720"/>
      </w:pPr>
      <w:rPr>
        <w:rFonts w:hint="default"/>
      </w:rPr>
    </w:lvl>
    <w:lvl w:ilvl="3">
      <w:start w:val="1"/>
      <w:numFmt w:val="decimal"/>
      <w:pStyle w:val="4para"/>
      <w:lvlText w:val="%1.%2.%3.%4"/>
      <w:lvlJc w:val="left"/>
      <w:pPr>
        <w:tabs>
          <w:tab w:val="num" w:pos="1080"/>
        </w:tabs>
        <w:ind w:left="0" w:firstLine="0"/>
      </w:pPr>
      <w:rPr>
        <w:rFonts w:hint="default"/>
      </w:rPr>
    </w:lvl>
    <w:lvl w:ilvl="4">
      <w:start w:val="1"/>
      <w:numFmt w:val="decimal"/>
      <w:pStyle w:val="5para"/>
      <w:lvlText w:val="%1.%2.%3.%4.%5"/>
      <w:lvlJc w:val="left"/>
      <w:pPr>
        <w:tabs>
          <w:tab w:val="num" w:pos="1440"/>
        </w:tabs>
        <w:ind w:left="0" w:firstLine="0"/>
      </w:pPr>
      <w:rPr>
        <w:rFonts w:hint="default"/>
      </w:rPr>
    </w:lvl>
    <w:lvl w:ilvl="5">
      <w:start w:val="1"/>
      <w:numFmt w:val="decimal"/>
      <w:pStyle w:val="6para"/>
      <w:lvlText w:val="%1.%2.%3.%4.%5.%6"/>
      <w:lvlJc w:val="left"/>
      <w:pPr>
        <w:tabs>
          <w:tab w:val="num" w:pos="1440"/>
        </w:tabs>
        <w:ind w:left="0" w:firstLine="0"/>
      </w:pPr>
      <w:rPr>
        <w:rFonts w:hint="default"/>
      </w:rPr>
    </w:lvl>
    <w:lvl w:ilvl="6">
      <w:start w:val="1"/>
      <w:numFmt w:val="decimal"/>
      <w:pStyle w:val="7para"/>
      <w:lvlText w:val="%1.%2.%3.%4.%5.%6.%7"/>
      <w:lvlJc w:val="left"/>
      <w:pPr>
        <w:tabs>
          <w:tab w:val="num" w:pos="1800"/>
        </w:tabs>
        <w:ind w:left="0" w:firstLine="0"/>
      </w:pPr>
      <w:rPr>
        <w:rFonts w:hint="default"/>
      </w:rPr>
    </w:lvl>
    <w:lvl w:ilvl="7">
      <w:start w:val="1"/>
      <w:numFmt w:val="decimal"/>
      <w:pStyle w:val="Listabc"/>
      <w:lvlText w:val="%1.%2.%3.%4.%5.%6.%7.%8"/>
      <w:lvlJc w:val="left"/>
      <w:pPr>
        <w:tabs>
          <w:tab w:val="num" w:pos="180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4" w15:restartNumberingAfterBreak="0">
    <w:nsid w:val="674E637C"/>
    <w:multiLevelType w:val="singleLevel"/>
    <w:tmpl w:val="DCF4410C"/>
    <w:lvl w:ilvl="0">
      <w:start w:val="1"/>
      <w:numFmt w:val="lowerLetter"/>
      <w:pStyle w:val="List123"/>
      <w:lvlText w:val="%1)"/>
      <w:lvlJc w:val="left"/>
      <w:pPr>
        <w:tabs>
          <w:tab w:val="num" w:pos="360"/>
        </w:tabs>
        <w:ind w:left="360" w:hanging="360"/>
      </w:pPr>
    </w:lvl>
  </w:abstractNum>
  <w:num w:numId="1">
    <w:abstractNumId w:val="3"/>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101F3"/>
    <w:rsid w:val="00011020"/>
    <w:rsid w:val="00021425"/>
    <w:rsid w:val="000273D2"/>
    <w:rsid w:val="00031669"/>
    <w:rsid w:val="000343CA"/>
    <w:rsid w:val="00035409"/>
    <w:rsid w:val="00040E9C"/>
    <w:rsid w:val="000518B5"/>
    <w:rsid w:val="000524DF"/>
    <w:rsid w:val="0005270B"/>
    <w:rsid w:val="00053DE8"/>
    <w:rsid w:val="000565A9"/>
    <w:rsid w:val="00070C65"/>
    <w:rsid w:val="00072189"/>
    <w:rsid w:val="000724D4"/>
    <w:rsid w:val="000744A4"/>
    <w:rsid w:val="00077ED4"/>
    <w:rsid w:val="00086E22"/>
    <w:rsid w:val="000873CE"/>
    <w:rsid w:val="00094886"/>
    <w:rsid w:val="00097E2C"/>
    <w:rsid w:val="000B49BA"/>
    <w:rsid w:val="000B5B0F"/>
    <w:rsid w:val="000D0379"/>
    <w:rsid w:val="000D26D5"/>
    <w:rsid w:val="000D455B"/>
    <w:rsid w:val="000E35F9"/>
    <w:rsid w:val="000E3E56"/>
    <w:rsid w:val="000E73E2"/>
    <w:rsid w:val="001075A3"/>
    <w:rsid w:val="0012097D"/>
    <w:rsid w:val="001256B8"/>
    <w:rsid w:val="00135B52"/>
    <w:rsid w:val="00136C73"/>
    <w:rsid w:val="001503DF"/>
    <w:rsid w:val="00150FFE"/>
    <w:rsid w:val="00151A74"/>
    <w:rsid w:val="00151C08"/>
    <w:rsid w:val="0015740D"/>
    <w:rsid w:val="00167E31"/>
    <w:rsid w:val="001756DA"/>
    <w:rsid w:val="001800E1"/>
    <w:rsid w:val="001812BA"/>
    <w:rsid w:val="00182F21"/>
    <w:rsid w:val="00194C3E"/>
    <w:rsid w:val="001B016D"/>
    <w:rsid w:val="001B1356"/>
    <w:rsid w:val="001B1B68"/>
    <w:rsid w:val="001C493D"/>
    <w:rsid w:val="001E30E1"/>
    <w:rsid w:val="002021AD"/>
    <w:rsid w:val="002112ED"/>
    <w:rsid w:val="002129D8"/>
    <w:rsid w:val="0022737F"/>
    <w:rsid w:val="00231080"/>
    <w:rsid w:val="00231458"/>
    <w:rsid w:val="002322EE"/>
    <w:rsid w:val="00233D82"/>
    <w:rsid w:val="002340D0"/>
    <w:rsid w:val="002355E3"/>
    <w:rsid w:val="002422B4"/>
    <w:rsid w:val="00245F10"/>
    <w:rsid w:val="002463F9"/>
    <w:rsid w:val="00266445"/>
    <w:rsid w:val="00270D3D"/>
    <w:rsid w:val="00283466"/>
    <w:rsid w:val="00285194"/>
    <w:rsid w:val="002924BE"/>
    <w:rsid w:val="002A3803"/>
    <w:rsid w:val="002A3B9B"/>
    <w:rsid w:val="002B440B"/>
    <w:rsid w:val="002B4920"/>
    <w:rsid w:val="002B5CC8"/>
    <w:rsid w:val="002C22EA"/>
    <w:rsid w:val="002D6079"/>
    <w:rsid w:val="002D711D"/>
    <w:rsid w:val="002D7940"/>
    <w:rsid w:val="002E0C10"/>
    <w:rsid w:val="002E1AF1"/>
    <w:rsid w:val="002F7A5D"/>
    <w:rsid w:val="00314F5E"/>
    <w:rsid w:val="00315C12"/>
    <w:rsid w:val="00326F97"/>
    <w:rsid w:val="0033535E"/>
    <w:rsid w:val="003614F3"/>
    <w:rsid w:val="00363445"/>
    <w:rsid w:val="003640B3"/>
    <w:rsid w:val="00366F1E"/>
    <w:rsid w:val="00367D78"/>
    <w:rsid w:val="00372DB0"/>
    <w:rsid w:val="00374370"/>
    <w:rsid w:val="003764F4"/>
    <w:rsid w:val="00391EB1"/>
    <w:rsid w:val="0039500C"/>
    <w:rsid w:val="00396425"/>
    <w:rsid w:val="00396DAF"/>
    <w:rsid w:val="00397B58"/>
    <w:rsid w:val="003A51AC"/>
    <w:rsid w:val="003B2128"/>
    <w:rsid w:val="003C1B05"/>
    <w:rsid w:val="003C2CB3"/>
    <w:rsid w:val="003D04BA"/>
    <w:rsid w:val="003D2A7C"/>
    <w:rsid w:val="003D7FD8"/>
    <w:rsid w:val="003F703C"/>
    <w:rsid w:val="00412362"/>
    <w:rsid w:val="00423E55"/>
    <w:rsid w:val="00424ABA"/>
    <w:rsid w:val="00432A78"/>
    <w:rsid w:val="004377B7"/>
    <w:rsid w:val="00444E24"/>
    <w:rsid w:val="00446DC3"/>
    <w:rsid w:val="004511AA"/>
    <w:rsid w:val="00460539"/>
    <w:rsid w:val="004608B2"/>
    <w:rsid w:val="00462120"/>
    <w:rsid w:val="004735BC"/>
    <w:rsid w:val="004814E6"/>
    <w:rsid w:val="00490C19"/>
    <w:rsid w:val="0049280E"/>
    <w:rsid w:val="004A5727"/>
    <w:rsid w:val="004B1121"/>
    <w:rsid w:val="004C33E0"/>
    <w:rsid w:val="004D1F0B"/>
    <w:rsid w:val="004F70E0"/>
    <w:rsid w:val="0051496F"/>
    <w:rsid w:val="00514EF0"/>
    <w:rsid w:val="005159D7"/>
    <w:rsid w:val="005169AF"/>
    <w:rsid w:val="005251A4"/>
    <w:rsid w:val="005265A8"/>
    <w:rsid w:val="005275A5"/>
    <w:rsid w:val="0053610D"/>
    <w:rsid w:val="0054353D"/>
    <w:rsid w:val="005606F3"/>
    <w:rsid w:val="00564CCD"/>
    <w:rsid w:val="00571B9F"/>
    <w:rsid w:val="00586139"/>
    <w:rsid w:val="00587A75"/>
    <w:rsid w:val="00593004"/>
    <w:rsid w:val="0059637E"/>
    <w:rsid w:val="00596529"/>
    <w:rsid w:val="005A2F73"/>
    <w:rsid w:val="005A3A34"/>
    <w:rsid w:val="005A4482"/>
    <w:rsid w:val="005A75C1"/>
    <w:rsid w:val="005B3382"/>
    <w:rsid w:val="005C1B6E"/>
    <w:rsid w:val="005C4C1F"/>
    <w:rsid w:val="005D0FC9"/>
    <w:rsid w:val="005D5B2F"/>
    <w:rsid w:val="005D5B5F"/>
    <w:rsid w:val="005D77F4"/>
    <w:rsid w:val="005E541B"/>
    <w:rsid w:val="005E59D6"/>
    <w:rsid w:val="005F06B5"/>
    <w:rsid w:val="005F6E9C"/>
    <w:rsid w:val="005F7651"/>
    <w:rsid w:val="00606582"/>
    <w:rsid w:val="00612D00"/>
    <w:rsid w:val="00624883"/>
    <w:rsid w:val="00625E2A"/>
    <w:rsid w:val="00625EC0"/>
    <w:rsid w:val="00636AF9"/>
    <w:rsid w:val="0064435B"/>
    <w:rsid w:val="00653789"/>
    <w:rsid w:val="00657123"/>
    <w:rsid w:val="00664C07"/>
    <w:rsid w:val="00664CBC"/>
    <w:rsid w:val="00665C45"/>
    <w:rsid w:val="0067257E"/>
    <w:rsid w:val="006815DB"/>
    <w:rsid w:val="006828D9"/>
    <w:rsid w:val="0069494F"/>
    <w:rsid w:val="006A0C09"/>
    <w:rsid w:val="006B4347"/>
    <w:rsid w:val="006B70C2"/>
    <w:rsid w:val="006C3F90"/>
    <w:rsid w:val="006C5E0D"/>
    <w:rsid w:val="006C7667"/>
    <w:rsid w:val="006D240B"/>
    <w:rsid w:val="006D780B"/>
    <w:rsid w:val="006E4822"/>
    <w:rsid w:val="006F35AA"/>
    <w:rsid w:val="0070144C"/>
    <w:rsid w:val="0070150F"/>
    <w:rsid w:val="007066F9"/>
    <w:rsid w:val="00717C53"/>
    <w:rsid w:val="00724A49"/>
    <w:rsid w:val="00725205"/>
    <w:rsid w:val="0073157C"/>
    <w:rsid w:val="00731C44"/>
    <w:rsid w:val="00732291"/>
    <w:rsid w:val="00740864"/>
    <w:rsid w:val="00741D12"/>
    <w:rsid w:val="0076142A"/>
    <w:rsid w:val="00762478"/>
    <w:rsid w:val="00762505"/>
    <w:rsid w:val="00770160"/>
    <w:rsid w:val="007741AF"/>
    <w:rsid w:val="00774CAE"/>
    <w:rsid w:val="0077582C"/>
    <w:rsid w:val="0077636E"/>
    <w:rsid w:val="0078219E"/>
    <w:rsid w:val="0078252A"/>
    <w:rsid w:val="007834FC"/>
    <w:rsid w:val="00793888"/>
    <w:rsid w:val="007957BD"/>
    <w:rsid w:val="007970EF"/>
    <w:rsid w:val="007A395A"/>
    <w:rsid w:val="007A3A81"/>
    <w:rsid w:val="007B76D1"/>
    <w:rsid w:val="007D6453"/>
    <w:rsid w:val="007D7472"/>
    <w:rsid w:val="007E027F"/>
    <w:rsid w:val="007E31C1"/>
    <w:rsid w:val="007E5422"/>
    <w:rsid w:val="007E79AE"/>
    <w:rsid w:val="007F204B"/>
    <w:rsid w:val="00804003"/>
    <w:rsid w:val="00823764"/>
    <w:rsid w:val="008253CE"/>
    <w:rsid w:val="00836BAD"/>
    <w:rsid w:val="00842844"/>
    <w:rsid w:val="00844868"/>
    <w:rsid w:val="00856F3B"/>
    <w:rsid w:val="00857747"/>
    <w:rsid w:val="00860FB4"/>
    <w:rsid w:val="00867377"/>
    <w:rsid w:val="00872530"/>
    <w:rsid w:val="008765D6"/>
    <w:rsid w:val="00893757"/>
    <w:rsid w:val="008B54C4"/>
    <w:rsid w:val="008D3DDB"/>
    <w:rsid w:val="008D7DCC"/>
    <w:rsid w:val="008E5041"/>
    <w:rsid w:val="008E5987"/>
    <w:rsid w:val="008F04A1"/>
    <w:rsid w:val="009014DE"/>
    <w:rsid w:val="00903C8B"/>
    <w:rsid w:val="00904A38"/>
    <w:rsid w:val="00911357"/>
    <w:rsid w:val="00913972"/>
    <w:rsid w:val="00920C27"/>
    <w:rsid w:val="00921A72"/>
    <w:rsid w:val="0092336F"/>
    <w:rsid w:val="00923B64"/>
    <w:rsid w:val="009307FB"/>
    <w:rsid w:val="0094133B"/>
    <w:rsid w:val="00946552"/>
    <w:rsid w:val="00950DD3"/>
    <w:rsid w:val="00952FB1"/>
    <w:rsid w:val="009573DF"/>
    <w:rsid w:val="009605A0"/>
    <w:rsid w:val="0096092D"/>
    <w:rsid w:val="0096779C"/>
    <w:rsid w:val="00987473"/>
    <w:rsid w:val="009A0BF0"/>
    <w:rsid w:val="009A186C"/>
    <w:rsid w:val="009A51E8"/>
    <w:rsid w:val="009A71C0"/>
    <w:rsid w:val="009B32BD"/>
    <w:rsid w:val="009C28D9"/>
    <w:rsid w:val="009D7E81"/>
    <w:rsid w:val="009D7ECE"/>
    <w:rsid w:val="009E4910"/>
    <w:rsid w:val="009F0E20"/>
    <w:rsid w:val="00A03CFF"/>
    <w:rsid w:val="00A048FF"/>
    <w:rsid w:val="00A05189"/>
    <w:rsid w:val="00A06C71"/>
    <w:rsid w:val="00A12CBA"/>
    <w:rsid w:val="00A232A8"/>
    <w:rsid w:val="00A26626"/>
    <w:rsid w:val="00A302E7"/>
    <w:rsid w:val="00A3076F"/>
    <w:rsid w:val="00A341AA"/>
    <w:rsid w:val="00A409D8"/>
    <w:rsid w:val="00A42709"/>
    <w:rsid w:val="00A44E41"/>
    <w:rsid w:val="00A462D2"/>
    <w:rsid w:val="00A5232D"/>
    <w:rsid w:val="00A54991"/>
    <w:rsid w:val="00A6216C"/>
    <w:rsid w:val="00A676BA"/>
    <w:rsid w:val="00A74045"/>
    <w:rsid w:val="00A74A29"/>
    <w:rsid w:val="00A91D56"/>
    <w:rsid w:val="00AA25DA"/>
    <w:rsid w:val="00AB06EE"/>
    <w:rsid w:val="00AB710C"/>
    <w:rsid w:val="00AC10DF"/>
    <w:rsid w:val="00AD05ED"/>
    <w:rsid w:val="00AD1672"/>
    <w:rsid w:val="00AD283C"/>
    <w:rsid w:val="00AE74F2"/>
    <w:rsid w:val="00AF0849"/>
    <w:rsid w:val="00B22D62"/>
    <w:rsid w:val="00B26208"/>
    <w:rsid w:val="00B27E11"/>
    <w:rsid w:val="00B4478F"/>
    <w:rsid w:val="00B45168"/>
    <w:rsid w:val="00B5754A"/>
    <w:rsid w:val="00B6148B"/>
    <w:rsid w:val="00B61B59"/>
    <w:rsid w:val="00B829BD"/>
    <w:rsid w:val="00B86391"/>
    <w:rsid w:val="00B91480"/>
    <w:rsid w:val="00B91E7F"/>
    <w:rsid w:val="00BA47CE"/>
    <w:rsid w:val="00BB0C5F"/>
    <w:rsid w:val="00BC5FF5"/>
    <w:rsid w:val="00BD1BD2"/>
    <w:rsid w:val="00BE3915"/>
    <w:rsid w:val="00BE39C7"/>
    <w:rsid w:val="00BF1D77"/>
    <w:rsid w:val="00BF3A8E"/>
    <w:rsid w:val="00C10361"/>
    <w:rsid w:val="00C15A05"/>
    <w:rsid w:val="00C32D0B"/>
    <w:rsid w:val="00C33567"/>
    <w:rsid w:val="00C3498A"/>
    <w:rsid w:val="00C41EAC"/>
    <w:rsid w:val="00C5068D"/>
    <w:rsid w:val="00C53546"/>
    <w:rsid w:val="00C55C76"/>
    <w:rsid w:val="00C57622"/>
    <w:rsid w:val="00C62B74"/>
    <w:rsid w:val="00C6377B"/>
    <w:rsid w:val="00C7039C"/>
    <w:rsid w:val="00C7104C"/>
    <w:rsid w:val="00C76A07"/>
    <w:rsid w:val="00C8746E"/>
    <w:rsid w:val="00C87729"/>
    <w:rsid w:val="00C91623"/>
    <w:rsid w:val="00C93F2F"/>
    <w:rsid w:val="00C94784"/>
    <w:rsid w:val="00C97450"/>
    <w:rsid w:val="00CA3F73"/>
    <w:rsid w:val="00CA4514"/>
    <w:rsid w:val="00CA7E39"/>
    <w:rsid w:val="00CB6CFA"/>
    <w:rsid w:val="00CE06DB"/>
    <w:rsid w:val="00CE1496"/>
    <w:rsid w:val="00CF0750"/>
    <w:rsid w:val="00CF2076"/>
    <w:rsid w:val="00CF212A"/>
    <w:rsid w:val="00CF2832"/>
    <w:rsid w:val="00CF6261"/>
    <w:rsid w:val="00CF72A2"/>
    <w:rsid w:val="00D01222"/>
    <w:rsid w:val="00D33884"/>
    <w:rsid w:val="00D34241"/>
    <w:rsid w:val="00D41533"/>
    <w:rsid w:val="00D44D6D"/>
    <w:rsid w:val="00D46246"/>
    <w:rsid w:val="00D5471B"/>
    <w:rsid w:val="00D64688"/>
    <w:rsid w:val="00D666D2"/>
    <w:rsid w:val="00D74D25"/>
    <w:rsid w:val="00D8747F"/>
    <w:rsid w:val="00D874B1"/>
    <w:rsid w:val="00D93444"/>
    <w:rsid w:val="00DA310E"/>
    <w:rsid w:val="00DA43EE"/>
    <w:rsid w:val="00DA4F63"/>
    <w:rsid w:val="00DA4F90"/>
    <w:rsid w:val="00DA6533"/>
    <w:rsid w:val="00DB09C9"/>
    <w:rsid w:val="00DB5AD9"/>
    <w:rsid w:val="00DC3C3F"/>
    <w:rsid w:val="00DE016A"/>
    <w:rsid w:val="00DE2013"/>
    <w:rsid w:val="00DF318A"/>
    <w:rsid w:val="00DF76D3"/>
    <w:rsid w:val="00E10681"/>
    <w:rsid w:val="00E15700"/>
    <w:rsid w:val="00E231B5"/>
    <w:rsid w:val="00E30F00"/>
    <w:rsid w:val="00E43800"/>
    <w:rsid w:val="00E44682"/>
    <w:rsid w:val="00E47A15"/>
    <w:rsid w:val="00E522C3"/>
    <w:rsid w:val="00E6398A"/>
    <w:rsid w:val="00E71C45"/>
    <w:rsid w:val="00E75B7C"/>
    <w:rsid w:val="00E77340"/>
    <w:rsid w:val="00E862D5"/>
    <w:rsid w:val="00EB0F3A"/>
    <w:rsid w:val="00ED3393"/>
    <w:rsid w:val="00ED532A"/>
    <w:rsid w:val="00EE563E"/>
    <w:rsid w:val="00EF0668"/>
    <w:rsid w:val="00F030EE"/>
    <w:rsid w:val="00F03FE6"/>
    <w:rsid w:val="00F04337"/>
    <w:rsid w:val="00F0658D"/>
    <w:rsid w:val="00F07E36"/>
    <w:rsid w:val="00F13408"/>
    <w:rsid w:val="00F20DDC"/>
    <w:rsid w:val="00F23262"/>
    <w:rsid w:val="00F42D42"/>
    <w:rsid w:val="00F5042A"/>
    <w:rsid w:val="00F5129A"/>
    <w:rsid w:val="00F77B95"/>
    <w:rsid w:val="00F77E17"/>
    <w:rsid w:val="00F8133F"/>
    <w:rsid w:val="00F817D2"/>
    <w:rsid w:val="00F867C7"/>
    <w:rsid w:val="00FA1371"/>
    <w:rsid w:val="00FC0368"/>
    <w:rsid w:val="00FC05B4"/>
    <w:rsid w:val="00FC117B"/>
    <w:rsid w:val="00FC41F5"/>
    <w:rsid w:val="00FD1924"/>
    <w:rsid w:val="00FD2CA4"/>
    <w:rsid w:val="00FD5537"/>
    <w:rsid w:val="00FE1A2E"/>
    <w:rsid w:val="00FF1A59"/>
    <w:rsid w:val="00FF7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CB9E3D"/>
  <w15:chartTrackingRefBased/>
  <w15:docId w15:val="{B81F38F7-D986-4A33-ABF4-F4645B478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720"/>
        <w:tab w:val="num" w:pos="6210"/>
      </w:tabs>
      <w:spacing w:before="0"/>
      <w:ind w:left="6210" w:hanging="720"/>
    </w:pPr>
  </w:style>
  <w:style w:type="paragraph" w:customStyle="1" w:styleId="3para">
    <w:name w:val="3para"/>
    <w:basedOn w:val="2Heading"/>
    <w:pPr>
      <w:numPr>
        <w:ilvl w:val="2"/>
        <w:numId w:val="1"/>
      </w:numPr>
      <w:ind w:right="0"/>
      <w:outlineLvl w:val="2"/>
    </w:pPr>
    <w:rPr>
      <w:b w:val="0"/>
    </w:rPr>
  </w:style>
  <w:style w:type="paragraph" w:customStyle="1" w:styleId="4para">
    <w:name w:val="4para"/>
    <w:basedOn w:val="3para"/>
    <w:pPr>
      <w:numPr>
        <w:ilvl w:val="3"/>
      </w:numPr>
      <w:tabs>
        <w:tab w:val="clear" w:pos="6210"/>
        <w:tab w:val="left" w:pos="1440"/>
      </w:tabs>
    </w:pPr>
  </w:style>
  <w:style w:type="paragraph" w:customStyle="1" w:styleId="5para">
    <w:name w:val="5para"/>
    <w:basedOn w:val="3para"/>
    <w:pPr>
      <w:numPr>
        <w:ilvl w:val="4"/>
      </w:numPr>
      <w:tabs>
        <w:tab w:val="clear" w:pos="6210"/>
      </w:tabs>
    </w:pPr>
  </w:style>
  <w:style w:type="paragraph" w:customStyle="1" w:styleId="6para">
    <w:name w:val="6para"/>
    <w:basedOn w:val="3para"/>
    <w:pPr>
      <w:numPr>
        <w:ilvl w:val="5"/>
      </w:numPr>
      <w:tabs>
        <w:tab w:val="clear" w:pos="6210"/>
      </w:tabs>
      <w:outlineLvl w:val="5"/>
    </w:pPr>
  </w:style>
  <w:style w:type="paragraph" w:customStyle="1" w:styleId="7para">
    <w:name w:val="7para"/>
    <w:basedOn w:val="3para"/>
    <w:pPr>
      <w:numPr>
        <w:ilvl w:val="6"/>
      </w:numPr>
      <w:tabs>
        <w:tab w:val="clear" w:pos="6210"/>
        <w:tab w:val="left" w:pos="1440"/>
      </w:tabs>
      <w:outlineLvl w:val="6"/>
    </w:pPr>
  </w:style>
  <w:style w:type="paragraph" w:customStyle="1" w:styleId="2para">
    <w:name w:val="2para"/>
    <w:basedOn w:val="3para"/>
    <w:pPr>
      <w:numPr>
        <w:ilvl w:val="1"/>
      </w:numPr>
      <w:tabs>
        <w:tab w:val="clear" w:pos="6210"/>
        <w:tab w:val="left" w:pos="1440"/>
      </w:tabs>
      <w:outlineLvl w:val="1"/>
    </w:pPr>
  </w:style>
  <w:style w:type="paragraph" w:customStyle="1" w:styleId="8para">
    <w:name w:val="8para"/>
    <w:basedOn w:val="3para"/>
    <w:pPr>
      <w:numPr>
        <w:ilvl w:val="0"/>
        <w:numId w:val="0"/>
      </w:numPr>
      <w:tabs>
        <w:tab w:val="left" w:pos="1440"/>
        <w:tab w:val="num" w:pos="180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ilvl w:val="7"/>
        <w:numId w:val="1"/>
      </w:numPr>
      <w:spacing w:after="240"/>
    </w:pPr>
    <w:rPr>
      <w:noProof/>
      <w:sz w:val="22"/>
      <w:lang w:val="en-AU"/>
    </w:rPr>
  </w:style>
  <w:style w:type="paragraph" w:customStyle="1" w:styleId="List123">
    <w:name w:val="List_1_2_3"/>
    <w:basedOn w:val="Normal"/>
    <w:pPr>
      <w:numPr>
        <w:numId w:val="2"/>
      </w:numPr>
      <w:spacing w:after="240"/>
    </w:pPr>
  </w:style>
  <w:style w:type="paragraph" w:customStyle="1" w:styleId="List-">
    <w:name w:val="List_-"/>
    <w:basedOn w:val="Normal"/>
    <w:pPr>
      <w:tabs>
        <w:tab w:val="num" w:pos="2160"/>
        <w:tab w:val="num" w:pos="2520"/>
      </w:tabs>
      <w:ind w:left="2520" w:hanging="360"/>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ListParagraph">
    <w:name w:val="List Paragraph"/>
    <w:basedOn w:val="Normal"/>
    <w:uiPriority w:val="34"/>
    <w:qFormat/>
    <w:rsid w:val="004608B2"/>
    <w:pPr>
      <w:ind w:left="720"/>
      <w:contextualSpacing/>
    </w:pPr>
  </w:style>
  <w:style w:type="paragraph" w:customStyle="1" w:styleId="Blockquote">
    <w:name w:val="Blockquote"/>
    <w:basedOn w:val="Normal"/>
    <w:pPr>
      <w:spacing w:after="240"/>
      <w:ind w:left="1440"/>
      <w:jc w:val="center"/>
    </w:pPr>
    <w:rPr>
      <w:b/>
      <w:sz w:val="24"/>
      <w:lang w:val="en-US"/>
    </w:rPr>
  </w:style>
  <w:style w:type="paragraph" w:styleId="FootnoteText">
    <w:name w:val="footnote text"/>
    <w:basedOn w:val="Normal"/>
    <w:link w:val="FootnoteTextChar"/>
    <w:rsid w:val="00460539"/>
    <w:rPr>
      <w:sz w:val="20"/>
    </w:rPr>
  </w:style>
  <w:style w:type="character" w:customStyle="1" w:styleId="FootnoteTextChar">
    <w:name w:val="Footnote Text Char"/>
    <w:basedOn w:val="DefaultParagraphFont"/>
    <w:link w:val="FootnoteText"/>
    <w:rsid w:val="00460539"/>
    <w:rPr>
      <w:lang w:val="en-GB"/>
    </w:rPr>
  </w:style>
  <w:style w:type="character" w:styleId="FootnoteReference">
    <w:name w:val="footnote reference"/>
    <w:basedOn w:val="DefaultParagraphFont"/>
    <w:rsid w:val="00460539"/>
    <w:rPr>
      <w:vertAlign w:val="superscript"/>
    </w:rPr>
  </w:style>
  <w:style w:type="paragraph" w:styleId="Caption">
    <w:name w:val="caption"/>
    <w:basedOn w:val="Normal"/>
    <w:next w:val="Normal"/>
    <w:semiHidden/>
    <w:unhideWhenUsed/>
    <w:qFormat/>
    <w:rsid w:val="00E75B7C"/>
    <w:pPr>
      <w:spacing w:after="200"/>
    </w:pPr>
    <w:rPr>
      <w:i/>
      <w:iCs/>
      <w:color w:val="44546A" w:themeColor="text2"/>
      <w:sz w:val="18"/>
      <w:szCs w:val="18"/>
    </w:rPr>
  </w:style>
  <w:style w:type="character" w:styleId="CommentReference">
    <w:name w:val="annotation reference"/>
    <w:basedOn w:val="DefaultParagraphFont"/>
    <w:rsid w:val="00FD1924"/>
    <w:rPr>
      <w:sz w:val="16"/>
      <w:szCs w:val="16"/>
    </w:rPr>
  </w:style>
  <w:style w:type="paragraph" w:styleId="CommentText">
    <w:name w:val="annotation text"/>
    <w:basedOn w:val="Normal"/>
    <w:link w:val="CommentTextChar"/>
    <w:rsid w:val="00FD1924"/>
    <w:rPr>
      <w:sz w:val="20"/>
    </w:rPr>
  </w:style>
  <w:style w:type="character" w:customStyle="1" w:styleId="CommentTextChar">
    <w:name w:val="Comment Text Char"/>
    <w:basedOn w:val="DefaultParagraphFont"/>
    <w:link w:val="CommentText"/>
    <w:rsid w:val="00FD1924"/>
    <w:rPr>
      <w:lang w:val="en-GB"/>
    </w:rPr>
  </w:style>
  <w:style w:type="paragraph" w:styleId="CommentSubject">
    <w:name w:val="annotation subject"/>
    <w:basedOn w:val="CommentText"/>
    <w:next w:val="CommentText"/>
    <w:link w:val="CommentSubjectChar"/>
    <w:rsid w:val="00FD1924"/>
    <w:rPr>
      <w:b/>
      <w:bCs/>
    </w:rPr>
  </w:style>
  <w:style w:type="character" w:customStyle="1" w:styleId="CommentSubjectChar">
    <w:name w:val="Comment Subject Char"/>
    <w:basedOn w:val="CommentTextChar"/>
    <w:link w:val="CommentSubject"/>
    <w:rsid w:val="00FD1924"/>
    <w:rPr>
      <w:b/>
      <w:bCs/>
      <w:lang w:val="en-GB"/>
    </w:rPr>
  </w:style>
  <w:style w:type="paragraph" w:styleId="BalloonText">
    <w:name w:val="Balloon Text"/>
    <w:basedOn w:val="Normal"/>
    <w:link w:val="BalloonTextChar"/>
    <w:rsid w:val="00FD1924"/>
    <w:rPr>
      <w:rFonts w:ascii="Segoe UI" w:hAnsi="Segoe UI" w:cs="Segoe UI"/>
      <w:sz w:val="18"/>
      <w:szCs w:val="18"/>
    </w:rPr>
  </w:style>
  <w:style w:type="character" w:customStyle="1" w:styleId="BalloonTextChar">
    <w:name w:val="Balloon Text Char"/>
    <w:basedOn w:val="DefaultParagraphFont"/>
    <w:link w:val="BalloonText"/>
    <w:rsid w:val="00FD1924"/>
    <w:rPr>
      <w:rFonts w:ascii="Segoe UI" w:hAnsi="Segoe UI" w:cs="Segoe UI"/>
      <w:sz w:val="18"/>
      <w:szCs w:val="18"/>
      <w:lang w:val="en-GB"/>
    </w:rPr>
  </w:style>
  <w:style w:type="character" w:styleId="Hyperlink">
    <w:name w:val="Hyperlink"/>
    <w:basedOn w:val="DefaultParagraphFont"/>
    <w:uiPriority w:val="99"/>
    <w:unhideWhenUsed/>
    <w:rsid w:val="007E79AE"/>
    <w:rPr>
      <w:color w:val="0000FF"/>
      <w:u w:val="single"/>
    </w:rPr>
  </w:style>
  <w:style w:type="character" w:styleId="UnresolvedMention">
    <w:name w:val="Unresolved Mention"/>
    <w:basedOn w:val="DefaultParagraphFont"/>
    <w:uiPriority w:val="99"/>
    <w:semiHidden/>
    <w:unhideWhenUsed/>
    <w:rsid w:val="006B70C2"/>
    <w:rPr>
      <w:color w:val="605E5C"/>
      <w:shd w:val="clear" w:color="auto" w:fill="E1DFDD"/>
    </w:rPr>
  </w:style>
  <w:style w:type="character" w:customStyle="1" w:styleId="Artref">
    <w:name w:val="Art_ref"/>
    <w:basedOn w:val="DefaultParagraphFont"/>
    <w:rsid w:val="00CF2076"/>
    <w:rPr>
      <w:color w:val="3366FF"/>
    </w:rPr>
  </w:style>
  <w:style w:type="character" w:customStyle="1" w:styleId="Resref">
    <w:name w:val="Res_ref"/>
    <w:basedOn w:val="DefaultParagraphFont"/>
    <w:rsid w:val="00CF2076"/>
    <w:rPr>
      <w:color w:val="3366FF"/>
    </w:rPr>
  </w:style>
  <w:style w:type="character" w:styleId="FollowedHyperlink">
    <w:name w:val="FollowedHyperlink"/>
    <w:basedOn w:val="DefaultParagraphFont"/>
    <w:rsid w:val="003F70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604905">
      <w:bodyDiv w:val="1"/>
      <w:marLeft w:val="0"/>
      <w:marRight w:val="0"/>
      <w:marTop w:val="0"/>
      <w:marBottom w:val="0"/>
      <w:divBdr>
        <w:top w:val="none" w:sz="0" w:space="0" w:color="auto"/>
        <w:left w:val="none" w:sz="0" w:space="0" w:color="auto"/>
        <w:bottom w:val="none" w:sz="0" w:space="0" w:color="auto"/>
        <w:right w:val="none" w:sz="0" w:space="0" w:color="auto"/>
      </w:divBdr>
    </w:div>
    <w:div w:id="51060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icao.int/ESAF/Documents/meetings/2009/AFI_Frequency_MG1/FREQ_MGMT_Workshop_Summary.pdf" TargetMode="External"/><Relationship Id="rId2" Type="http://schemas.openxmlformats.org/officeDocument/2006/relationships/hyperlink" Target="https://www.itu.int/itudoc/itu-r/archives/rrb/docs/13th/98-100.html" TargetMode="External"/><Relationship Id="rId1" Type="http://schemas.openxmlformats.org/officeDocument/2006/relationships/hyperlink" Target="https://commons.wikimedia.org/wiki/File:Am-sidebands.png" TargetMode="External"/><Relationship Id="rId4" Type="http://schemas.openxmlformats.org/officeDocument/2006/relationships/hyperlink" Target="https://www.icao.int/ESAF/Documents/meetings/2009/AFI_Frequency_MG1/FREQ_MGMT_Workshop_Summary.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gdb\Documents\Countri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ICAO and ITU-R</a:t>
            </a:r>
            <a:r>
              <a:rPr lang="en-US" baseline="0"/>
              <a:t> Signatory Countries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Data!$I$1</c:f>
              <c:strCache>
                <c:ptCount val="1"/>
                <c:pt idx="0">
                  <c:v>ITU-R Countries</c:v>
                </c:pt>
              </c:strCache>
            </c:strRef>
          </c:tx>
          <c:spPr>
            <a:ln w="19050" cap="rnd">
              <a:noFill/>
              <a:round/>
            </a:ln>
            <a:effectLst/>
          </c:spPr>
          <c:marker>
            <c:symbol val="circle"/>
            <c:size val="5"/>
            <c:spPr>
              <a:solidFill>
                <a:schemeClr val="accent1"/>
              </a:solidFill>
              <a:ln w="9525">
                <a:solidFill>
                  <a:schemeClr val="accent1"/>
                </a:solidFill>
              </a:ln>
              <a:effectLst/>
            </c:spPr>
          </c:marker>
          <c:xVal>
            <c:numRef>
              <c:f>Data!$H$2:$H$74</c:f>
              <c:numCache>
                <c:formatCode>General</c:formatCode>
                <c:ptCount val="73"/>
                <c:pt idx="0">
                  <c:v>1947</c:v>
                </c:pt>
                <c:pt idx="1">
                  <c:v>1948</c:v>
                </c:pt>
                <c:pt idx="2">
                  <c:v>1949</c:v>
                </c:pt>
                <c:pt idx="3">
                  <c:v>1950</c:v>
                </c:pt>
                <c:pt idx="4">
                  <c:v>1951</c:v>
                </c:pt>
                <c:pt idx="5">
                  <c:v>1952</c:v>
                </c:pt>
                <c:pt idx="6">
                  <c:v>1953</c:v>
                </c:pt>
                <c:pt idx="7">
                  <c:v>1954</c:v>
                </c:pt>
                <c:pt idx="8">
                  <c:v>1955</c:v>
                </c:pt>
                <c:pt idx="9">
                  <c:v>1956</c:v>
                </c:pt>
                <c:pt idx="10">
                  <c:v>1957</c:v>
                </c:pt>
                <c:pt idx="11">
                  <c:v>1958</c:v>
                </c:pt>
                <c:pt idx="12">
                  <c:v>1959</c:v>
                </c:pt>
                <c:pt idx="13">
                  <c:v>1960</c:v>
                </c:pt>
                <c:pt idx="14">
                  <c:v>1961</c:v>
                </c:pt>
                <c:pt idx="15">
                  <c:v>1962</c:v>
                </c:pt>
                <c:pt idx="16">
                  <c:v>1963</c:v>
                </c:pt>
                <c:pt idx="17">
                  <c:v>1964</c:v>
                </c:pt>
                <c:pt idx="18">
                  <c:v>1965</c:v>
                </c:pt>
                <c:pt idx="19">
                  <c:v>1966</c:v>
                </c:pt>
                <c:pt idx="20">
                  <c:v>1967</c:v>
                </c:pt>
                <c:pt idx="21">
                  <c:v>1968</c:v>
                </c:pt>
                <c:pt idx="22">
                  <c:v>1969</c:v>
                </c:pt>
                <c:pt idx="23">
                  <c:v>1970</c:v>
                </c:pt>
                <c:pt idx="24">
                  <c:v>1971</c:v>
                </c:pt>
                <c:pt idx="25">
                  <c:v>1972</c:v>
                </c:pt>
                <c:pt idx="26">
                  <c:v>1973</c:v>
                </c:pt>
                <c:pt idx="27">
                  <c:v>1974</c:v>
                </c:pt>
                <c:pt idx="28">
                  <c:v>1975</c:v>
                </c:pt>
                <c:pt idx="29">
                  <c:v>1976</c:v>
                </c:pt>
                <c:pt idx="30">
                  <c:v>1977</c:v>
                </c:pt>
                <c:pt idx="31">
                  <c:v>1978</c:v>
                </c:pt>
                <c:pt idx="32">
                  <c:v>1979</c:v>
                </c:pt>
                <c:pt idx="33">
                  <c:v>1980</c:v>
                </c:pt>
                <c:pt idx="34">
                  <c:v>1981</c:v>
                </c:pt>
                <c:pt idx="35">
                  <c:v>1982</c:v>
                </c:pt>
                <c:pt idx="36">
                  <c:v>1983</c:v>
                </c:pt>
                <c:pt idx="37">
                  <c:v>1984</c:v>
                </c:pt>
                <c:pt idx="38">
                  <c:v>1985</c:v>
                </c:pt>
                <c:pt idx="39">
                  <c:v>1986</c:v>
                </c:pt>
                <c:pt idx="40">
                  <c:v>1987</c:v>
                </c:pt>
                <c:pt idx="41">
                  <c:v>1988</c:v>
                </c:pt>
                <c:pt idx="42">
                  <c:v>1989</c:v>
                </c:pt>
                <c:pt idx="43">
                  <c:v>1990</c:v>
                </c:pt>
                <c:pt idx="44">
                  <c:v>1991</c:v>
                </c:pt>
                <c:pt idx="45">
                  <c:v>1992</c:v>
                </c:pt>
                <c:pt idx="46">
                  <c:v>1993</c:v>
                </c:pt>
                <c:pt idx="47">
                  <c:v>1994</c:v>
                </c:pt>
                <c:pt idx="48">
                  <c:v>1995</c:v>
                </c:pt>
                <c:pt idx="49">
                  <c:v>1996</c:v>
                </c:pt>
                <c:pt idx="50">
                  <c:v>1997</c:v>
                </c:pt>
                <c:pt idx="51">
                  <c:v>1998</c:v>
                </c:pt>
                <c:pt idx="52">
                  <c:v>1999</c:v>
                </c:pt>
                <c:pt idx="53">
                  <c:v>2000</c:v>
                </c:pt>
                <c:pt idx="54">
                  <c:v>2001</c:v>
                </c:pt>
                <c:pt idx="55">
                  <c:v>2002</c:v>
                </c:pt>
                <c:pt idx="56">
                  <c:v>2003</c:v>
                </c:pt>
                <c:pt idx="57">
                  <c:v>2004</c:v>
                </c:pt>
                <c:pt idx="58">
                  <c:v>2005</c:v>
                </c:pt>
                <c:pt idx="59">
                  <c:v>2006</c:v>
                </c:pt>
                <c:pt idx="60">
                  <c:v>2007</c:v>
                </c:pt>
                <c:pt idx="61">
                  <c:v>2008</c:v>
                </c:pt>
                <c:pt idx="62">
                  <c:v>2009</c:v>
                </c:pt>
                <c:pt idx="63">
                  <c:v>2010</c:v>
                </c:pt>
                <c:pt idx="64">
                  <c:v>2011</c:v>
                </c:pt>
                <c:pt idx="65">
                  <c:v>2012</c:v>
                </c:pt>
                <c:pt idx="66">
                  <c:v>2013</c:v>
                </c:pt>
                <c:pt idx="67">
                  <c:v>2014</c:v>
                </c:pt>
                <c:pt idx="68">
                  <c:v>2015</c:v>
                </c:pt>
                <c:pt idx="69">
                  <c:v>2016</c:v>
                </c:pt>
                <c:pt idx="70">
                  <c:v>2017</c:v>
                </c:pt>
                <c:pt idx="71">
                  <c:v>2018</c:v>
                </c:pt>
                <c:pt idx="72">
                  <c:v>2019</c:v>
                </c:pt>
              </c:numCache>
            </c:numRef>
          </c:xVal>
          <c:yVal>
            <c:numRef>
              <c:f>Data!$I$2:$I$74</c:f>
              <c:numCache>
                <c:formatCode>General</c:formatCode>
                <c:ptCount val="73"/>
                <c:pt idx="0">
                  <c:v>75</c:v>
                </c:pt>
                <c:pt idx="1">
                  <c:v>77</c:v>
                </c:pt>
                <c:pt idx="2">
                  <c:v>78</c:v>
                </c:pt>
                <c:pt idx="3">
                  <c:v>78</c:v>
                </c:pt>
                <c:pt idx="4">
                  <c:v>79</c:v>
                </c:pt>
                <c:pt idx="5">
                  <c:v>82</c:v>
                </c:pt>
                <c:pt idx="6">
                  <c:v>83</c:v>
                </c:pt>
                <c:pt idx="7">
                  <c:v>83</c:v>
                </c:pt>
                <c:pt idx="8">
                  <c:v>83</c:v>
                </c:pt>
                <c:pt idx="9">
                  <c:v>85</c:v>
                </c:pt>
                <c:pt idx="10">
                  <c:v>88</c:v>
                </c:pt>
                <c:pt idx="11">
                  <c:v>89</c:v>
                </c:pt>
                <c:pt idx="12">
                  <c:v>91</c:v>
                </c:pt>
                <c:pt idx="13">
                  <c:v>101</c:v>
                </c:pt>
                <c:pt idx="14">
                  <c:v>107</c:v>
                </c:pt>
                <c:pt idx="15">
                  <c:v>112</c:v>
                </c:pt>
                <c:pt idx="16">
                  <c:v>117</c:v>
                </c:pt>
                <c:pt idx="17">
                  <c:v>120</c:v>
                </c:pt>
                <c:pt idx="18">
                  <c:v>124</c:v>
                </c:pt>
                <c:pt idx="19">
                  <c:v>124</c:v>
                </c:pt>
                <c:pt idx="20">
                  <c:v>128</c:v>
                </c:pt>
                <c:pt idx="21">
                  <c:v>129</c:v>
                </c:pt>
                <c:pt idx="22">
                  <c:v>131</c:v>
                </c:pt>
                <c:pt idx="23">
                  <c:v>133</c:v>
                </c:pt>
                <c:pt idx="24">
                  <c:v>134</c:v>
                </c:pt>
                <c:pt idx="25">
                  <c:v>137</c:v>
                </c:pt>
                <c:pt idx="26">
                  <c:v>139</c:v>
                </c:pt>
                <c:pt idx="27">
                  <c:v>142</c:v>
                </c:pt>
                <c:pt idx="28">
                  <c:v>145</c:v>
                </c:pt>
                <c:pt idx="29">
                  <c:v>151</c:v>
                </c:pt>
                <c:pt idx="30">
                  <c:v>153</c:v>
                </c:pt>
                <c:pt idx="31">
                  <c:v>153</c:v>
                </c:pt>
                <c:pt idx="32">
                  <c:v>153</c:v>
                </c:pt>
                <c:pt idx="33">
                  <c:v>153</c:v>
                </c:pt>
                <c:pt idx="34">
                  <c:v>156</c:v>
                </c:pt>
                <c:pt idx="35">
                  <c:v>156</c:v>
                </c:pt>
                <c:pt idx="36">
                  <c:v>157</c:v>
                </c:pt>
                <c:pt idx="37">
                  <c:v>159</c:v>
                </c:pt>
                <c:pt idx="38">
                  <c:v>159</c:v>
                </c:pt>
                <c:pt idx="39">
                  <c:v>160</c:v>
                </c:pt>
                <c:pt idx="40">
                  <c:v>162</c:v>
                </c:pt>
                <c:pt idx="41">
                  <c:v>165</c:v>
                </c:pt>
                <c:pt idx="42">
                  <c:v>165</c:v>
                </c:pt>
                <c:pt idx="43">
                  <c:v>165</c:v>
                </c:pt>
                <c:pt idx="44">
                  <c:v>165</c:v>
                </c:pt>
                <c:pt idx="45">
                  <c:v>173</c:v>
                </c:pt>
                <c:pt idx="46">
                  <c:v>181</c:v>
                </c:pt>
                <c:pt idx="47">
                  <c:v>183</c:v>
                </c:pt>
                <c:pt idx="48">
                  <c:v>183</c:v>
                </c:pt>
                <c:pt idx="49">
                  <c:v>186</c:v>
                </c:pt>
                <c:pt idx="50">
                  <c:v>187</c:v>
                </c:pt>
                <c:pt idx="51">
                  <c:v>187</c:v>
                </c:pt>
                <c:pt idx="52">
                  <c:v>188</c:v>
                </c:pt>
                <c:pt idx="53">
                  <c:v>188</c:v>
                </c:pt>
                <c:pt idx="54">
                  <c:v>189</c:v>
                </c:pt>
                <c:pt idx="55">
                  <c:v>189</c:v>
                </c:pt>
                <c:pt idx="56">
                  <c:v>189</c:v>
                </c:pt>
                <c:pt idx="57">
                  <c:v>189</c:v>
                </c:pt>
                <c:pt idx="58">
                  <c:v>189</c:v>
                </c:pt>
                <c:pt idx="59">
                  <c:v>191</c:v>
                </c:pt>
                <c:pt idx="60">
                  <c:v>191</c:v>
                </c:pt>
                <c:pt idx="61">
                  <c:v>191</c:v>
                </c:pt>
                <c:pt idx="62">
                  <c:v>191</c:v>
                </c:pt>
                <c:pt idx="63">
                  <c:v>192</c:v>
                </c:pt>
                <c:pt idx="64">
                  <c:v>193</c:v>
                </c:pt>
                <c:pt idx="65">
                  <c:v>193</c:v>
                </c:pt>
                <c:pt idx="66">
                  <c:v>193</c:v>
                </c:pt>
                <c:pt idx="67">
                  <c:v>193</c:v>
                </c:pt>
                <c:pt idx="68">
                  <c:v>193</c:v>
                </c:pt>
                <c:pt idx="69">
                  <c:v>193</c:v>
                </c:pt>
                <c:pt idx="70">
                  <c:v>193</c:v>
                </c:pt>
                <c:pt idx="71">
                  <c:v>193</c:v>
                </c:pt>
                <c:pt idx="72">
                  <c:v>193</c:v>
                </c:pt>
              </c:numCache>
            </c:numRef>
          </c:yVal>
          <c:smooth val="0"/>
          <c:extLst>
            <c:ext xmlns:c16="http://schemas.microsoft.com/office/drawing/2014/chart" uri="{C3380CC4-5D6E-409C-BE32-E72D297353CC}">
              <c16:uniqueId val="{00000000-3C47-4CDB-9DE6-47C8F5CA77FF}"/>
            </c:ext>
          </c:extLst>
        </c:ser>
        <c:ser>
          <c:idx val="1"/>
          <c:order val="1"/>
          <c:tx>
            <c:strRef>
              <c:f>Data!$J$1</c:f>
              <c:strCache>
                <c:ptCount val="1"/>
                <c:pt idx="0">
                  <c:v>ICAO Countries</c:v>
                </c:pt>
              </c:strCache>
            </c:strRef>
          </c:tx>
          <c:spPr>
            <a:ln w="19050" cap="rnd">
              <a:noFill/>
              <a:round/>
            </a:ln>
            <a:effectLst/>
          </c:spPr>
          <c:marker>
            <c:symbol val="circle"/>
            <c:size val="5"/>
            <c:spPr>
              <a:solidFill>
                <a:schemeClr val="accent2"/>
              </a:solidFill>
              <a:ln w="9525">
                <a:solidFill>
                  <a:schemeClr val="accent2"/>
                </a:solidFill>
              </a:ln>
              <a:effectLst/>
            </c:spPr>
          </c:marker>
          <c:xVal>
            <c:numRef>
              <c:f>Data!$H$2:$H$74</c:f>
              <c:numCache>
                <c:formatCode>General</c:formatCode>
                <c:ptCount val="73"/>
                <c:pt idx="0">
                  <c:v>1947</c:v>
                </c:pt>
                <c:pt idx="1">
                  <c:v>1948</c:v>
                </c:pt>
                <c:pt idx="2">
                  <c:v>1949</c:v>
                </c:pt>
                <c:pt idx="3">
                  <c:v>1950</c:v>
                </c:pt>
                <c:pt idx="4">
                  <c:v>1951</c:v>
                </c:pt>
                <c:pt idx="5">
                  <c:v>1952</c:v>
                </c:pt>
                <c:pt idx="6">
                  <c:v>1953</c:v>
                </c:pt>
                <c:pt idx="7">
                  <c:v>1954</c:v>
                </c:pt>
                <c:pt idx="8">
                  <c:v>1955</c:v>
                </c:pt>
                <c:pt idx="9">
                  <c:v>1956</c:v>
                </c:pt>
                <c:pt idx="10">
                  <c:v>1957</c:v>
                </c:pt>
                <c:pt idx="11">
                  <c:v>1958</c:v>
                </c:pt>
                <c:pt idx="12">
                  <c:v>1959</c:v>
                </c:pt>
                <c:pt idx="13">
                  <c:v>1960</c:v>
                </c:pt>
                <c:pt idx="14">
                  <c:v>1961</c:v>
                </c:pt>
                <c:pt idx="15">
                  <c:v>1962</c:v>
                </c:pt>
                <c:pt idx="16">
                  <c:v>1963</c:v>
                </c:pt>
                <c:pt idx="17">
                  <c:v>1964</c:v>
                </c:pt>
                <c:pt idx="18">
                  <c:v>1965</c:v>
                </c:pt>
                <c:pt idx="19">
                  <c:v>1966</c:v>
                </c:pt>
                <c:pt idx="20">
                  <c:v>1967</c:v>
                </c:pt>
                <c:pt idx="21">
                  <c:v>1968</c:v>
                </c:pt>
                <c:pt idx="22">
                  <c:v>1969</c:v>
                </c:pt>
                <c:pt idx="23">
                  <c:v>1970</c:v>
                </c:pt>
                <c:pt idx="24">
                  <c:v>1971</c:v>
                </c:pt>
                <c:pt idx="25">
                  <c:v>1972</c:v>
                </c:pt>
                <c:pt idx="26">
                  <c:v>1973</c:v>
                </c:pt>
                <c:pt idx="27">
                  <c:v>1974</c:v>
                </c:pt>
                <c:pt idx="28">
                  <c:v>1975</c:v>
                </c:pt>
                <c:pt idx="29">
                  <c:v>1976</c:v>
                </c:pt>
                <c:pt idx="30">
                  <c:v>1977</c:v>
                </c:pt>
                <c:pt idx="31">
                  <c:v>1978</c:v>
                </c:pt>
                <c:pt idx="32">
                  <c:v>1979</c:v>
                </c:pt>
                <c:pt idx="33">
                  <c:v>1980</c:v>
                </c:pt>
                <c:pt idx="34">
                  <c:v>1981</c:v>
                </c:pt>
                <c:pt idx="35">
                  <c:v>1982</c:v>
                </c:pt>
                <c:pt idx="36">
                  <c:v>1983</c:v>
                </c:pt>
                <c:pt idx="37">
                  <c:v>1984</c:v>
                </c:pt>
                <c:pt idx="38">
                  <c:v>1985</c:v>
                </c:pt>
                <c:pt idx="39">
                  <c:v>1986</c:v>
                </c:pt>
                <c:pt idx="40">
                  <c:v>1987</c:v>
                </c:pt>
                <c:pt idx="41">
                  <c:v>1988</c:v>
                </c:pt>
                <c:pt idx="42">
                  <c:v>1989</c:v>
                </c:pt>
                <c:pt idx="43">
                  <c:v>1990</c:v>
                </c:pt>
                <c:pt idx="44">
                  <c:v>1991</c:v>
                </c:pt>
                <c:pt idx="45">
                  <c:v>1992</c:v>
                </c:pt>
                <c:pt idx="46">
                  <c:v>1993</c:v>
                </c:pt>
                <c:pt idx="47">
                  <c:v>1994</c:v>
                </c:pt>
                <c:pt idx="48">
                  <c:v>1995</c:v>
                </c:pt>
                <c:pt idx="49">
                  <c:v>1996</c:v>
                </c:pt>
                <c:pt idx="50">
                  <c:v>1997</c:v>
                </c:pt>
                <c:pt idx="51">
                  <c:v>1998</c:v>
                </c:pt>
                <c:pt idx="52">
                  <c:v>1999</c:v>
                </c:pt>
                <c:pt idx="53">
                  <c:v>2000</c:v>
                </c:pt>
                <c:pt idx="54">
                  <c:v>2001</c:v>
                </c:pt>
                <c:pt idx="55">
                  <c:v>2002</c:v>
                </c:pt>
                <c:pt idx="56">
                  <c:v>2003</c:v>
                </c:pt>
                <c:pt idx="57">
                  <c:v>2004</c:v>
                </c:pt>
                <c:pt idx="58">
                  <c:v>2005</c:v>
                </c:pt>
                <c:pt idx="59">
                  <c:v>2006</c:v>
                </c:pt>
                <c:pt idx="60">
                  <c:v>2007</c:v>
                </c:pt>
                <c:pt idx="61">
                  <c:v>2008</c:v>
                </c:pt>
                <c:pt idx="62">
                  <c:v>2009</c:v>
                </c:pt>
                <c:pt idx="63">
                  <c:v>2010</c:v>
                </c:pt>
                <c:pt idx="64">
                  <c:v>2011</c:v>
                </c:pt>
                <c:pt idx="65">
                  <c:v>2012</c:v>
                </c:pt>
                <c:pt idx="66">
                  <c:v>2013</c:v>
                </c:pt>
                <c:pt idx="67">
                  <c:v>2014</c:v>
                </c:pt>
                <c:pt idx="68">
                  <c:v>2015</c:v>
                </c:pt>
                <c:pt idx="69">
                  <c:v>2016</c:v>
                </c:pt>
                <c:pt idx="70">
                  <c:v>2017</c:v>
                </c:pt>
                <c:pt idx="71">
                  <c:v>2018</c:v>
                </c:pt>
                <c:pt idx="72">
                  <c:v>2019</c:v>
                </c:pt>
              </c:numCache>
            </c:numRef>
          </c:xVal>
          <c:yVal>
            <c:numRef>
              <c:f>Data!$J$2:$J$74</c:f>
              <c:numCache>
                <c:formatCode>General</c:formatCode>
                <c:ptCount val="73"/>
                <c:pt idx="0">
                  <c:v>46</c:v>
                </c:pt>
                <c:pt idx="1">
                  <c:v>51</c:v>
                </c:pt>
                <c:pt idx="2">
                  <c:v>55</c:v>
                </c:pt>
                <c:pt idx="3">
                  <c:v>57</c:v>
                </c:pt>
                <c:pt idx="4">
                  <c:v>57</c:v>
                </c:pt>
                <c:pt idx="5">
                  <c:v>58</c:v>
                </c:pt>
                <c:pt idx="6">
                  <c:v>61</c:v>
                </c:pt>
                <c:pt idx="7">
                  <c:v>63</c:v>
                </c:pt>
                <c:pt idx="8">
                  <c:v>64</c:v>
                </c:pt>
                <c:pt idx="9">
                  <c:v>68</c:v>
                </c:pt>
                <c:pt idx="10">
                  <c:v>70</c:v>
                </c:pt>
                <c:pt idx="11">
                  <c:v>72</c:v>
                </c:pt>
                <c:pt idx="12">
                  <c:v>73</c:v>
                </c:pt>
                <c:pt idx="13">
                  <c:v>81</c:v>
                </c:pt>
                <c:pt idx="14">
                  <c:v>87</c:v>
                </c:pt>
                <c:pt idx="15">
                  <c:v>96</c:v>
                </c:pt>
                <c:pt idx="16">
                  <c:v>99</c:v>
                </c:pt>
                <c:pt idx="17">
                  <c:v>105</c:v>
                </c:pt>
                <c:pt idx="18">
                  <c:v>108</c:v>
                </c:pt>
                <c:pt idx="19">
                  <c:v>109</c:v>
                </c:pt>
                <c:pt idx="20">
                  <c:v>113</c:v>
                </c:pt>
                <c:pt idx="21">
                  <c:v>113</c:v>
                </c:pt>
                <c:pt idx="22">
                  <c:v>114</c:v>
                </c:pt>
                <c:pt idx="23">
                  <c:v>116</c:v>
                </c:pt>
                <c:pt idx="24">
                  <c:v>118</c:v>
                </c:pt>
                <c:pt idx="25">
                  <c:v>121</c:v>
                </c:pt>
                <c:pt idx="26">
                  <c:v>124</c:v>
                </c:pt>
                <c:pt idx="27">
                  <c:v>125</c:v>
                </c:pt>
                <c:pt idx="28">
                  <c:v>129</c:v>
                </c:pt>
                <c:pt idx="29">
                  <c:v>131</c:v>
                </c:pt>
                <c:pt idx="30">
                  <c:v>138</c:v>
                </c:pt>
                <c:pt idx="31">
                  <c:v>140</c:v>
                </c:pt>
                <c:pt idx="32">
                  <c:v>141</c:v>
                </c:pt>
                <c:pt idx="33">
                  <c:v>143</c:v>
                </c:pt>
                <c:pt idx="34">
                  <c:v>147</c:v>
                </c:pt>
                <c:pt idx="35">
                  <c:v>147</c:v>
                </c:pt>
                <c:pt idx="36">
                  <c:v>149</c:v>
                </c:pt>
                <c:pt idx="37">
                  <c:v>151</c:v>
                </c:pt>
                <c:pt idx="38">
                  <c:v>153</c:v>
                </c:pt>
                <c:pt idx="39">
                  <c:v>154</c:v>
                </c:pt>
                <c:pt idx="40">
                  <c:v>154</c:v>
                </c:pt>
                <c:pt idx="41">
                  <c:v>157</c:v>
                </c:pt>
                <c:pt idx="42">
                  <c:v>159</c:v>
                </c:pt>
                <c:pt idx="43">
                  <c:v>160</c:v>
                </c:pt>
                <c:pt idx="44">
                  <c:v>162</c:v>
                </c:pt>
                <c:pt idx="45">
                  <c:v>174</c:v>
                </c:pt>
                <c:pt idx="46">
                  <c:v>182</c:v>
                </c:pt>
                <c:pt idx="47">
                  <c:v>183</c:v>
                </c:pt>
                <c:pt idx="48">
                  <c:v>184</c:v>
                </c:pt>
                <c:pt idx="49">
                  <c:v>185</c:v>
                </c:pt>
                <c:pt idx="50">
                  <c:v>185</c:v>
                </c:pt>
                <c:pt idx="51">
                  <c:v>185</c:v>
                </c:pt>
                <c:pt idx="52">
                  <c:v>185</c:v>
                </c:pt>
                <c:pt idx="53">
                  <c:v>186</c:v>
                </c:pt>
                <c:pt idx="54">
                  <c:v>187</c:v>
                </c:pt>
                <c:pt idx="55">
                  <c:v>187</c:v>
                </c:pt>
                <c:pt idx="56">
                  <c:v>187</c:v>
                </c:pt>
                <c:pt idx="57">
                  <c:v>187</c:v>
                </c:pt>
                <c:pt idx="58">
                  <c:v>188</c:v>
                </c:pt>
                <c:pt idx="59">
                  <c:v>189</c:v>
                </c:pt>
                <c:pt idx="60">
                  <c:v>190</c:v>
                </c:pt>
                <c:pt idx="61">
                  <c:v>190</c:v>
                </c:pt>
                <c:pt idx="62">
                  <c:v>190</c:v>
                </c:pt>
                <c:pt idx="63">
                  <c:v>190</c:v>
                </c:pt>
                <c:pt idx="64">
                  <c:v>191</c:v>
                </c:pt>
                <c:pt idx="65">
                  <c:v>191</c:v>
                </c:pt>
                <c:pt idx="66">
                  <c:v>191</c:v>
                </c:pt>
                <c:pt idx="67">
                  <c:v>191</c:v>
                </c:pt>
                <c:pt idx="68">
                  <c:v>191</c:v>
                </c:pt>
                <c:pt idx="69">
                  <c:v>191</c:v>
                </c:pt>
                <c:pt idx="70">
                  <c:v>192</c:v>
                </c:pt>
                <c:pt idx="71">
                  <c:v>192</c:v>
                </c:pt>
                <c:pt idx="72">
                  <c:v>193</c:v>
                </c:pt>
              </c:numCache>
            </c:numRef>
          </c:yVal>
          <c:smooth val="0"/>
          <c:extLst>
            <c:ext xmlns:c16="http://schemas.microsoft.com/office/drawing/2014/chart" uri="{C3380CC4-5D6E-409C-BE32-E72D297353CC}">
              <c16:uniqueId val="{00000001-3C47-4CDB-9DE6-47C8F5CA77FF}"/>
            </c:ext>
          </c:extLst>
        </c:ser>
        <c:dLbls>
          <c:showLegendKey val="0"/>
          <c:showVal val="0"/>
          <c:showCatName val="0"/>
          <c:showSerName val="0"/>
          <c:showPercent val="0"/>
          <c:showBubbleSize val="0"/>
        </c:dLbls>
        <c:axId val="728345544"/>
        <c:axId val="728341280"/>
      </c:scatterChart>
      <c:scatterChart>
        <c:scatterStyle val="lineMarker"/>
        <c:varyColors val="0"/>
        <c:ser>
          <c:idx val="2"/>
          <c:order val="2"/>
          <c:tx>
            <c:strRef>
              <c:f>Data!$K$1</c:f>
              <c:strCache>
                <c:ptCount val="1"/>
                <c:pt idx="0">
                  <c:v>Difference</c:v>
                </c:pt>
              </c:strCache>
            </c:strRef>
          </c:tx>
          <c:spPr>
            <a:ln w="19050" cap="rnd">
              <a:noFill/>
              <a:round/>
            </a:ln>
            <a:effectLst/>
          </c:spPr>
          <c:marker>
            <c:symbol val="circle"/>
            <c:size val="5"/>
            <c:spPr>
              <a:solidFill>
                <a:schemeClr val="accent3"/>
              </a:solidFill>
              <a:ln w="9525">
                <a:solidFill>
                  <a:schemeClr val="accent3"/>
                </a:solidFill>
              </a:ln>
              <a:effectLst/>
            </c:spPr>
          </c:marker>
          <c:xVal>
            <c:numRef>
              <c:f>Data!$H$2:$H$74</c:f>
              <c:numCache>
                <c:formatCode>General</c:formatCode>
                <c:ptCount val="73"/>
                <c:pt idx="0">
                  <c:v>1947</c:v>
                </c:pt>
                <c:pt idx="1">
                  <c:v>1948</c:v>
                </c:pt>
                <c:pt idx="2">
                  <c:v>1949</c:v>
                </c:pt>
                <c:pt idx="3">
                  <c:v>1950</c:v>
                </c:pt>
                <c:pt idx="4">
                  <c:v>1951</c:v>
                </c:pt>
                <c:pt idx="5">
                  <c:v>1952</c:v>
                </c:pt>
                <c:pt idx="6">
                  <c:v>1953</c:v>
                </c:pt>
                <c:pt idx="7">
                  <c:v>1954</c:v>
                </c:pt>
                <c:pt idx="8">
                  <c:v>1955</c:v>
                </c:pt>
                <c:pt idx="9">
                  <c:v>1956</c:v>
                </c:pt>
                <c:pt idx="10">
                  <c:v>1957</c:v>
                </c:pt>
                <c:pt idx="11">
                  <c:v>1958</c:v>
                </c:pt>
                <c:pt idx="12">
                  <c:v>1959</c:v>
                </c:pt>
                <c:pt idx="13">
                  <c:v>1960</c:v>
                </c:pt>
                <c:pt idx="14">
                  <c:v>1961</c:v>
                </c:pt>
                <c:pt idx="15">
                  <c:v>1962</c:v>
                </c:pt>
                <c:pt idx="16">
                  <c:v>1963</c:v>
                </c:pt>
                <c:pt idx="17">
                  <c:v>1964</c:v>
                </c:pt>
                <c:pt idx="18">
                  <c:v>1965</c:v>
                </c:pt>
                <c:pt idx="19">
                  <c:v>1966</c:v>
                </c:pt>
                <c:pt idx="20">
                  <c:v>1967</c:v>
                </c:pt>
                <c:pt idx="21">
                  <c:v>1968</c:v>
                </c:pt>
                <c:pt idx="22">
                  <c:v>1969</c:v>
                </c:pt>
                <c:pt idx="23">
                  <c:v>1970</c:v>
                </c:pt>
                <c:pt idx="24">
                  <c:v>1971</c:v>
                </c:pt>
                <c:pt idx="25">
                  <c:v>1972</c:v>
                </c:pt>
                <c:pt idx="26">
                  <c:v>1973</c:v>
                </c:pt>
                <c:pt idx="27">
                  <c:v>1974</c:v>
                </c:pt>
                <c:pt idx="28">
                  <c:v>1975</c:v>
                </c:pt>
                <c:pt idx="29">
                  <c:v>1976</c:v>
                </c:pt>
                <c:pt idx="30">
                  <c:v>1977</c:v>
                </c:pt>
                <c:pt idx="31">
                  <c:v>1978</c:v>
                </c:pt>
                <c:pt idx="32">
                  <c:v>1979</c:v>
                </c:pt>
                <c:pt idx="33">
                  <c:v>1980</c:v>
                </c:pt>
                <c:pt idx="34">
                  <c:v>1981</c:v>
                </c:pt>
                <c:pt idx="35">
                  <c:v>1982</c:v>
                </c:pt>
                <c:pt idx="36">
                  <c:v>1983</c:v>
                </c:pt>
                <c:pt idx="37">
                  <c:v>1984</c:v>
                </c:pt>
                <c:pt idx="38">
                  <c:v>1985</c:v>
                </c:pt>
                <c:pt idx="39">
                  <c:v>1986</c:v>
                </c:pt>
                <c:pt idx="40">
                  <c:v>1987</c:v>
                </c:pt>
                <c:pt idx="41">
                  <c:v>1988</c:v>
                </c:pt>
                <c:pt idx="42">
                  <c:v>1989</c:v>
                </c:pt>
                <c:pt idx="43">
                  <c:v>1990</c:v>
                </c:pt>
                <c:pt idx="44">
                  <c:v>1991</c:v>
                </c:pt>
                <c:pt idx="45">
                  <c:v>1992</c:v>
                </c:pt>
                <c:pt idx="46">
                  <c:v>1993</c:v>
                </c:pt>
                <c:pt idx="47">
                  <c:v>1994</c:v>
                </c:pt>
                <c:pt idx="48">
                  <c:v>1995</c:v>
                </c:pt>
                <c:pt idx="49">
                  <c:v>1996</c:v>
                </c:pt>
                <c:pt idx="50">
                  <c:v>1997</c:v>
                </c:pt>
                <c:pt idx="51">
                  <c:v>1998</c:v>
                </c:pt>
                <c:pt idx="52">
                  <c:v>1999</c:v>
                </c:pt>
                <c:pt idx="53">
                  <c:v>2000</c:v>
                </c:pt>
                <c:pt idx="54">
                  <c:v>2001</c:v>
                </c:pt>
                <c:pt idx="55">
                  <c:v>2002</c:v>
                </c:pt>
                <c:pt idx="56">
                  <c:v>2003</c:v>
                </c:pt>
                <c:pt idx="57">
                  <c:v>2004</c:v>
                </c:pt>
                <c:pt idx="58">
                  <c:v>2005</c:v>
                </c:pt>
                <c:pt idx="59">
                  <c:v>2006</c:v>
                </c:pt>
                <c:pt idx="60">
                  <c:v>2007</c:v>
                </c:pt>
                <c:pt idx="61">
                  <c:v>2008</c:v>
                </c:pt>
                <c:pt idx="62">
                  <c:v>2009</c:v>
                </c:pt>
                <c:pt idx="63">
                  <c:v>2010</c:v>
                </c:pt>
                <c:pt idx="64">
                  <c:v>2011</c:v>
                </c:pt>
                <c:pt idx="65">
                  <c:v>2012</c:v>
                </c:pt>
                <c:pt idx="66">
                  <c:v>2013</c:v>
                </c:pt>
                <c:pt idx="67">
                  <c:v>2014</c:v>
                </c:pt>
                <c:pt idx="68">
                  <c:v>2015</c:v>
                </c:pt>
                <c:pt idx="69">
                  <c:v>2016</c:v>
                </c:pt>
                <c:pt idx="70">
                  <c:v>2017</c:v>
                </c:pt>
                <c:pt idx="71">
                  <c:v>2018</c:v>
                </c:pt>
                <c:pt idx="72">
                  <c:v>2019</c:v>
                </c:pt>
              </c:numCache>
            </c:numRef>
          </c:xVal>
          <c:yVal>
            <c:numRef>
              <c:f>Data!$K$2:$K$74</c:f>
              <c:numCache>
                <c:formatCode>General</c:formatCode>
                <c:ptCount val="73"/>
                <c:pt idx="0">
                  <c:v>29</c:v>
                </c:pt>
                <c:pt idx="1">
                  <c:v>26</c:v>
                </c:pt>
                <c:pt idx="2">
                  <c:v>23</c:v>
                </c:pt>
                <c:pt idx="3">
                  <c:v>21</c:v>
                </c:pt>
                <c:pt idx="4">
                  <c:v>22</c:v>
                </c:pt>
                <c:pt idx="5">
                  <c:v>24</c:v>
                </c:pt>
                <c:pt idx="6">
                  <c:v>22</c:v>
                </c:pt>
                <c:pt idx="7">
                  <c:v>20</c:v>
                </c:pt>
                <c:pt idx="8">
                  <c:v>19</c:v>
                </c:pt>
                <c:pt idx="9">
                  <c:v>17</c:v>
                </c:pt>
                <c:pt idx="10">
                  <c:v>18</c:v>
                </c:pt>
                <c:pt idx="11">
                  <c:v>17</c:v>
                </c:pt>
                <c:pt idx="12">
                  <c:v>18</c:v>
                </c:pt>
                <c:pt idx="13">
                  <c:v>20</c:v>
                </c:pt>
                <c:pt idx="14">
                  <c:v>20</c:v>
                </c:pt>
                <c:pt idx="15">
                  <c:v>16</c:v>
                </c:pt>
                <c:pt idx="16">
                  <c:v>18</c:v>
                </c:pt>
                <c:pt idx="17">
                  <c:v>15</c:v>
                </c:pt>
                <c:pt idx="18">
                  <c:v>16</c:v>
                </c:pt>
                <c:pt idx="19">
                  <c:v>15</c:v>
                </c:pt>
                <c:pt idx="20">
                  <c:v>15</c:v>
                </c:pt>
                <c:pt idx="21">
                  <c:v>16</c:v>
                </c:pt>
                <c:pt idx="22">
                  <c:v>17</c:v>
                </c:pt>
                <c:pt idx="23">
                  <c:v>17</c:v>
                </c:pt>
                <c:pt idx="24">
                  <c:v>16</c:v>
                </c:pt>
                <c:pt idx="25">
                  <c:v>16</c:v>
                </c:pt>
                <c:pt idx="26">
                  <c:v>15</c:v>
                </c:pt>
                <c:pt idx="27">
                  <c:v>17</c:v>
                </c:pt>
                <c:pt idx="28">
                  <c:v>16</c:v>
                </c:pt>
                <c:pt idx="29">
                  <c:v>20</c:v>
                </c:pt>
                <c:pt idx="30">
                  <c:v>15</c:v>
                </c:pt>
                <c:pt idx="31">
                  <c:v>13</c:v>
                </c:pt>
                <c:pt idx="32">
                  <c:v>12</c:v>
                </c:pt>
                <c:pt idx="33">
                  <c:v>10</c:v>
                </c:pt>
                <c:pt idx="34">
                  <c:v>9</c:v>
                </c:pt>
                <c:pt idx="35">
                  <c:v>9</c:v>
                </c:pt>
                <c:pt idx="36">
                  <c:v>8</c:v>
                </c:pt>
                <c:pt idx="37">
                  <c:v>8</c:v>
                </c:pt>
                <c:pt idx="38">
                  <c:v>6</c:v>
                </c:pt>
                <c:pt idx="39">
                  <c:v>6</c:v>
                </c:pt>
                <c:pt idx="40">
                  <c:v>8</c:v>
                </c:pt>
                <c:pt idx="41">
                  <c:v>8</c:v>
                </c:pt>
                <c:pt idx="42">
                  <c:v>6</c:v>
                </c:pt>
                <c:pt idx="43">
                  <c:v>5</c:v>
                </c:pt>
                <c:pt idx="44">
                  <c:v>3</c:v>
                </c:pt>
                <c:pt idx="45">
                  <c:v>1</c:v>
                </c:pt>
                <c:pt idx="46">
                  <c:v>1</c:v>
                </c:pt>
                <c:pt idx="47">
                  <c:v>0</c:v>
                </c:pt>
                <c:pt idx="48">
                  <c:v>1</c:v>
                </c:pt>
                <c:pt idx="49">
                  <c:v>1</c:v>
                </c:pt>
                <c:pt idx="50">
                  <c:v>2</c:v>
                </c:pt>
                <c:pt idx="51">
                  <c:v>2</c:v>
                </c:pt>
                <c:pt idx="52">
                  <c:v>3</c:v>
                </c:pt>
                <c:pt idx="53">
                  <c:v>2</c:v>
                </c:pt>
                <c:pt idx="54">
                  <c:v>2</c:v>
                </c:pt>
                <c:pt idx="55">
                  <c:v>2</c:v>
                </c:pt>
                <c:pt idx="56">
                  <c:v>2</c:v>
                </c:pt>
                <c:pt idx="57">
                  <c:v>2</c:v>
                </c:pt>
                <c:pt idx="58">
                  <c:v>1</c:v>
                </c:pt>
                <c:pt idx="59">
                  <c:v>2</c:v>
                </c:pt>
                <c:pt idx="60">
                  <c:v>1</c:v>
                </c:pt>
                <c:pt idx="61">
                  <c:v>1</c:v>
                </c:pt>
                <c:pt idx="62">
                  <c:v>1</c:v>
                </c:pt>
                <c:pt idx="63">
                  <c:v>2</c:v>
                </c:pt>
                <c:pt idx="64">
                  <c:v>2</c:v>
                </c:pt>
                <c:pt idx="65">
                  <c:v>2</c:v>
                </c:pt>
                <c:pt idx="66">
                  <c:v>2</c:v>
                </c:pt>
                <c:pt idx="67">
                  <c:v>2</c:v>
                </c:pt>
                <c:pt idx="68">
                  <c:v>2</c:v>
                </c:pt>
                <c:pt idx="69">
                  <c:v>2</c:v>
                </c:pt>
                <c:pt idx="70">
                  <c:v>1</c:v>
                </c:pt>
                <c:pt idx="71">
                  <c:v>1</c:v>
                </c:pt>
                <c:pt idx="72">
                  <c:v>0</c:v>
                </c:pt>
              </c:numCache>
            </c:numRef>
          </c:yVal>
          <c:smooth val="0"/>
          <c:extLst>
            <c:ext xmlns:c16="http://schemas.microsoft.com/office/drawing/2014/chart" uri="{C3380CC4-5D6E-409C-BE32-E72D297353CC}">
              <c16:uniqueId val="{00000002-3C47-4CDB-9DE6-47C8F5CA77FF}"/>
            </c:ext>
          </c:extLst>
        </c:ser>
        <c:dLbls>
          <c:showLegendKey val="0"/>
          <c:showVal val="0"/>
          <c:showCatName val="0"/>
          <c:showSerName val="0"/>
          <c:showPercent val="0"/>
          <c:showBubbleSize val="0"/>
        </c:dLbls>
        <c:axId val="728347184"/>
        <c:axId val="728345872"/>
      </c:scatterChart>
      <c:valAx>
        <c:axId val="7283455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8341280"/>
        <c:crosses val="autoZero"/>
        <c:crossBetween val="midCat"/>
      </c:valAx>
      <c:valAx>
        <c:axId val="728341280"/>
        <c:scaling>
          <c:orientation val="minMax"/>
          <c:max val="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8345544"/>
        <c:crosses val="autoZero"/>
        <c:crossBetween val="midCat"/>
      </c:valAx>
      <c:valAx>
        <c:axId val="728345872"/>
        <c:scaling>
          <c:orientation val="minMax"/>
        </c:scaling>
        <c:delete val="0"/>
        <c:axPos val="r"/>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8347184"/>
        <c:crosses val="max"/>
        <c:crossBetween val="midCat"/>
      </c:valAx>
      <c:valAx>
        <c:axId val="728347184"/>
        <c:scaling>
          <c:orientation val="minMax"/>
        </c:scaling>
        <c:delete val="1"/>
        <c:axPos val="b"/>
        <c:numFmt formatCode="General" sourceLinked="1"/>
        <c:majorTickMark val="out"/>
        <c:minorTickMark val="none"/>
        <c:tickLblPos val="nextTo"/>
        <c:crossAx val="72834587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6874F4-ABAD-48A8-B6E0-9840D11064CC}">
  <ds:schemaRefs>
    <ds:schemaRef ds:uri="http://schemas.microsoft.com/sharepoint/v3/contenttype/forms"/>
  </ds:schemaRefs>
</ds:datastoreItem>
</file>

<file path=customXml/itemProps2.xml><?xml version="1.0" encoding="utf-8"?>
<ds:datastoreItem xmlns:ds="http://schemas.openxmlformats.org/officeDocument/2006/customXml" ds:itemID="{D1C836C1-48DB-433F-82DB-E5B9F328BE04}">
  <ds:schemaRefs>
    <ds:schemaRef ds:uri="http://schemas.openxmlformats.org/officeDocument/2006/bibliography"/>
  </ds:schemaRefs>
</ds:datastoreItem>
</file>

<file path=customXml/itemProps3.xml><?xml version="1.0" encoding="utf-8"?>
<ds:datastoreItem xmlns:ds="http://schemas.openxmlformats.org/officeDocument/2006/customXml" ds:itemID="{E89066D7-5EB3-452A-B5D4-0CC8BB0969CE}"/>
</file>

<file path=customXml/itemProps4.xml><?xml version="1.0" encoding="utf-8"?>
<ds:datastoreItem xmlns:ds="http://schemas.openxmlformats.org/officeDocument/2006/customXml" ds:itemID="{C4CAE755-516A-40F1-8801-2545CBB992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F:\My Documents\Web Sites\ATMRPP\Templates\ATMRPP_WG_WHL_1.dot</Template>
  <TotalTime>3</TotalTime>
  <Pages>6</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9816</CharactersWithSpaces>
  <SharedDoc>false</SharedDoc>
  <HLinks>
    <vt:vector size="24" baseType="variant">
      <vt:variant>
        <vt:i4>786553</vt:i4>
      </vt:variant>
      <vt:variant>
        <vt:i4>9</vt:i4>
      </vt:variant>
      <vt:variant>
        <vt:i4>0</vt:i4>
      </vt:variant>
      <vt:variant>
        <vt:i4>5</vt:i4>
      </vt:variant>
      <vt:variant>
        <vt:lpwstr>https://www.icao.int/ESAF/Documents/meetings/2009/AFI_Frequency_MG1/FREQ_MGMT_Workshop_Summary.pdf</vt:lpwstr>
      </vt:variant>
      <vt:variant>
        <vt:lpwstr/>
      </vt:variant>
      <vt:variant>
        <vt:i4>786553</vt:i4>
      </vt:variant>
      <vt:variant>
        <vt:i4>6</vt:i4>
      </vt:variant>
      <vt:variant>
        <vt:i4>0</vt:i4>
      </vt:variant>
      <vt:variant>
        <vt:i4>5</vt:i4>
      </vt:variant>
      <vt:variant>
        <vt:lpwstr>https://www.icao.int/ESAF/Documents/meetings/2009/AFI_Frequency_MG1/FREQ_MGMT_Workshop_Summary.pdf</vt:lpwstr>
      </vt:variant>
      <vt:variant>
        <vt:lpwstr/>
      </vt:variant>
      <vt:variant>
        <vt:i4>7864425</vt:i4>
      </vt:variant>
      <vt:variant>
        <vt:i4>3</vt:i4>
      </vt:variant>
      <vt:variant>
        <vt:i4>0</vt:i4>
      </vt:variant>
      <vt:variant>
        <vt:i4>5</vt:i4>
      </vt:variant>
      <vt:variant>
        <vt:lpwstr>https://www.itu.int/itudoc/itu-r/archives/rrb/docs/13th/98-100.html</vt:lpwstr>
      </vt:variant>
      <vt:variant>
        <vt:lpwstr/>
      </vt:variant>
      <vt:variant>
        <vt:i4>917524</vt:i4>
      </vt:variant>
      <vt:variant>
        <vt:i4>0</vt:i4>
      </vt:variant>
      <vt:variant>
        <vt:i4>0</vt:i4>
      </vt:variant>
      <vt:variant>
        <vt:i4>5</vt:i4>
      </vt:variant>
      <vt:variant>
        <vt:lpwstr>https://commons.wikimedia.org/wiki/File:Am-sidebands.png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cp:lastModifiedBy>
  <cp:revision>5</cp:revision>
  <cp:lastPrinted>2005-03-16T18:26:00Z</cp:lastPrinted>
  <dcterms:created xsi:type="dcterms:W3CDTF">2020-08-11T02:12:00Z</dcterms:created>
  <dcterms:modified xsi:type="dcterms:W3CDTF">2020-08-12T18:36:00Z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