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0518A" w14:textId="159D4253" w:rsidR="00770160" w:rsidRPr="00E6158C" w:rsidRDefault="000D26D5" w:rsidP="00725205">
      <w:pPr>
        <w:jc w:val="center"/>
        <w:rPr>
          <w:b/>
          <w:sz w:val="24"/>
          <w:szCs w:val="24"/>
        </w:rPr>
      </w:pPr>
      <w:r w:rsidRPr="00E6158C">
        <w:rPr>
          <w:b/>
          <w:sz w:val="24"/>
          <w:szCs w:val="24"/>
          <w:lang w:val="en-US"/>
        </w:rPr>
        <w:t>FREQUENCY SPECTRUM</w:t>
      </w:r>
      <w:r w:rsidRPr="00E6158C">
        <w:rPr>
          <w:b/>
          <w:sz w:val="24"/>
          <w:szCs w:val="24"/>
        </w:rPr>
        <w:t xml:space="preserve"> MAN</w:t>
      </w:r>
      <w:r w:rsidR="00D94FD3" w:rsidRPr="00E6158C">
        <w:rPr>
          <w:b/>
          <w:sz w:val="24"/>
          <w:szCs w:val="24"/>
        </w:rPr>
        <w:t>AG</w:t>
      </w:r>
      <w:r w:rsidR="009C11DF" w:rsidRPr="00E6158C">
        <w:rPr>
          <w:sz w:val="24"/>
          <w:szCs w:val="24"/>
        </w:rPr>
        <w:t xml:space="preserve"> </w:t>
      </w:r>
      <w:r w:rsidR="00D94FD3" w:rsidRPr="00E6158C">
        <w:rPr>
          <w:b/>
          <w:sz w:val="24"/>
          <w:szCs w:val="24"/>
        </w:rPr>
        <w:t>EMENT</w:t>
      </w:r>
      <w:r w:rsidRPr="00E6158C">
        <w:rPr>
          <w:b/>
          <w:sz w:val="24"/>
          <w:szCs w:val="24"/>
        </w:rPr>
        <w:t xml:space="preserve"> PANEL (FSMP)</w:t>
      </w:r>
    </w:p>
    <w:p w14:paraId="3754E53D" w14:textId="77777777" w:rsidR="00770160" w:rsidRPr="00E6158C" w:rsidRDefault="00770160">
      <w:pPr>
        <w:tabs>
          <w:tab w:val="left" w:pos="6972"/>
        </w:tabs>
        <w:jc w:val="center"/>
        <w:rPr>
          <w:b/>
          <w:sz w:val="24"/>
          <w:szCs w:val="24"/>
        </w:rPr>
      </w:pPr>
    </w:p>
    <w:p w14:paraId="4EEB2CCA" w14:textId="77777777" w:rsidR="00F56F90" w:rsidRPr="00E6158C" w:rsidRDefault="00FE66F1" w:rsidP="00F56F90">
      <w:pPr>
        <w:pStyle w:val="Maintitle"/>
        <w:rPr>
          <w:sz w:val="24"/>
          <w:szCs w:val="24"/>
        </w:rPr>
      </w:pPr>
      <w:r w:rsidRPr="00E6158C">
        <w:rPr>
          <w:sz w:val="24"/>
          <w:szCs w:val="24"/>
        </w:rPr>
        <w:t>Tenth</w:t>
      </w:r>
      <w:r w:rsidR="00F56F90" w:rsidRPr="00E6158C">
        <w:rPr>
          <w:sz w:val="24"/>
          <w:szCs w:val="24"/>
        </w:rPr>
        <w:t xml:space="preserve"> Working Group meeting</w:t>
      </w:r>
    </w:p>
    <w:p w14:paraId="2F221873" w14:textId="77777777" w:rsidR="00F56F90" w:rsidRPr="00E6158C" w:rsidRDefault="00F56F90" w:rsidP="00F56F90">
      <w:pPr>
        <w:rPr>
          <w:sz w:val="24"/>
          <w:szCs w:val="24"/>
        </w:rPr>
      </w:pPr>
    </w:p>
    <w:p w14:paraId="4A10D02A" w14:textId="77777777" w:rsidR="00F56F90" w:rsidRPr="00E6158C" w:rsidRDefault="00FE66F1" w:rsidP="00BC5391">
      <w:pPr>
        <w:jc w:val="center"/>
        <w:rPr>
          <w:b/>
          <w:bCs/>
          <w:sz w:val="24"/>
          <w:szCs w:val="24"/>
        </w:rPr>
      </w:pPr>
      <w:bookmarkStart w:id="0" w:name="agenda_item"/>
      <w:bookmarkEnd w:id="0"/>
      <w:r w:rsidRPr="00E6158C">
        <w:rPr>
          <w:b/>
          <w:bCs/>
          <w:sz w:val="24"/>
          <w:szCs w:val="24"/>
        </w:rPr>
        <w:t>Virtual Meeting</w:t>
      </w:r>
      <w:r w:rsidR="00BC5391" w:rsidRPr="00E6158C">
        <w:rPr>
          <w:b/>
          <w:bCs/>
          <w:sz w:val="24"/>
          <w:szCs w:val="24"/>
        </w:rPr>
        <w:t xml:space="preserve">, </w:t>
      </w:r>
      <w:r w:rsidRPr="00E6158C">
        <w:rPr>
          <w:b/>
          <w:bCs/>
          <w:sz w:val="24"/>
          <w:szCs w:val="24"/>
        </w:rPr>
        <w:t>17</w:t>
      </w:r>
      <w:r w:rsidR="00BC5391" w:rsidRPr="00E6158C">
        <w:rPr>
          <w:b/>
          <w:bCs/>
          <w:sz w:val="24"/>
          <w:szCs w:val="24"/>
        </w:rPr>
        <w:t xml:space="preserve"> – </w:t>
      </w:r>
      <w:r w:rsidRPr="00E6158C">
        <w:rPr>
          <w:b/>
          <w:bCs/>
          <w:sz w:val="24"/>
          <w:szCs w:val="24"/>
        </w:rPr>
        <w:t>26</w:t>
      </w:r>
      <w:r w:rsidR="00BC5391" w:rsidRPr="00E6158C">
        <w:rPr>
          <w:b/>
          <w:bCs/>
          <w:sz w:val="24"/>
          <w:szCs w:val="24"/>
        </w:rPr>
        <w:t xml:space="preserve"> August</w:t>
      </w:r>
      <w:r w:rsidR="00F56F90" w:rsidRPr="00E6158C">
        <w:rPr>
          <w:b/>
          <w:bCs/>
          <w:sz w:val="24"/>
          <w:szCs w:val="24"/>
        </w:rPr>
        <w:t xml:space="preserve"> 2019</w:t>
      </w:r>
    </w:p>
    <w:p w14:paraId="020EB3AD" w14:textId="77777777" w:rsidR="00770160" w:rsidRPr="00E6158C" w:rsidRDefault="00770160">
      <w:pPr>
        <w:tabs>
          <w:tab w:val="left" w:pos="0"/>
          <w:tab w:val="left" w:pos="1570"/>
          <w:tab w:val="left" w:pos="1857"/>
        </w:tabs>
        <w:rPr>
          <w:sz w:val="24"/>
          <w:szCs w:val="24"/>
        </w:rPr>
      </w:pPr>
    </w:p>
    <w:p w14:paraId="090FB437" w14:textId="77777777" w:rsidR="00770160" w:rsidRPr="00E6158C" w:rsidRDefault="00770160">
      <w:pPr>
        <w:tabs>
          <w:tab w:val="left" w:pos="0"/>
          <w:tab w:val="left" w:pos="1570"/>
          <w:tab w:val="left" w:pos="1857"/>
        </w:tabs>
        <w:rPr>
          <w:sz w:val="24"/>
          <w:szCs w:val="24"/>
        </w:rPr>
      </w:pPr>
    </w:p>
    <w:p w14:paraId="3A815695" w14:textId="77777777" w:rsidR="00770160" w:rsidRPr="00E6158C" w:rsidRDefault="00770160">
      <w:pPr>
        <w:pStyle w:val="Agendaitemtitle"/>
        <w:rPr>
          <w:sz w:val="24"/>
          <w:szCs w:val="24"/>
          <w:lang w:val="sv-SE"/>
        </w:rPr>
      </w:pPr>
      <w:r w:rsidRPr="00E6158C">
        <w:rPr>
          <w:sz w:val="24"/>
          <w:szCs w:val="24"/>
          <w:lang w:val="sv-SE"/>
        </w:rPr>
        <w:t>Agenda Item </w:t>
      </w:r>
      <w:r w:rsidR="00AC450E" w:rsidRPr="00E6158C">
        <w:rPr>
          <w:sz w:val="24"/>
          <w:szCs w:val="24"/>
          <w:lang w:val="sv-SE"/>
        </w:rPr>
        <w:t>9</w:t>
      </w:r>
      <w:r w:rsidRPr="00E6158C">
        <w:rPr>
          <w:sz w:val="24"/>
          <w:szCs w:val="24"/>
          <w:lang w:val="sv-SE"/>
        </w:rPr>
        <w:t>:</w:t>
      </w:r>
      <w:r w:rsidRPr="00E6158C">
        <w:rPr>
          <w:sz w:val="24"/>
          <w:szCs w:val="24"/>
          <w:lang w:val="sv-SE"/>
        </w:rPr>
        <w:tab/>
      </w:r>
      <w:r w:rsidR="00AC450E" w:rsidRPr="00E6158C">
        <w:rPr>
          <w:rFonts w:eastAsia="Calibri"/>
          <w:bCs/>
          <w:sz w:val="24"/>
          <w:szCs w:val="24"/>
        </w:rPr>
        <w:t>Revision of ICAO Frequency Spectrum Handbook (Doc 9718)</w:t>
      </w:r>
    </w:p>
    <w:p w14:paraId="0EE3703C" w14:textId="77777777" w:rsidR="00770160" w:rsidRPr="00E6158C" w:rsidRDefault="00770160">
      <w:pPr>
        <w:pStyle w:val="Agendaitemtitle"/>
        <w:rPr>
          <w:b w:val="0"/>
          <w:sz w:val="24"/>
          <w:szCs w:val="24"/>
          <w:lang w:val="sv-SE"/>
        </w:rPr>
      </w:pPr>
    </w:p>
    <w:p w14:paraId="46555762" w14:textId="77777777" w:rsidR="00770160" w:rsidRPr="00E6158C" w:rsidRDefault="00770160">
      <w:pPr>
        <w:tabs>
          <w:tab w:val="left" w:pos="6972"/>
        </w:tabs>
        <w:rPr>
          <w:b/>
          <w:sz w:val="24"/>
          <w:szCs w:val="24"/>
          <w:lang w:val="sv-SE"/>
        </w:rPr>
      </w:pPr>
    </w:p>
    <w:p w14:paraId="53061D2C" w14:textId="77777777" w:rsidR="00770160" w:rsidRPr="00E6158C" w:rsidRDefault="00AC450E">
      <w:pPr>
        <w:pStyle w:val="Maintitle"/>
        <w:rPr>
          <w:sz w:val="24"/>
          <w:szCs w:val="24"/>
        </w:rPr>
      </w:pPr>
      <w:r w:rsidRPr="00E6158C">
        <w:rPr>
          <w:sz w:val="24"/>
          <w:szCs w:val="24"/>
        </w:rPr>
        <w:t>ICAO SPECTRUM HANDBOOK – VOL. C UPDATES ON TECHNICAL CHARACTERISTICS</w:t>
      </w:r>
    </w:p>
    <w:p w14:paraId="2C9A0145" w14:textId="77777777" w:rsidR="00770160" w:rsidRPr="00E6158C" w:rsidRDefault="00770160">
      <w:pPr>
        <w:tabs>
          <w:tab w:val="left" w:pos="6972"/>
        </w:tabs>
        <w:rPr>
          <w:sz w:val="24"/>
          <w:szCs w:val="24"/>
        </w:rPr>
      </w:pPr>
    </w:p>
    <w:p w14:paraId="2B2F7734" w14:textId="77777777" w:rsidR="00770160" w:rsidRPr="00E6158C" w:rsidRDefault="00770160">
      <w:pPr>
        <w:tabs>
          <w:tab w:val="left" w:pos="6972"/>
        </w:tabs>
        <w:rPr>
          <w:sz w:val="24"/>
          <w:szCs w:val="24"/>
        </w:rPr>
      </w:pPr>
    </w:p>
    <w:p w14:paraId="56FCD623" w14:textId="77777777" w:rsidR="00770160" w:rsidRPr="00E6158C" w:rsidRDefault="00770160">
      <w:pPr>
        <w:jc w:val="center"/>
        <w:rPr>
          <w:sz w:val="24"/>
          <w:szCs w:val="24"/>
        </w:rPr>
      </w:pPr>
      <w:r w:rsidRPr="00E6158C">
        <w:rPr>
          <w:sz w:val="24"/>
          <w:szCs w:val="24"/>
        </w:rPr>
        <w:t>(Presented by</w:t>
      </w:r>
      <w:bookmarkStart w:id="1" w:name="presented_by"/>
      <w:bookmarkEnd w:id="1"/>
      <w:r w:rsidRPr="00E6158C">
        <w:rPr>
          <w:sz w:val="24"/>
          <w:szCs w:val="24"/>
        </w:rPr>
        <w:t xml:space="preserve"> </w:t>
      </w:r>
      <w:r w:rsidR="00FE66F1" w:rsidRPr="00E6158C">
        <w:rPr>
          <w:sz w:val="24"/>
          <w:szCs w:val="24"/>
        </w:rPr>
        <w:t>United States</w:t>
      </w:r>
      <w:r w:rsidRPr="00E6158C">
        <w:rPr>
          <w:sz w:val="24"/>
          <w:szCs w:val="24"/>
        </w:rPr>
        <w:t>)</w:t>
      </w:r>
    </w:p>
    <w:p w14:paraId="3CAFEB29" w14:textId="77777777" w:rsidR="00770160" w:rsidRPr="00E6158C" w:rsidRDefault="00770160">
      <w:pPr>
        <w:rPr>
          <w:sz w:val="24"/>
          <w:szCs w:val="24"/>
        </w:rPr>
      </w:pPr>
    </w:p>
    <w:p w14:paraId="43DD53B1" w14:textId="77777777" w:rsidR="00770160" w:rsidRPr="00E6158C" w:rsidRDefault="00770160">
      <w:pPr>
        <w:rPr>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6158C" w14:paraId="6F3F8422" w14:textId="77777777">
        <w:trPr>
          <w:cantSplit/>
          <w:trHeight w:hRule="exact" w:val="480"/>
          <w:jc w:val="center"/>
        </w:trPr>
        <w:tc>
          <w:tcPr>
            <w:tcW w:w="7200" w:type="dxa"/>
            <w:vAlign w:val="center"/>
          </w:tcPr>
          <w:p w14:paraId="1CE0984D" w14:textId="77777777" w:rsidR="00770160" w:rsidRPr="00E6158C" w:rsidRDefault="00770160">
            <w:pPr>
              <w:jc w:val="center"/>
              <w:rPr>
                <w:sz w:val="24"/>
                <w:szCs w:val="24"/>
                <w:lang w:val="en-US"/>
              </w:rPr>
            </w:pPr>
            <w:r w:rsidRPr="00E6158C">
              <w:rPr>
                <w:b/>
                <w:sz w:val="24"/>
                <w:szCs w:val="24"/>
              </w:rPr>
              <w:t>SUMMARY</w:t>
            </w:r>
          </w:p>
        </w:tc>
      </w:tr>
      <w:tr w:rsidR="00770160" w:rsidRPr="00E6158C" w14:paraId="5613BDE3" w14:textId="77777777">
        <w:trPr>
          <w:cantSplit/>
          <w:jc w:val="center"/>
        </w:trPr>
        <w:tc>
          <w:tcPr>
            <w:tcW w:w="7200" w:type="dxa"/>
          </w:tcPr>
          <w:p w14:paraId="72BCF519" w14:textId="77777777" w:rsidR="00770160" w:rsidRPr="00E6158C" w:rsidRDefault="00FE66F1">
            <w:pPr>
              <w:rPr>
                <w:sz w:val="24"/>
                <w:szCs w:val="24"/>
                <w:lang w:val="en-US"/>
              </w:rPr>
            </w:pPr>
            <w:r w:rsidRPr="00E6158C">
              <w:rPr>
                <w:sz w:val="24"/>
                <w:szCs w:val="24"/>
                <w:lang w:val="en-US"/>
              </w:rPr>
              <w:t xml:space="preserve">This document responds to </w:t>
            </w:r>
            <w:r w:rsidR="007810A0" w:rsidRPr="00E6158C">
              <w:rPr>
                <w:sz w:val="24"/>
                <w:szCs w:val="24"/>
                <w:lang w:val="en-US"/>
              </w:rPr>
              <w:t xml:space="preserve">the request </w:t>
            </w:r>
            <w:r w:rsidR="006661A4" w:rsidRPr="00E6158C">
              <w:rPr>
                <w:sz w:val="24"/>
                <w:szCs w:val="24"/>
                <w:lang w:val="en-US"/>
              </w:rPr>
              <w:t>in the</w:t>
            </w:r>
            <w:r w:rsidR="00AF3051" w:rsidRPr="00E6158C">
              <w:rPr>
                <w:sz w:val="24"/>
                <w:szCs w:val="24"/>
                <w:lang w:val="en-US"/>
              </w:rPr>
              <w:t xml:space="preserve"> R</w:t>
            </w:r>
            <w:r w:rsidR="006661A4" w:rsidRPr="00E6158C">
              <w:rPr>
                <w:sz w:val="24"/>
                <w:szCs w:val="24"/>
                <w:lang w:val="en-US"/>
              </w:rPr>
              <w:t xml:space="preserve">eport of Ninth Meeting of the Working Group of FSMP (FSMP-WG/9), Montreal, Canada, 23-30 August 2019, to </w:t>
            </w:r>
            <w:r w:rsidR="006661A4" w:rsidRPr="00E6158C">
              <w:rPr>
                <w:sz w:val="24"/>
                <w:szCs w:val="24"/>
              </w:rPr>
              <w:t>review the system characteristics structure in WG/09 WP20, and to provide necessary system information to produce a section for the Iridium satellite.</w:t>
            </w:r>
            <w:r w:rsidR="007810A0" w:rsidRPr="00E6158C">
              <w:rPr>
                <w:sz w:val="24"/>
                <w:szCs w:val="24"/>
                <w:lang w:val="en-US"/>
              </w:rPr>
              <w:t xml:space="preserve"> </w:t>
            </w:r>
          </w:p>
        </w:tc>
      </w:tr>
    </w:tbl>
    <w:p w14:paraId="4E688667" w14:textId="77777777" w:rsidR="00770160" w:rsidRPr="00E6158C" w:rsidRDefault="00770160">
      <w:pPr>
        <w:rPr>
          <w:sz w:val="24"/>
          <w:szCs w:val="24"/>
        </w:rPr>
      </w:pPr>
    </w:p>
    <w:p w14:paraId="1AF90E90" w14:textId="77777777" w:rsidR="00770160" w:rsidRPr="00E6158C" w:rsidRDefault="00770160">
      <w:pPr>
        <w:rPr>
          <w:sz w:val="24"/>
          <w:szCs w:val="24"/>
        </w:rPr>
      </w:pPr>
    </w:p>
    <w:p w14:paraId="5FB0686D" w14:textId="77777777" w:rsidR="00596FAF" w:rsidRPr="00E6158C" w:rsidRDefault="00596FAF" w:rsidP="00596FAF">
      <w:pPr>
        <w:pStyle w:val="1Heading"/>
        <w:rPr>
          <w:sz w:val="24"/>
          <w:szCs w:val="24"/>
        </w:rPr>
      </w:pPr>
      <w:r w:rsidRPr="00E6158C">
        <w:rPr>
          <w:sz w:val="24"/>
          <w:szCs w:val="24"/>
        </w:rPr>
        <w:t>INTRODUCTION</w:t>
      </w:r>
    </w:p>
    <w:p w14:paraId="0DA30DB2" w14:textId="77777777" w:rsidR="00596FAF" w:rsidRPr="00E6158C" w:rsidRDefault="00740D50" w:rsidP="00596FAF">
      <w:pPr>
        <w:pStyle w:val="2para"/>
        <w:rPr>
          <w:sz w:val="24"/>
          <w:szCs w:val="24"/>
        </w:rPr>
      </w:pPr>
      <w:r w:rsidRPr="00E6158C">
        <w:rPr>
          <w:sz w:val="24"/>
          <w:szCs w:val="24"/>
          <w:lang w:val="en-US"/>
        </w:rPr>
        <w:t>T</w:t>
      </w:r>
      <w:r w:rsidR="00AF3051" w:rsidRPr="00E6158C">
        <w:rPr>
          <w:sz w:val="24"/>
          <w:szCs w:val="24"/>
          <w:lang w:val="en-US"/>
        </w:rPr>
        <w:t xml:space="preserve">he Report of Ninth Meeting of the Working Group of FSMP (FSMP-WG/9), Montreal, Canada, 23-30 August 2019, FSMP-WG/9 </w:t>
      </w:r>
      <w:r w:rsidRPr="00E6158C">
        <w:rPr>
          <w:sz w:val="24"/>
          <w:szCs w:val="24"/>
          <w:lang w:val="en-US"/>
        </w:rPr>
        <w:t xml:space="preserve">requests Iridium </w:t>
      </w:r>
      <w:r w:rsidR="00AF3051" w:rsidRPr="00E6158C">
        <w:rPr>
          <w:sz w:val="24"/>
          <w:szCs w:val="24"/>
          <w:lang w:val="en-US"/>
        </w:rPr>
        <w:t xml:space="preserve">to </w:t>
      </w:r>
      <w:r w:rsidR="00AF3051" w:rsidRPr="00E6158C">
        <w:rPr>
          <w:sz w:val="24"/>
          <w:szCs w:val="24"/>
        </w:rPr>
        <w:t>review the system characteristics structure in WG/09 WP20, and to provide necessary system information to produce a section for the Iridium satellite.</w:t>
      </w:r>
      <w:r w:rsidR="00AF3051" w:rsidRPr="00E6158C">
        <w:rPr>
          <w:sz w:val="24"/>
          <w:szCs w:val="24"/>
          <w:lang w:val="en-US"/>
        </w:rPr>
        <w:t xml:space="preserve"> </w:t>
      </w:r>
      <w:r w:rsidR="00596FAF" w:rsidRPr="00E6158C">
        <w:rPr>
          <w:sz w:val="24"/>
          <w:szCs w:val="24"/>
        </w:rPr>
        <w:t>With feedback from FSMP WG/</w:t>
      </w:r>
      <w:r w:rsidR="00EF643A" w:rsidRPr="00E6158C">
        <w:rPr>
          <w:sz w:val="24"/>
          <w:szCs w:val="24"/>
        </w:rPr>
        <w:t>8</w:t>
      </w:r>
      <w:r w:rsidR="00596FAF" w:rsidRPr="00E6158C">
        <w:rPr>
          <w:sz w:val="24"/>
          <w:szCs w:val="24"/>
        </w:rPr>
        <w:t xml:space="preserve">, the ICAO Handbook Vol. C – System Characteristics has been modified to reflect the thoughts process and discussions.  </w:t>
      </w:r>
      <w:r w:rsidR="00C93459" w:rsidRPr="00E6158C">
        <w:rPr>
          <w:sz w:val="24"/>
          <w:szCs w:val="24"/>
        </w:rPr>
        <w:t xml:space="preserve">The </w:t>
      </w:r>
      <w:r w:rsidR="006E3302" w:rsidRPr="00E6158C">
        <w:rPr>
          <w:sz w:val="24"/>
          <w:szCs w:val="24"/>
        </w:rPr>
        <w:t xml:space="preserve">updated generic </w:t>
      </w:r>
      <w:r w:rsidR="00C93459" w:rsidRPr="00E6158C">
        <w:rPr>
          <w:sz w:val="24"/>
          <w:szCs w:val="24"/>
        </w:rPr>
        <w:t>structure in Annex A is then used in Annex B</w:t>
      </w:r>
      <w:r w:rsidR="0000424A" w:rsidRPr="00E6158C">
        <w:rPr>
          <w:sz w:val="24"/>
          <w:szCs w:val="24"/>
        </w:rPr>
        <w:t xml:space="preserve"> as an example with the radio altimeter</w:t>
      </w:r>
      <w:r w:rsidR="002E3BE7" w:rsidRPr="00E6158C">
        <w:rPr>
          <w:sz w:val="24"/>
          <w:szCs w:val="24"/>
        </w:rPr>
        <w:t xml:space="preserve"> given the ongoing focus for that system</w:t>
      </w:r>
    </w:p>
    <w:p w14:paraId="43510EF3" w14:textId="77777777" w:rsidR="00596FAF" w:rsidRPr="00E6158C" w:rsidRDefault="00596FAF" w:rsidP="00596FAF">
      <w:pPr>
        <w:pStyle w:val="1Heading"/>
        <w:rPr>
          <w:sz w:val="24"/>
          <w:szCs w:val="24"/>
        </w:rPr>
      </w:pPr>
      <w:r w:rsidRPr="00E6158C">
        <w:rPr>
          <w:sz w:val="24"/>
          <w:szCs w:val="24"/>
        </w:rPr>
        <w:t>DISCUSSION</w:t>
      </w:r>
    </w:p>
    <w:p w14:paraId="17B75D57" w14:textId="77777777" w:rsidR="00596FAF" w:rsidRPr="00E6158C" w:rsidRDefault="00740D50" w:rsidP="00740D50">
      <w:pPr>
        <w:pStyle w:val="2para"/>
        <w:rPr>
          <w:b/>
          <w:sz w:val="24"/>
          <w:szCs w:val="24"/>
        </w:rPr>
      </w:pPr>
      <w:r w:rsidRPr="00E6158C">
        <w:rPr>
          <w:sz w:val="24"/>
          <w:szCs w:val="24"/>
        </w:rPr>
        <w:lastRenderedPageBreak/>
        <w:t>In response to the request of FSMP-WG/9 the United States provides information on behalf of Iridium Satellite LLC to provide technical characteristics of the Iridium system to include in the update of Volume C of the ICAO Handbook.</w:t>
      </w:r>
    </w:p>
    <w:p w14:paraId="70849D02" w14:textId="77777777" w:rsidR="00596FAF" w:rsidRPr="00E6158C" w:rsidRDefault="00596FAF" w:rsidP="00596FAF">
      <w:pPr>
        <w:pStyle w:val="1Heading"/>
        <w:rPr>
          <w:sz w:val="24"/>
          <w:szCs w:val="24"/>
        </w:rPr>
      </w:pPr>
      <w:r w:rsidRPr="00E6158C">
        <w:rPr>
          <w:sz w:val="24"/>
          <w:szCs w:val="24"/>
        </w:rPr>
        <w:t>SUMMARY</w:t>
      </w:r>
    </w:p>
    <w:p w14:paraId="2A883DBB" w14:textId="77777777" w:rsidR="00596FAF" w:rsidRPr="00E6158C" w:rsidRDefault="00596FAF" w:rsidP="00596FAF">
      <w:pPr>
        <w:pStyle w:val="2para"/>
        <w:rPr>
          <w:sz w:val="24"/>
          <w:szCs w:val="24"/>
        </w:rPr>
      </w:pPr>
      <w:r w:rsidRPr="00E6158C">
        <w:rPr>
          <w:sz w:val="24"/>
          <w:szCs w:val="24"/>
        </w:rPr>
        <w:t>Th</w:t>
      </w:r>
      <w:r w:rsidR="00740D50" w:rsidRPr="00E6158C">
        <w:rPr>
          <w:sz w:val="24"/>
          <w:szCs w:val="24"/>
        </w:rPr>
        <w:t>is document provides an initial contribution to reference the Iridium satellite system in Volume C of the ICAO Handbook.</w:t>
      </w:r>
      <w:r w:rsidRPr="00E6158C">
        <w:rPr>
          <w:sz w:val="24"/>
          <w:szCs w:val="24"/>
        </w:rPr>
        <w:t xml:space="preserve"> </w:t>
      </w:r>
    </w:p>
    <w:p w14:paraId="47B4E6E8" w14:textId="77777777" w:rsidR="00596FAF" w:rsidRPr="00E6158C" w:rsidRDefault="00596FAF" w:rsidP="00596FAF">
      <w:pPr>
        <w:pStyle w:val="1Heading"/>
        <w:rPr>
          <w:sz w:val="24"/>
          <w:szCs w:val="24"/>
        </w:rPr>
      </w:pPr>
      <w:r w:rsidRPr="00E6158C">
        <w:rPr>
          <w:sz w:val="24"/>
          <w:szCs w:val="24"/>
        </w:rPr>
        <w:t>ACTION BY THE MEETING</w:t>
      </w:r>
    </w:p>
    <w:p w14:paraId="020B2010" w14:textId="77777777" w:rsidR="00596FAF" w:rsidRPr="00E6158C" w:rsidRDefault="00596FAF" w:rsidP="00596FAF">
      <w:pPr>
        <w:pStyle w:val="2para"/>
        <w:rPr>
          <w:sz w:val="24"/>
          <w:szCs w:val="24"/>
        </w:rPr>
      </w:pPr>
      <w:r w:rsidRPr="00E6158C">
        <w:rPr>
          <w:sz w:val="24"/>
          <w:szCs w:val="24"/>
        </w:rPr>
        <w:t>The meeting is invited to:</w:t>
      </w:r>
    </w:p>
    <w:p w14:paraId="7FD9A7C0" w14:textId="77777777" w:rsidR="00596FAF" w:rsidRPr="00E6158C" w:rsidRDefault="00596FAF" w:rsidP="00596FAF">
      <w:pPr>
        <w:pStyle w:val="Listabc"/>
        <w:rPr>
          <w:sz w:val="24"/>
          <w:szCs w:val="24"/>
        </w:rPr>
      </w:pPr>
      <w:r w:rsidRPr="00E6158C">
        <w:rPr>
          <w:sz w:val="24"/>
          <w:szCs w:val="24"/>
        </w:rPr>
        <w:t>review the contents of this working paper;</w:t>
      </w:r>
    </w:p>
    <w:p w14:paraId="5C057BD1" w14:textId="77777777" w:rsidR="00596FAF" w:rsidRPr="00E6158C" w:rsidRDefault="00596FAF" w:rsidP="00596FAF">
      <w:pPr>
        <w:pStyle w:val="Listabc"/>
        <w:rPr>
          <w:sz w:val="24"/>
          <w:szCs w:val="24"/>
        </w:rPr>
      </w:pPr>
      <w:r w:rsidRPr="00E6158C">
        <w:rPr>
          <w:sz w:val="24"/>
          <w:szCs w:val="24"/>
        </w:rPr>
        <w:t xml:space="preserve">Provide feedback in the meeting on the </w:t>
      </w:r>
      <w:r w:rsidR="00740D50" w:rsidRPr="00E6158C">
        <w:rPr>
          <w:sz w:val="24"/>
          <w:szCs w:val="24"/>
        </w:rPr>
        <w:t>form and content of Annex A to this document.</w:t>
      </w:r>
    </w:p>
    <w:p w14:paraId="596BF6A3" w14:textId="77777777" w:rsidR="00537F58" w:rsidRPr="00E6158C" w:rsidRDefault="00740D50" w:rsidP="001F30C9">
      <w:pPr>
        <w:pStyle w:val="Listabc"/>
        <w:rPr>
          <w:sz w:val="24"/>
          <w:szCs w:val="24"/>
        </w:rPr>
      </w:pPr>
      <w:r w:rsidRPr="00E6158C">
        <w:rPr>
          <w:sz w:val="24"/>
          <w:szCs w:val="24"/>
        </w:rPr>
        <w:t>Include this material in the ongoing update of the ICAO Handbook.</w:t>
      </w:r>
    </w:p>
    <w:p w14:paraId="1DE1B2C5" w14:textId="77777777" w:rsidR="00770160" w:rsidRPr="00E6158C" w:rsidRDefault="00770160" w:rsidP="00423C6F">
      <w:pPr>
        <w:pStyle w:val="Listabc"/>
        <w:numPr>
          <w:ilvl w:val="0"/>
          <w:numId w:val="0"/>
        </w:numPr>
        <w:rPr>
          <w:sz w:val="24"/>
          <w:szCs w:val="24"/>
        </w:rPr>
      </w:pPr>
    </w:p>
    <w:p w14:paraId="7693E417" w14:textId="77777777" w:rsidR="00770160" w:rsidRPr="00E6158C" w:rsidRDefault="00770160">
      <w:pPr>
        <w:spacing w:before="600"/>
        <w:jc w:val="center"/>
        <w:rPr>
          <w:sz w:val="24"/>
          <w:szCs w:val="24"/>
        </w:rPr>
      </w:pPr>
      <w:r w:rsidRPr="00E6158C">
        <w:rPr>
          <w:sz w:val="24"/>
          <w:szCs w:val="24"/>
        </w:rPr>
        <w:t>— END —</w:t>
      </w:r>
    </w:p>
    <w:p w14:paraId="22A22CDC" w14:textId="77777777" w:rsidR="009D670E" w:rsidRPr="00E6158C" w:rsidRDefault="00770160" w:rsidP="00FE7A41">
      <w:pPr>
        <w:pStyle w:val="Heading1"/>
        <w:rPr>
          <w:rFonts w:eastAsia="Calibri"/>
          <w:b w:val="0"/>
          <w:sz w:val="24"/>
          <w:szCs w:val="24"/>
          <w:lang w:val="en-US"/>
        </w:rPr>
      </w:pPr>
      <w:r w:rsidRPr="00E6158C">
        <w:rPr>
          <w:sz w:val="24"/>
          <w:szCs w:val="24"/>
        </w:rPr>
        <w:br w:type="page"/>
      </w:r>
    </w:p>
    <w:p w14:paraId="429FB9FB" w14:textId="11EEC358" w:rsidR="00FE7A41" w:rsidRPr="00E6158C" w:rsidRDefault="00FE7A41" w:rsidP="00FE7A41">
      <w:pPr>
        <w:pStyle w:val="Heading1"/>
        <w:rPr>
          <w:sz w:val="24"/>
          <w:szCs w:val="24"/>
        </w:rPr>
      </w:pPr>
      <w:r w:rsidRPr="00E6158C">
        <w:rPr>
          <w:sz w:val="24"/>
          <w:szCs w:val="24"/>
        </w:rPr>
        <w:lastRenderedPageBreak/>
        <w:t xml:space="preserve">Annex A – </w:t>
      </w:r>
      <w:r w:rsidR="00D74C5A" w:rsidRPr="00E6158C">
        <w:rPr>
          <w:sz w:val="24"/>
          <w:szCs w:val="24"/>
        </w:rPr>
        <w:t>Mobile Satellite Service</w:t>
      </w:r>
    </w:p>
    <w:p w14:paraId="04AEA5A8" w14:textId="5F881E41" w:rsidR="00FE7A41" w:rsidRPr="00E6158C" w:rsidRDefault="00D74C5A" w:rsidP="00FE7A41">
      <w:pPr>
        <w:pStyle w:val="Heading1"/>
        <w:rPr>
          <w:sz w:val="24"/>
          <w:szCs w:val="24"/>
        </w:rPr>
      </w:pPr>
      <w:r w:rsidRPr="00E6158C">
        <w:rPr>
          <w:sz w:val="24"/>
          <w:szCs w:val="24"/>
        </w:rPr>
        <w:t>AMS(R)S/AMSS</w:t>
      </w:r>
      <w:r w:rsidR="00FE7A41" w:rsidRPr="00E6158C">
        <w:rPr>
          <w:sz w:val="24"/>
          <w:szCs w:val="24"/>
        </w:rPr>
        <w:t xml:space="preserve"> (</w:t>
      </w:r>
      <w:r w:rsidR="00FE7A41" w:rsidRPr="00E6158C">
        <w:rPr>
          <w:i/>
          <w:iCs/>
          <w:sz w:val="24"/>
          <w:szCs w:val="24"/>
        </w:rPr>
        <w:t>1616-1626.5 MHz</w:t>
      </w:r>
      <w:r w:rsidR="00FE7A41" w:rsidRPr="00E6158C">
        <w:rPr>
          <w:rFonts w:eastAsia="Calibri"/>
          <w:sz w:val="24"/>
          <w:szCs w:val="24"/>
          <w:lang w:val="en-US"/>
        </w:rPr>
        <w:t>)</w:t>
      </w:r>
    </w:p>
    <w:p w14:paraId="3B15DED8" w14:textId="77777777" w:rsidR="00FE7A41" w:rsidRPr="00E6158C" w:rsidRDefault="00FE7A41" w:rsidP="00FE7A41">
      <w:pPr>
        <w:rPr>
          <w:sz w:val="24"/>
          <w:szCs w:val="24"/>
        </w:rPr>
      </w:pPr>
    </w:p>
    <w:p w14:paraId="5112E2E1" w14:textId="77777777" w:rsidR="00FE7A41" w:rsidRPr="00E6158C" w:rsidRDefault="00FE7A41" w:rsidP="00FE7A41">
      <w:pPr>
        <w:pStyle w:val="Heading2"/>
        <w:rPr>
          <w:rFonts w:ascii="Times New Roman" w:hAnsi="Times New Roman"/>
          <w:sz w:val="24"/>
          <w:szCs w:val="24"/>
        </w:rPr>
      </w:pPr>
      <w:r w:rsidRPr="00E6158C">
        <w:rPr>
          <w:rFonts w:ascii="Times New Roman" w:hAnsi="Times New Roman"/>
          <w:sz w:val="24"/>
          <w:szCs w:val="24"/>
        </w:rPr>
        <w:t>QUICK REFERENCE</w:t>
      </w:r>
    </w:p>
    <w:p w14:paraId="5C96A67B" w14:textId="77777777" w:rsidR="00FE7A41" w:rsidRPr="00E6158C" w:rsidRDefault="00FE7A41" w:rsidP="00FE7A41">
      <w:pPr>
        <w:jc w:val="left"/>
        <w:rPr>
          <w:rFonts w:eastAsia="Calibri"/>
          <w:b/>
          <w:sz w:val="24"/>
          <w:szCs w:val="24"/>
          <w:lang w:val="en-US"/>
        </w:rPr>
      </w:pPr>
    </w:p>
    <w:tbl>
      <w:tblPr>
        <w:tblW w:w="0" w:type="auto"/>
        <w:tblLook w:val="04A0" w:firstRow="1" w:lastRow="0" w:firstColumn="1" w:lastColumn="0" w:noHBand="0" w:noVBand="1"/>
      </w:tblPr>
      <w:tblGrid>
        <w:gridCol w:w="3060"/>
        <w:gridCol w:w="6678"/>
      </w:tblGrid>
      <w:tr w:rsidR="00FE7A41" w:rsidRPr="00E6158C" w14:paraId="55E0E7B4" w14:textId="77777777" w:rsidTr="001F30C9">
        <w:trPr>
          <w:trHeight w:val="432"/>
        </w:trPr>
        <w:tc>
          <w:tcPr>
            <w:tcW w:w="3060" w:type="dxa"/>
            <w:shd w:val="clear" w:color="auto" w:fill="auto"/>
          </w:tcPr>
          <w:p w14:paraId="1A7DA73C" w14:textId="77777777" w:rsidR="00FE7A41" w:rsidRPr="00E6158C" w:rsidRDefault="00FE7A41" w:rsidP="001F30C9">
            <w:pPr>
              <w:spacing w:after="120"/>
              <w:jc w:val="left"/>
              <w:rPr>
                <w:rFonts w:eastAsia="Calibri"/>
                <w:b/>
                <w:sz w:val="24"/>
                <w:szCs w:val="24"/>
                <w:lang w:val="en-US"/>
              </w:rPr>
            </w:pPr>
            <w:r w:rsidRPr="00E6158C">
              <w:rPr>
                <w:rFonts w:eastAsia="Calibri"/>
                <w:b/>
                <w:sz w:val="24"/>
                <w:szCs w:val="24"/>
                <w:lang w:val="en-US"/>
              </w:rPr>
              <w:t>System name</w:t>
            </w:r>
          </w:p>
        </w:tc>
        <w:tc>
          <w:tcPr>
            <w:tcW w:w="6678" w:type="dxa"/>
            <w:shd w:val="clear" w:color="auto" w:fill="auto"/>
          </w:tcPr>
          <w:p w14:paraId="61856783" w14:textId="69160E6A" w:rsidR="00FE7A41" w:rsidRPr="00E6158C" w:rsidRDefault="00870DDE" w:rsidP="001F30C9">
            <w:pPr>
              <w:spacing w:after="120"/>
              <w:jc w:val="left"/>
              <w:rPr>
                <w:rFonts w:eastAsia="Calibri"/>
                <w:sz w:val="24"/>
                <w:szCs w:val="24"/>
                <w:lang w:val="en-US"/>
              </w:rPr>
            </w:pPr>
            <w:r w:rsidRPr="00E6158C">
              <w:rPr>
                <w:rFonts w:eastAsia="Calibri"/>
                <w:sz w:val="24"/>
                <w:szCs w:val="24"/>
                <w:lang w:val="en-US"/>
              </w:rPr>
              <w:t>Iridium</w:t>
            </w:r>
            <w:r w:rsidR="00DB6770" w:rsidRPr="00E6158C">
              <w:rPr>
                <w:rFonts w:eastAsia="Calibri"/>
                <w:sz w:val="24"/>
                <w:szCs w:val="24"/>
                <w:lang w:val="en-US"/>
              </w:rPr>
              <w:t xml:space="preserve"> – Mobile Satellite Services</w:t>
            </w:r>
          </w:p>
        </w:tc>
      </w:tr>
      <w:tr w:rsidR="00FE7A41" w:rsidRPr="00E6158C" w14:paraId="0452FF33" w14:textId="77777777" w:rsidTr="001F30C9">
        <w:trPr>
          <w:trHeight w:val="432"/>
        </w:trPr>
        <w:tc>
          <w:tcPr>
            <w:tcW w:w="3060" w:type="dxa"/>
            <w:shd w:val="clear" w:color="auto" w:fill="auto"/>
          </w:tcPr>
          <w:p w14:paraId="3025B96F" w14:textId="77777777" w:rsidR="00FE7A41" w:rsidRPr="00E6158C" w:rsidRDefault="00FE7A41" w:rsidP="001F30C9">
            <w:pPr>
              <w:spacing w:after="120"/>
              <w:jc w:val="left"/>
              <w:rPr>
                <w:rFonts w:eastAsia="Calibri"/>
                <w:b/>
                <w:sz w:val="24"/>
                <w:szCs w:val="24"/>
                <w:lang w:val="en-US"/>
              </w:rPr>
            </w:pPr>
            <w:r w:rsidRPr="00E6158C">
              <w:rPr>
                <w:rFonts w:eastAsia="Calibri"/>
                <w:b/>
                <w:sz w:val="24"/>
                <w:szCs w:val="24"/>
                <w:lang w:val="en-US"/>
              </w:rPr>
              <w:t>Description</w:t>
            </w:r>
          </w:p>
        </w:tc>
        <w:tc>
          <w:tcPr>
            <w:tcW w:w="6678" w:type="dxa"/>
            <w:shd w:val="clear" w:color="auto" w:fill="auto"/>
          </w:tcPr>
          <w:p w14:paraId="3247B762" w14:textId="79385956" w:rsidR="00FE7A41" w:rsidRPr="00E6158C" w:rsidRDefault="00870DDE" w:rsidP="001F30C9">
            <w:pPr>
              <w:spacing w:after="120"/>
              <w:jc w:val="left"/>
              <w:rPr>
                <w:rFonts w:eastAsia="Calibri"/>
                <w:bCs/>
                <w:sz w:val="24"/>
                <w:szCs w:val="24"/>
                <w:lang w:val="en-US"/>
              </w:rPr>
            </w:pPr>
            <w:r w:rsidRPr="00E6158C">
              <w:rPr>
                <w:rFonts w:eastAsia="Calibri"/>
                <w:bCs/>
                <w:sz w:val="24"/>
                <w:szCs w:val="24"/>
                <w:lang w:val="en-US"/>
              </w:rPr>
              <w:t>Non-geostationary mobile-satellite system supporting global wireless communications</w:t>
            </w:r>
            <w:r w:rsidR="00DB6770" w:rsidRPr="00E6158C">
              <w:rPr>
                <w:rFonts w:eastAsia="Calibri"/>
                <w:bCs/>
                <w:sz w:val="24"/>
                <w:szCs w:val="24"/>
                <w:lang w:val="en-US"/>
              </w:rPr>
              <w:t xml:space="preserve"> for AMSS and AMS(R)S</w:t>
            </w:r>
          </w:p>
        </w:tc>
      </w:tr>
      <w:tr w:rsidR="00FE7A41" w:rsidRPr="00E6158C" w14:paraId="5589ABB0" w14:textId="77777777" w:rsidTr="001F30C9">
        <w:trPr>
          <w:trHeight w:val="432"/>
        </w:trPr>
        <w:tc>
          <w:tcPr>
            <w:tcW w:w="3060" w:type="dxa"/>
            <w:shd w:val="clear" w:color="auto" w:fill="auto"/>
          </w:tcPr>
          <w:p w14:paraId="7F14FDC6" w14:textId="77777777" w:rsidR="00FE7A41" w:rsidRPr="00E6158C" w:rsidRDefault="00FE7A41" w:rsidP="001F30C9">
            <w:pPr>
              <w:spacing w:after="120"/>
              <w:rPr>
                <w:rFonts w:eastAsia="Calibri"/>
                <w:b/>
                <w:sz w:val="24"/>
                <w:szCs w:val="24"/>
                <w:lang w:val="en-US"/>
              </w:rPr>
            </w:pPr>
            <w:r w:rsidRPr="00E6158C">
              <w:rPr>
                <w:rFonts w:eastAsia="Calibri"/>
                <w:b/>
                <w:sz w:val="24"/>
                <w:szCs w:val="24"/>
                <w:lang w:val="en-US"/>
              </w:rPr>
              <w:t>Technologies used</w:t>
            </w:r>
          </w:p>
        </w:tc>
        <w:tc>
          <w:tcPr>
            <w:tcW w:w="6678" w:type="dxa"/>
            <w:shd w:val="clear" w:color="auto" w:fill="auto"/>
          </w:tcPr>
          <w:p w14:paraId="63588240" w14:textId="60340F51" w:rsidR="00FE7A41" w:rsidRPr="00E6158C" w:rsidRDefault="00870DDE" w:rsidP="001F30C9">
            <w:pPr>
              <w:spacing w:after="120"/>
              <w:rPr>
                <w:rFonts w:eastAsia="Calibri"/>
                <w:bCs/>
                <w:sz w:val="24"/>
                <w:szCs w:val="24"/>
                <w:lang w:val="en-US"/>
              </w:rPr>
            </w:pPr>
            <w:r w:rsidRPr="00E6158C">
              <w:rPr>
                <w:rFonts w:eastAsia="Calibri"/>
                <w:bCs/>
                <w:sz w:val="24"/>
                <w:szCs w:val="24"/>
                <w:lang w:val="en-US"/>
              </w:rPr>
              <w:t>TDMA</w:t>
            </w:r>
            <w:r w:rsidR="00A43FBF" w:rsidRPr="00E6158C">
              <w:rPr>
                <w:rFonts w:eastAsia="Calibri"/>
                <w:bCs/>
                <w:sz w:val="24"/>
                <w:szCs w:val="24"/>
                <w:lang w:val="en-US"/>
              </w:rPr>
              <w:t>/FDMA</w:t>
            </w:r>
          </w:p>
        </w:tc>
      </w:tr>
      <w:tr w:rsidR="00FE7A41" w:rsidRPr="00E6158C" w14:paraId="41DF0CAC" w14:textId="77777777" w:rsidTr="001F30C9">
        <w:trPr>
          <w:trHeight w:val="432"/>
        </w:trPr>
        <w:tc>
          <w:tcPr>
            <w:tcW w:w="3060" w:type="dxa"/>
            <w:shd w:val="clear" w:color="auto" w:fill="auto"/>
          </w:tcPr>
          <w:p w14:paraId="1D8C61FF" w14:textId="77777777" w:rsidR="00FE7A41" w:rsidRPr="00E6158C" w:rsidRDefault="00FE7A41" w:rsidP="001F30C9">
            <w:pPr>
              <w:spacing w:after="120"/>
              <w:jc w:val="left"/>
              <w:rPr>
                <w:rFonts w:eastAsia="Calibri"/>
                <w:b/>
                <w:sz w:val="24"/>
                <w:szCs w:val="24"/>
                <w:lang w:val="en-US"/>
              </w:rPr>
            </w:pPr>
            <w:r w:rsidRPr="00E6158C">
              <w:rPr>
                <w:rFonts w:eastAsia="Calibri"/>
                <w:b/>
                <w:sz w:val="24"/>
                <w:szCs w:val="24"/>
                <w:lang w:val="en-US"/>
              </w:rPr>
              <w:t>International Spectrum Allocation</w:t>
            </w:r>
          </w:p>
        </w:tc>
        <w:tc>
          <w:tcPr>
            <w:tcW w:w="6678" w:type="dxa"/>
            <w:shd w:val="clear" w:color="auto" w:fill="auto"/>
          </w:tcPr>
          <w:p w14:paraId="2D982C0F" w14:textId="77777777" w:rsidR="00FE7A41" w:rsidRPr="00E6158C" w:rsidRDefault="00FE7A41" w:rsidP="001F30C9">
            <w:pPr>
              <w:spacing w:after="120"/>
              <w:jc w:val="left"/>
              <w:rPr>
                <w:rFonts w:eastAsia="Calibri"/>
                <w:bCs/>
                <w:sz w:val="24"/>
                <w:szCs w:val="24"/>
                <w:lang w:val="en-US"/>
              </w:rPr>
            </w:pPr>
            <w:r w:rsidRPr="00E6158C">
              <w:rPr>
                <w:rFonts w:eastAsia="Calibri"/>
                <w:bCs/>
                <w:sz w:val="24"/>
                <w:szCs w:val="24"/>
                <w:lang w:val="en-US"/>
              </w:rPr>
              <w:t>AMS(R)S</w:t>
            </w:r>
          </w:p>
        </w:tc>
      </w:tr>
      <w:tr w:rsidR="00FE7A41" w:rsidRPr="00E6158C" w14:paraId="70E06EBA" w14:textId="77777777" w:rsidTr="001F30C9">
        <w:trPr>
          <w:trHeight w:val="432"/>
        </w:trPr>
        <w:tc>
          <w:tcPr>
            <w:tcW w:w="3060" w:type="dxa"/>
            <w:shd w:val="clear" w:color="auto" w:fill="auto"/>
          </w:tcPr>
          <w:p w14:paraId="24F5F86E" w14:textId="77777777" w:rsidR="00FE7A41" w:rsidRPr="00E6158C" w:rsidRDefault="00FE7A41" w:rsidP="001F30C9">
            <w:pPr>
              <w:spacing w:after="120"/>
              <w:jc w:val="left"/>
              <w:rPr>
                <w:rFonts w:eastAsia="Calibri"/>
                <w:b/>
                <w:sz w:val="24"/>
                <w:szCs w:val="24"/>
                <w:lang w:val="en-US"/>
              </w:rPr>
            </w:pPr>
            <w:r w:rsidRPr="00E6158C">
              <w:rPr>
                <w:rFonts w:eastAsia="Calibri"/>
                <w:b/>
                <w:sz w:val="24"/>
                <w:szCs w:val="24"/>
                <w:lang w:val="en-US"/>
              </w:rPr>
              <w:t>ICAO regulations on usage</w:t>
            </w:r>
          </w:p>
        </w:tc>
        <w:tc>
          <w:tcPr>
            <w:tcW w:w="6678" w:type="dxa"/>
            <w:shd w:val="clear" w:color="auto" w:fill="auto"/>
          </w:tcPr>
          <w:p w14:paraId="0B48548D" w14:textId="1CF9B622" w:rsidR="00FE7A41" w:rsidRPr="00E6158C" w:rsidRDefault="006B26EB" w:rsidP="001F30C9">
            <w:pPr>
              <w:spacing w:after="120"/>
              <w:jc w:val="left"/>
              <w:rPr>
                <w:rFonts w:eastAsia="Calibri"/>
                <w:b/>
                <w:sz w:val="24"/>
                <w:szCs w:val="24"/>
                <w:lang w:val="en-US"/>
              </w:rPr>
            </w:pPr>
            <w:r w:rsidRPr="00E6158C">
              <w:rPr>
                <w:rFonts w:eastAsia="Calibri"/>
                <w:sz w:val="24"/>
                <w:szCs w:val="24"/>
                <w:lang w:val="en-US"/>
              </w:rPr>
              <w:t>Annex 10, Volume III</w:t>
            </w:r>
          </w:p>
        </w:tc>
      </w:tr>
      <w:tr w:rsidR="00FE7A41" w:rsidRPr="00E6158C" w14:paraId="1907EACA" w14:textId="77777777" w:rsidTr="001F30C9">
        <w:tc>
          <w:tcPr>
            <w:tcW w:w="3060" w:type="dxa"/>
            <w:shd w:val="clear" w:color="auto" w:fill="auto"/>
          </w:tcPr>
          <w:p w14:paraId="6D04B6AD" w14:textId="77777777" w:rsidR="00FE7A41" w:rsidRPr="00E6158C" w:rsidRDefault="00FE7A41" w:rsidP="001F30C9">
            <w:pPr>
              <w:spacing w:after="120"/>
              <w:jc w:val="left"/>
              <w:rPr>
                <w:rFonts w:eastAsia="Calibri"/>
                <w:b/>
                <w:sz w:val="24"/>
                <w:szCs w:val="24"/>
                <w:lang w:val="en-US"/>
              </w:rPr>
            </w:pPr>
          </w:p>
        </w:tc>
        <w:tc>
          <w:tcPr>
            <w:tcW w:w="6678" w:type="dxa"/>
            <w:shd w:val="clear" w:color="auto" w:fill="auto"/>
          </w:tcPr>
          <w:p w14:paraId="68E0F445" w14:textId="77777777" w:rsidR="00FE7A41" w:rsidRPr="00E6158C" w:rsidRDefault="00FE7A41" w:rsidP="001F30C9">
            <w:pPr>
              <w:spacing w:after="120"/>
              <w:jc w:val="left"/>
              <w:rPr>
                <w:rFonts w:eastAsia="Calibri"/>
                <w:b/>
                <w:sz w:val="24"/>
                <w:szCs w:val="24"/>
                <w:lang w:val="en-US"/>
              </w:rPr>
            </w:pPr>
          </w:p>
        </w:tc>
      </w:tr>
    </w:tbl>
    <w:p w14:paraId="5FC6F430" w14:textId="77777777" w:rsidR="00FE7A41" w:rsidRPr="00E6158C" w:rsidRDefault="00FE7A41" w:rsidP="00FE7A41">
      <w:pPr>
        <w:pStyle w:val="Heading2"/>
        <w:rPr>
          <w:rFonts w:ascii="Times New Roman" w:hAnsi="Times New Roman"/>
          <w:sz w:val="24"/>
          <w:szCs w:val="24"/>
        </w:rPr>
      </w:pPr>
      <w:r w:rsidRPr="00E6158C">
        <w:rPr>
          <w:rFonts w:ascii="Times New Roman" w:hAnsi="Times New Roman"/>
          <w:sz w:val="24"/>
          <w:szCs w:val="24"/>
        </w:rPr>
        <w:t>System Summary</w:t>
      </w:r>
    </w:p>
    <w:p w14:paraId="1410E189" w14:textId="77777777" w:rsidR="00870DDE" w:rsidRPr="00E6158C" w:rsidRDefault="00870DDE" w:rsidP="00870DDE">
      <w:pPr>
        <w:pStyle w:val="NormalWeb"/>
      </w:pPr>
      <w:r w:rsidRPr="00E6158C">
        <w:t>The Iridium</w:t>
      </w:r>
      <w:r w:rsidRPr="00E6158C">
        <w:rPr>
          <w:position w:val="8"/>
        </w:rPr>
        <w:t xml:space="preserve">® </w:t>
      </w:r>
      <w:r w:rsidRPr="00E6158C">
        <w:t xml:space="preserve">system is a Satellite-based Personal Communication Services (SPCS) system supporting global, wireless digital communications. Satellite-based PCS systems are also referred to as Mobile Satellite Services (MSS) or Global Mobile Personal Communications by Satellite (GMPCS). Iridium currently provides voice, data, paging, and messaging services to a </w:t>
      </w:r>
      <w:proofErr w:type="gramStart"/>
      <w:r w:rsidRPr="00E6158C">
        <w:t>subscribers</w:t>
      </w:r>
      <w:proofErr w:type="gramEnd"/>
      <w:r w:rsidRPr="00E6158C">
        <w:t xml:space="preserve"> using portable devices, including handhelds, terminals, or partner technology. The Iridium system is owned and operated by Iridium Communications Inc. The space segment of the Iridium system is licensed by the U.S. Federal Communications Commission (FCC). The U.S. government is the notifying Administration for the system at the United Nations International Telecommunication Union (ITU). </w:t>
      </w:r>
    </w:p>
    <w:p w14:paraId="66A8F133" w14:textId="0E33EFC5" w:rsidR="00870DDE" w:rsidRPr="00E6158C" w:rsidRDefault="00870DDE" w:rsidP="00870DDE">
      <w:pPr>
        <w:pStyle w:val="NormalWeb"/>
      </w:pPr>
      <w:r w:rsidRPr="00E6158C">
        <w:t>The Iridium satellite network was completely upgraded between 2017-2019 with new satellites and accompanying ground infrastructure. The new satellites are completely backwards compatible; however, these upgrades have greater capacity and have enabled new, faster services, including the Iridium Certus</w:t>
      </w:r>
      <w:r w:rsidRPr="00E6158C">
        <w:rPr>
          <w:position w:val="8"/>
        </w:rPr>
        <w:t xml:space="preserve">® </w:t>
      </w:r>
      <w:r w:rsidRPr="00E6158C">
        <w:t>platform</w:t>
      </w:r>
      <w:r w:rsidR="005C1475" w:rsidRPr="00E6158C">
        <w:t xml:space="preserve"> for land, maritime, and aviation use.</w:t>
      </w:r>
    </w:p>
    <w:p w14:paraId="16D81FDB" w14:textId="5A766C0C" w:rsidR="00FE7A41" w:rsidRPr="00E6158C" w:rsidRDefault="00FE7A41" w:rsidP="00FE7A41">
      <w:pPr>
        <w:pStyle w:val="Heading2"/>
        <w:rPr>
          <w:rFonts w:ascii="Times New Roman" w:hAnsi="Times New Roman"/>
          <w:b w:val="0"/>
          <w:bCs w:val="0"/>
          <w:i w:val="0"/>
          <w:iCs w:val="0"/>
          <w:sz w:val="24"/>
          <w:szCs w:val="24"/>
        </w:rPr>
      </w:pPr>
      <w:r w:rsidRPr="00E6158C">
        <w:rPr>
          <w:rFonts w:ascii="Times New Roman" w:hAnsi="Times New Roman"/>
          <w:i w:val="0"/>
          <w:iCs w:val="0"/>
          <w:sz w:val="24"/>
          <w:szCs w:val="24"/>
        </w:rPr>
        <w:t>Equipage and usage</w:t>
      </w:r>
      <w:r w:rsidR="00A43FBF" w:rsidRPr="00E6158C">
        <w:rPr>
          <w:rFonts w:ascii="Times New Roman" w:hAnsi="Times New Roman"/>
          <w:i w:val="0"/>
          <w:iCs w:val="0"/>
          <w:sz w:val="24"/>
          <w:szCs w:val="24"/>
        </w:rPr>
        <w:t>:</w:t>
      </w:r>
    </w:p>
    <w:p w14:paraId="0C1BFC47" w14:textId="77777777" w:rsidR="006B26EB" w:rsidRPr="00E6158C" w:rsidRDefault="006B26EB" w:rsidP="006B26EB">
      <w:pPr>
        <w:rPr>
          <w:sz w:val="24"/>
          <w:szCs w:val="24"/>
        </w:rPr>
      </w:pPr>
    </w:p>
    <w:p w14:paraId="3D23E088" w14:textId="7902D376" w:rsidR="006B26EB" w:rsidRPr="00E6158C" w:rsidRDefault="006B26EB" w:rsidP="006B26EB">
      <w:pPr>
        <w:jc w:val="left"/>
        <w:rPr>
          <w:rFonts w:eastAsia="Calibri"/>
          <w:sz w:val="24"/>
          <w:szCs w:val="24"/>
          <w:lang w:val="en-US"/>
        </w:rPr>
      </w:pPr>
      <w:r w:rsidRPr="00E6158C">
        <w:rPr>
          <w:rFonts w:eastAsia="Calibri"/>
          <w:sz w:val="24"/>
          <w:szCs w:val="24"/>
          <w:lang w:val="en-US"/>
        </w:rPr>
        <w:t>Equipage: Commercial aircraft, private/business aircraft, helicopters, general aviation</w:t>
      </w:r>
      <w:r w:rsidR="00FB0160" w:rsidRPr="00E6158C">
        <w:rPr>
          <w:rFonts w:eastAsia="Calibri"/>
          <w:sz w:val="24"/>
          <w:szCs w:val="24"/>
          <w:lang w:val="en-US"/>
        </w:rPr>
        <w:t>, UAV/drones</w:t>
      </w:r>
      <w:r w:rsidRPr="00E6158C">
        <w:rPr>
          <w:rFonts w:eastAsia="Calibri"/>
          <w:sz w:val="24"/>
          <w:szCs w:val="24"/>
          <w:lang w:val="en-US"/>
        </w:rPr>
        <w:t>.</w:t>
      </w:r>
    </w:p>
    <w:p w14:paraId="2469A849" w14:textId="77777777" w:rsidR="006B26EB" w:rsidRPr="00E6158C" w:rsidRDefault="006B26EB" w:rsidP="006B26EB">
      <w:pPr>
        <w:jc w:val="left"/>
        <w:rPr>
          <w:rFonts w:eastAsia="Calibri"/>
          <w:sz w:val="24"/>
          <w:szCs w:val="24"/>
          <w:lang w:val="en-US"/>
        </w:rPr>
      </w:pPr>
    </w:p>
    <w:p w14:paraId="0469BB0F" w14:textId="4317FD29" w:rsidR="006B26EB" w:rsidRPr="00E6158C" w:rsidRDefault="006B26EB" w:rsidP="006B26EB">
      <w:pPr>
        <w:jc w:val="left"/>
        <w:rPr>
          <w:rFonts w:eastAsia="Calibri"/>
          <w:sz w:val="24"/>
          <w:szCs w:val="24"/>
          <w:lang w:val="en-US"/>
        </w:rPr>
      </w:pPr>
      <w:r w:rsidRPr="00E6158C">
        <w:rPr>
          <w:rFonts w:eastAsia="Calibri"/>
          <w:sz w:val="24"/>
          <w:szCs w:val="24"/>
          <w:lang w:val="en-US"/>
        </w:rPr>
        <w:t xml:space="preserve">Usage:  </w:t>
      </w:r>
      <w:r w:rsidR="005C1475" w:rsidRPr="00E6158C">
        <w:rPr>
          <w:rFonts w:eastAsia="Calibri"/>
          <w:sz w:val="24"/>
          <w:szCs w:val="24"/>
          <w:lang w:val="en-US"/>
        </w:rPr>
        <w:t xml:space="preserve">Iridium MSS equipment may be </w:t>
      </w:r>
      <w:r w:rsidRPr="00E6158C">
        <w:rPr>
          <w:rFonts w:eastAsia="Calibri"/>
          <w:sz w:val="24"/>
          <w:szCs w:val="24"/>
          <w:lang w:val="en-US"/>
        </w:rPr>
        <w:t xml:space="preserve">operational in all phases of flight and while the aircraft is active on the ground.  </w:t>
      </w:r>
    </w:p>
    <w:p w14:paraId="6739ED50" w14:textId="77777777" w:rsidR="006B26EB" w:rsidRPr="00E6158C" w:rsidRDefault="006B26EB" w:rsidP="006B26EB">
      <w:pPr>
        <w:jc w:val="left"/>
        <w:rPr>
          <w:rFonts w:eastAsia="Calibri"/>
          <w:sz w:val="24"/>
          <w:szCs w:val="24"/>
          <w:lang w:val="en-US"/>
        </w:rPr>
      </w:pPr>
    </w:p>
    <w:p w14:paraId="0C297A10" w14:textId="0C4A65DC" w:rsidR="00FE7A41" w:rsidRPr="00E6158C" w:rsidRDefault="00FE7A41" w:rsidP="00FE7A41">
      <w:pPr>
        <w:jc w:val="left"/>
        <w:rPr>
          <w:rFonts w:eastAsia="Calibri"/>
          <w:sz w:val="24"/>
          <w:szCs w:val="24"/>
          <w:lang w:val="en-US"/>
        </w:rPr>
      </w:pPr>
      <w:r w:rsidRPr="00E6158C">
        <w:rPr>
          <w:rFonts w:eastAsia="Calibri"/>
          <w:b/>
          <w:bCs/>
          <w:sz w:val="24"/>
          <w:szCs w:val="24"/>
          <w:lang w:val="en-US"/>
        </w:rPr>
        <w:t>Usage</w:t>
      </w:r>
      <w:r w:rsidRPr="00E6158C">
        <w:rPr>
          <w:rFonts w:eastAsia="Calibri"/>
          <w:sz w:val="24"/>
          <w:szCs w:val="24"/>
          <w:lang w:val="en-US"/>
        </w:rPr>
        <w:t xml:space="preserve">:  </w:t>
      </w:r>
      <w:r w:rsidR="00990D0C" w:rsidRPr="00E6158C">
        <w:rPr>
          <w:rFonts w:eastAsia="Calibri"/>
          <w:sz w:val="24"/>
          <w:szCs w:val="24"/>
          <w:lang w:val="en-US"/>
        </w:rPr>
        <w:t>AMSS and AMS(R)S satellite communications</w:t>
      </w:r>
    </w:p>
    <w:p w14:paraId="2E3C672B" w14:textId="77777777" w:rsidR="00FE7A41" w:rsidRPr="00E6158C" w:rsidRDefault="00FE7A41" w:rsidP="00FE7A41">
      <w:pPr>
        <w:jc w:val="left"/>
        <w:rPr>
          <w:rFonts w:eastAsia="Calibri"/>
          <w:sz w:val="24"/>
          <w:szCs w:val="24"/>
          <w:lang w:val="en-US"/>
        </w:rPr>
      </w:pPr>
    </w:p>
    <w:p w14:paraId="5E4EAEAB" w14:textId="63BC3ABD" w:rsidR="00FE7A41" w:rsidRPr="00E6158C" w:rsidRDefault="00FE7A41" w:rsidP="00FE7A41">
      <w:pPr>
        <w:jc w:val="left"/>
        <w:rPr>
          <w:rFonts w:eastAsia="Calibri"/>
          <w:sz w:val="24"/>
          <w:szCs w:val="24"/>
          <w:lang w:val="en-US"/>
        </w:rPr>
      </w:pPr>
      <w:r w:rsidRPr="00E6158C">
        <w:rPr>
          <w:rFonts w:eastAsia="Calibri"/>
          <w:b/>
          <w:bCs/>
          <w:sz w:val="24"/>
          <w:szCs w:val="24"/>
          <w:lang w:val="en-US"/>
        </w:rPr>
        <w:t>Additional operational notes</w:t>
      </w:r>
      <w:r w:rsidRPr="00E6158C">
        <w:rPr>
          <w:rFonts w:eastAsia="Calibri"/>
          <w:sz w:val="24"/>
          <w:szCs w:val="24"/>
          <w:lang w:val="en-US"/>
        </w:rPr>
        <w:t>:</w:t>
      </w:r>
    </w:p>
    <w:p w14:paraId="472641CC" w14:textId="21B7007C" w:rsidR="00870DDE" w:rsidRPr="00E6158C" w:rsidRDefault="00870DDE" w:rsidP="00FE7A41">
      <w:pPr>
        <w:jc w:val="left"/>
        <w:rPr>
          <w:rFonts w:eastAsia="Calibri"/>
          <w:sz w:val="24"/>
          <w:szCs w:val="24"/>
          <w:lang w:val="en-US"/>
        </w:rPr>
      </w:pPr>
    </w:p>
    <w:p w14:paraId="1C214B9D" w14:textId="77777777" w:rsidR="00870DDE" w:rsidRPr="00E6158C" w:rsidRDefault="00870DDE" w:rsidP="00870DDE">
      <w:pPr>
        <w:pStyle w:val="NormalWeb"/>
      </w:pPr>
      <w:r w:rsidRPr="00E6158C">
        <w:t xml:space="preserve">The Iridium MSS system provides voice and data applications through narrowband and broadband services to mobile subscribers via a variety of terminals including handheld user terminals, airborne </w:t>
      </w:r>
      <w:r w:rsidRPr="00E6158C">
        <w:lastRenderedPageBreak/>
        <w:t>and maritime units, as well as a variety of Iridium Connected</w:t>
      </w:r>
      <w:r w:rsidRPr="00E6158C">
        <w:rPr>
          <w:position w:val="8"/>
        </w:rPr>
        <w:t xml:space="preserve">® </w:t>
      </w:r>
      <w:r w:rsidRPr="00E6158C">
        <w:t>partner technologies (collectively known as Iridium Subscriber Units, or ISUs). Iridium provides a range of services, including circuit-switched voice and data, Short Burst Data</w:t>
      </w:r>
      <w:r w:rsidRPr="00E6158C">
        <w:rPr>
          <w:position w:val="8"/>
        </w:rPr>
        <w:t xml:space="preserve">® </w:t>
      </w:r>
      <w:r w:rsidRPr="00E6158C">
        <w:t>(SBD</w:t>
      </w:r>
      <w:r w:rsidRPr="00E6158C">
        <w:rPr>
          <w:position w:val="8"/>
        </w:rPr>
        <w:t>®</w:t>
      </w:r>
      <w:r w:rsidRPr="00E6158C">
        <w:t xml:space="preserve">) messaging, Iridium </w:t>
      </w:r>
      <w:proofErr w:type="spellStart"/>
      <w:r w:rsidRPr="00E6158C">
        <w:t>OpenPort</w:t>
      </w:r>
      <w:proofErr w:type="spellEnd"/>
      <w:r w:rsidRPr="00E6158C">
        <w:rPr>
          <w:position w:val="8"/>
        </w:rPr>
        <w:t xml:space="preserve">® </w:t>
      </w:r>
      <w:r w:rsidRPr="00E6158C">
        <w:t xml:space="preserve">broadband connectivity, and Iridium Certus voice and data services. The data services provide global data services to a user’s computer via a standard Iridium terminal. </w:t>
      </w:r>
    </w:p>
    <w:p w14:paraId="21C5E8E5" w14:textId="1E380FBA" w:rsidR="00FE7A41" w:rsidRPr="00E6158C" w:rsidRDefault="00FE7A41" w:rsidP="00FE7A41">
      <w:pPr>
        <w:pStyle w:val="Heading2"/>
        <w:rPr>
          <w:rFonts w:ascii="Times New Roman" w:hAnsi="Times New Roman"/>
          <w:b w:val="0"/>
          <w:bCs w:val="0"/>
          <w:i w:val="0"/>
          <w:iCs w:val="0"/>
          <w:sz w:val="24"/>
          <w:szCs w:val="24"/>
        </w:rPr>
      </w:pPr>
      <w:r w:rsidRPr="00E6158C">
        <w:rPr>
          <w:rFonts w:ascii="Times New Roman" w:hAnsi="Times New Roman"/>
          <w:i w:val="0"/>
          <w:iCs w:val="0"/>
          <w:sz w:val="24"/>
          <w:szCs w:val="24"/>
        </w:rPr>
        <w:t>Historical information</w:t>
      </w:r>
    </w:p>
    <w:p w14:paraId="511DEBFF" w14:textId="33F4AF29" w:rsidR="00865AD6" w:rsidRPr="00E6158C" w:rsidRDefault="00865AD6" w:rsidP="00865AD6">
      <w:pPr>
        <w:pStyle w:val="NormalWeb"/>
      </w:pPr>
      <w:r w:rsidRPr="00E6158C">
        <w:t xml:space="preserve">Iridium’s satellite communication service was launched on November 1, </w:t>
      </w:r>
      <w:r w:rsidR="00BA01B6" w:rsidRPr="00E6158C">
        <w:t>1998</w:t>
      </w:r>
      <w:r w:rsidRPr="00E6158C">
        <w:t xml:space="preserve">.  The Iridium network consists of 66 active Low-Earth Orbit (LEO) satellites that support user-to-user, user-to-Gateway, and Gateway-to-Gateway communications. The constellation also maintains 9 in-orbit spares and 6 ground spares. The 66 active satellites are evenly distributed in six orbital planes with an 86.4° inclination. Except for planes 1 and 6, the orbital planes are co-rotating planes spaced 31.6° apart. The first and last orbital planes are spaced 22° apart and form a seam where the satellites are counter- rotating. </w:t>
      </w:r>
    </w:p>
    <w:p w14:paraId="5B8CF5AD" w14:textId="177DEDC5" w:rsidR="00865AD6" w:rsidRPr="00E6158C" w:rsidRDefault="00865AD6" w:rsidP="00865AD6">
      <w:pPr>
        <w:pStyle w:val="NormalWeb"/>
      </w:pPr>
      <w:r w:rsidRPr="00E6158C">
        <w:t xml:space="preserve">The Iridium satellite constellation was completely upgraded between 2017-2019 through a series of eight launches from Vandenberg Air Force Base. The new satellites and accompanying ground infrastructure upgrades have enabled new, faster, and more reliable services, including for aviation use.  </w:t>
      </w:r>
    </w:p>
    <w:p w14:paraId="326940A9" w14:textId="77777777" w:rsidR="00FE7A41" w:rsidRPr="00E6158C" w:rsidRDefault="00FE7A41" w:rsidP="00FE7A41">
      <w:pPr>
        <w:pStyle w:val="Heading2"/>
        <w:rPr>
          <w:rFonts w:ascii="Times New Roman" w:hAnsi="Times New Roman"/>
          <w:i w:val="0"/>
          <w:iCs w:val="0"/>
          <w:sz w:val="24"/>
          <w:szCs w:val="24"/>
        </w:rPr>
      </w:pPr>
      <w:r w:rsidRPr="00E6158C">
        <w:rPr>
          <w:rFonts w:ascii="Times New Roman" w:hAnsi="Times New Roman"/>
          <w:i w:val="0"/>
          <w:iCs w:val="0"/>
          <w:sz w:val="24"/>
          <w:szCs w:val="24"/>
        </w:rPr>
        <w:t>[Iridium Satellite System Reference model for interference studies</w:t>
      </w:r>
    </w:p>
    <w:p w14:paraId="0AE259FB" w14:textId="36EC8106" w:rsidR="00FE7A41" w:rsidRPr="00E6158C" w:rsidRDefault="00FE7A41" w:rsidP="00FE7A41">
      <w:pPr>
        <w:rPr>
          <w:b/>
          <w:bCs/>
          <w:sz w:val="24"/>
          <w:szCs w:val="24"/>
        </w:rPr>
      </w:pPr>
      <w:r w:rsidRPr="00E6158C">
        <w:rPr>
          <w:b/>
          <w:bCs/>
          <w:sz w:val="24"/>
          <w:szCs w:val="24"/>
        </w:rPr>
        <w:t>System parameters</w:t>
      </w:r>
      <w:r w:rsidR="00117EA3" w:rsidRPr="00E6158C">
        <w:rPr>
          <w:b/>
          <w:bCs/>
          <w:sz w:val="24"/>
          <w:szCs w:val="24"/>
        </w:rPr>
        <w:t xml:space="preserve"> – </w:t>
      </w:r>
      <w:r w:rsidR="00117EA3" w:rsidRPr="00E6158C">
        <w:rPr>
          <w:b/>
          <w:bCs/>
          <w:i/>
          <w:iCs/>
          <w:sz w:val="24"/>
          <w:szCs w:val="24"/>
        </w:rPr>
        <w:t>TBD</w:t>
      </w:r>
      <w:r w:rsidR="00117EA3" w:rsidRPr="00E6158C">
        <w:rPr>
          <w:b/>
          <w:bCs/>
          <w:sz w:val="24"/>
          <w:szCs w:val="24"/>
        </w:rPr>
        <w:t>]</w:t>
      </w:r>
    </w:p>
    <w:p w14:paraId="2D2BDB0F" w14:textId="77777777" w:rsidR="00FE7A41" w:rsidRPr="00E6158C" w:rsidRDefault="00FE7A41" w:rsidP="00FE7A41">
      <w:pPr>
        <w:pStyle w:val="Heading2"/>
        <w:rPr>
          <w:rFonts w:ascii="Times New Roman" w:hAnsi="Times New Roman"/>
          <w:i w:val="0"/>
          <w:iCs w:val="0"/>
          <w:sz w:val="24"/>
          <w:szCs w:val="24"/>
        </w:rPr>
      </w:pPr>
      <w:r w:rsidRPr="00E6158C">
        <w:rPr>
          <w:rFonts w:ascii="Times New Roman" w:hAnsi="Times New Roman"/>
          <w:i w:val="0"/>
          <w:iCs w:val="0"/>
          <w:sz w:val="24"/>
          <w:szCs w:val="24"/>
        </w:rPr>
        <w:t>Technical References:</w:t>
      </w:r>
    </w:p>
    <w:p w14:paraId="067F8ED1" w14:textId="77777777" w:rsidR="00FE7A41" w:rsidRPr="00E6158C" w:rsidRDefault="00FE7A41" w:rsidP="00FE7A41">
      <w:pPr>
        <w:pStyle w:val="Heading3"/>
        <w:rPr>
          <w:rFonts w:ascii="Times New Roman" w:hAnsi="Times New Roman"/>
          <w:sz w:val="24"/>
          <w:szCs w:val="24"/>
        </w:rPr>
      </w:pPr>
      <w:r w:rsidRPr="00E6158C">
        <w:rPr>
          <w:rFonts w:ascii="Times New Roman" w:hAnsi="Times New Roman"/>
          <w:sz w:val="24"/>
          <w:szCs w:val="24"/>
        </w:rPr>
        <w:t>ICAO Annex 10</w:t>
      </w:r>
    </w:p>
    <w:p w14:paraId="66969C86" w14:textId="77777777" w:rsidR="00FE7A41" w:rsidRPr="00E6158C" w:rsidRDefault="00FE7A41" w:rsidP="00FE7A41">
      <w:pPr>
        <w:pStyle w:val="BodyText"/>
        <w:numPr>
          <w:ilvl w:val="0"/>
          <w:numId w:val="10"/>
        </w:numPr>
        <w:spacing w:before="12" w:line="254" w:lineRule="auto"/>
        <w:ind w:right="1941"/>
        <w:rPr>
          <w:sz w:val="24"/>
          <w:szCs w:val="24"/>
        </w:rPr>
      </w:pPr>
      <w:r w:rsidRPr="00E6158C">
        <w:rPr>
          <w:sz w:val="24"/>
          <w:szCs w:val="24"/>
        </w:rPr>
        <w:t xml:space="preserve">SARPs: Annex 10, Volume III, Part I, Chapter 4 </w:t>
      </w:r>
    </w:p>
    <w:p w14:paraId="3AFFAE27" w14:textId="77777777" w:rsidR="00FE7A41" w:rsidRPr="00E6158C" w:rsidRDefault="00FE7A41" w:rsidP="00FE7A41">
      <w:pPr>
        <w:pStyle w:val="BodyText"/>
        <w:numPr>
          <w:ilvl w:val="0"/>
          <w:numId w:val="10"/>
        </w:numPr>
        <w:spacing w:before="12" w:line="254" w:lineRule="auto"/>
        <w:ind w:right="1941"/>
        <w:rPr>
          <w:sz w:val="24"/>
          <w:szCs w:val="24"/>
        </w:rPr>
      </w:pPr>
      <w:r w:rsidRPr="00E6158C">
        <w:rPr>
          <w:sz w:val="24"/>
          <w:szCs w:val="24"/>
        </w:rPr>
        <w:t>Frequency plan: FDMA &amp; TDMA</w:t>
      </w:r>
    </w:p>
    <w:p w14:paraId="7DC8D01A" w14:textId="081397C8" w:rsidR="00FE7A41" w:rsidRPr="00E6158C" w:rsidRDefault="00FE7A41" w:rsidP="00FE7A41">
      <w:pPr>
        <w:pStyle w:val="BodyText"/>
        <w:numPr>
          <w:ilvl w:val="0"/>
          <w:numId w:val="10"/>
        </w:numPr>
        <w:spacing w:before="12" w:line="254" w:lineRule="auto"/>
        <w:ind w:right="1941"/>
        <w:rPr>
          <w:sz w:val="24"/>
          <w:szCs w:val="24"/>
        </w:rPr>
      </w:pPr>
      <w:r w:rsidRPr="00E6158C">
        <w:rPr>
          <w:sz w:val="24"/>
          <w:szCs w:val="24"/>
        </w:rPr>
        <w:t>Channelization:</w:t>
      </w:r>
      <w:r w:rsidR="005C1475" w:rsidRPr="00E6158C">
        <w:rPr>
          <w:sz w:val="24"/>
          <w:szCs w:val="24"/>
        </w:rPr>
        <w:t xml:space="preserve"> 41.666 kHz (basic unit of FDM frame structure</w:t>
      </w:r>
    </w:p>
    <w:p w14:paraId="1BE46FA8" w14:textId="77777777" w:rsidR="00FE7A41" w:rsidRPr="00E6158C" w:rsidRDefault="00FE7A41" w:rsidP="00FE7A41">
      <w:pPr>
        <w:pStyle w:val="BodyText"/>
        <w:numPr>
          <w:ilvl w:val="0"/>
          <w:numId w:val="10"/>
        </w:numPr>
        <w:rPr>
          <w:sz w:val="24"/>
          <w:szCs w:val="24"/>
        </w:rPr>
      </w:pPr>
      <w:r w:rsidRPr="00E6158C">
        <w:rPr>
          <w:sz w:val="24"/>
          <w:szCs w:val="24"/>
        </w:rPr>
        <w:t>Planning criteria:</w:t>
      </w:r>
    </w:p>
    <w:p w14:paraId="259C3D66" w14:textId="77777777" w:rsidR="00FE7A41" w:rsidRPr="00E6158C" w:rsidRDefault="00FE7A41" w:rsidP="00FE7A41">
      <w:pPr>
        <w:pStyle w:val="ListParagraph"/>
        <w:jc w:val="left"/>
        <w:rPr>
          <w:rFonts w:eastAsia="Calibri"/>
          <w:sz w:val="24"/>
          <w:szCs w:val="24"/>
          <w:lang w:val="en-US"/>
        </w:rPr>
      </w:pPr>
    </w:p>
    <w:p w14:paraId="75EC42D3" w14:textId="77777777" w:rsidR="00FE7A41" w:rsidRPr="00E6158C" w:rsidRDefault="00FE7A41" w:rsidP="00FE7A41">
      <w:pPr>
        <w:pStyle w:val="ListParagraph"/>
        <w:ind w:left="0"/>
        <w:jc w:val="left"/>
        <w:rPr>
          <w:rFonts w:eastAsia="Calibri"/>
          <w:sz w:val="24"/>
          <w:szCs w:val="24"/>
          <w:lang w:val="en-US"/>
        </w:rPr>
      </w:pPr>
      <w:r w:rsidRPr="00E6158C">
        <w:rPr>
          <w:rFonts w:eastAsia="Calibri"/>
          <w:b/>
          <w:sz w:val="24"/>
          <w:szCs w:val="24"/>
          <w:lang w:val="en-US"/>
        </w:rPr>
        <w:t>RTCA:</w:t>
      </w:r>
    </w:p>
    <w:p w14:paraId="03CC9184" w14:textId="77777777" w:rsidR="00FE7A41" w:rsidRPr="00E6158C" w:rsidRDefault="00FE7A41" w:rsidP="00FE7A41">
      <w:pPr>
        <w:rPr>
          <w:rFonts w:eastAsia="Calibri"/>
          <w:sz w:val="24"/>
          <w:szCs w:val="24"/>
        </w:rPr>
      </w:pPr>
    </w:p>
    <w:p w14:paraId="59F727FA" w14:textId="6E772EA9" w:rsidR="00FE7A41" w:rsidRPr="00E6158C" w:rsidRDefault="00FE7A41" w:rsidP="00FE7A41">
      <w:pPr>
        <w:pStyle w:val="ListParagraph"/>
        <w:widowControl w:val="0"/>
        <w:numPr>
          <w:ilvl w:val="2"/>
          <w:numId w:val="16"/>
        </w:numPr>
        <w:tabs>
          <w:tab w:val="left" w:pos="860"/>
        </w:tabs>
        <w:autoSpaceDE w:val="0"/>
        <w:autoSpaceDN w:val="0"/>
        <w:spacing w:before="12" w:line="254" w:lineRule="auto"/>
        <w:ind w:right="140"/>
        <w:contextualSpacing w:val="0"/>
        <w:rPr>
          <w:sz w:val="24"/>
          <w:szCs w:val="24"/>
        </w:rPr>
      </w:pPr>
      <w:r w:rsidRPr="00E6158C">
        <w:rPr>
          <w:sz w:val="24"/>
          <w:szCs w:val="24"/>
        </w:rPr>
        <w:t>DO-215A, Guidance on Aeronautical Mobile Satellite Service (AMSS) End-to-End System Performance (1995), Change 1</w:t>
      </w:r>
      <w:r w:rsidRPr="00E6158C">
        <w:rPr>
          <w:spacing w:val="-24"/>
          <w:sz w:val="24"/>
          <w:szCs w:val="24"/>
        </w:rPr>
        <w:t xml:space="preserve"> </w:t>
      </w:r>
      <w:r w:rsidRPr="00E6158C">
        <w:rPr>
          <w:sz w:val="24"/>
          <w:szCs w:val="24"/>
        </w:rPr>
        <w:t>(1998)</w:t>
      </w:r>
    </w:p>
    <w:p w14:paraId="6D460D91" w14:textId="1CFBEA49" w:rsidR="00E6158C" w:rsidRPr="00E6158C" w:rsidRDefault="00E6158C" w:rsidP="00FE7A41">
      <w:pPr>
        <w:pStyle w:val="ListParagraph"/>
        <w:widowControl w:val="0"/>
        <w:numPr>
          <w:ilvl w:val="2"/>
          <w:numId w:val="16"/>
        </w:numPr>
        <w:tabs>
          <w:tab w:val="left" w:pos="860"/>
        </w:tabs>
        <w:autoSpaceDE w:val="0"/>
        <w:autoSpaceDN w:val="0"/>
        <w:spacing w:before="12" w:line="254" w:lineRule="auto"/>
        <w:ind w:right="140"/>
        <w:contextualSpacing w:val="0"/>
        <w:rPr>
          <w:sz w:val="24"/>
          <w:szCs w:val="24"/>
        </w:rPr>
      </w:pPr>
      <w:r>
        <w:rPr>
          <w:sz w:val="24"/>
          <w:szCs w:val="24"/>
        </w:rPr>
        <w:t>DO-262, Minimum Operational Performance Standards for Avionics Supporting Next Generation Satellite Systems (NGSS)</w:t>
      </w:r>
    </w:p>
    <w:p w14:paraId="79C59668" w14:textId="77777777" w:rsidR="00FE7A41" w:rsidRPr="00E6158C" w:rsidRDefault="00FE7A41" w:rsidP="00FE7A41">
      <w:pPr>
        <w:pStyle w:val="ListParagraph"/>
        <w:widowControl w:val="0"/>
        <w:numPr>
          <w:ilvl w:val="2"/>
          <w:numId w:val="16"/>
        </w:numPr>
        <w:tabs>
          <w:tab w:val="left" w:pos="860"/>
        </w:tabs>
        <w:autoSpaceDE w:val="0"/>
        <w:autoSpaceDN w:val="0"/>
        <w:spacing w:before="2" w:line="254" w:lineRule="auto"/>
        <w:ind w:right="138"/>
        <w:contextualSpacing w:val="0"/>
        <w:rPr>
          <w:sz w:val="24"/>
          <w:szCs w:val="24"/>
        </w:rPr>
      </w:pPr>
      <w:r w:rsidRPr="00E6158C">
        <w:rPr>
          <w:sz w:val="24"/>
          <w:szCs w:val="24"/>
        </w:rPr>
        <w:t>DO-270, MASPS for the Aeronautical Mobile-Satellite (R) Service (AMS(R)S) as Used in Aeronautical Data Links</w:t>
      </w:r>
      <w:r w:rsidRPr="00E6158C">
        <w:rPr>
          <w:spacing w:val="-12"/>
          <w:sz w:val="24"/>
          <w:szCs w:val="24"/>
        </w:rPr>
        <w:t xml:space="preserve"> </w:t>
      </w:r>
      <w:r w:rsidRPr="00E6158C">
        <w:rPr>
          <w:sz w:val="24"/>
          <w:szCs w:val="24"/>
        </w:rPr>
        <w:t>(2001)</w:t>
      </w:r>
    </w:p>
    <w:p w14:paraId="2C2805E6" w14:textId="77777777" w:rsidR="00FE7A41" w:rsidRPr="00E6158C" w:rsidRDefault="00FE7A41" w:rsidP="00FE7A41">
      <w:pPr>
        <w:pStyle w:val="ListParagraph"/>
        <w:widowControl w:val="0"/>
        <w:numPr>
          <w:ilvl w:val="2"/>
          <w:numId w:val="16"/>
        </w:numPr>
        <w:tabs>
          <w:tab w:val="left" w:pos="860"/>
        </w:tabs>
        <w:autoSpaceDE w:val="0"/>
        <w:autoSpaceDN w:val="0"/>
        <w:spacing w:line="254" w:lineRule="auto"/>
        <w:ind w:right="136"/>
        <w:contextualSpacing w:val="0"/>
        <w:rPr>
          <w:sz w:val="24"/>
          <w:szCs w:val="24"/>
        </w:rPr>
      </w:pPr>
      <w:r w:rsidRPr="00E6158C">
        <w:rPr>
          <w:sz w:val="24"/>
          <w:szCs w:val="24"/>
        </w:rPr>
        <w:t>DO-343, MASPS for AMS(R)S data and voice communications supporting required communications performance (RCP) and required procedure performance (RSP) in procedural</w:t>
      </w:r>
      <w:r w:rsidRPr="00E6158C">
        <w:rPr>
          <w:spacing w:val="-8"/>
          <w:sz w:val="24"/>
          <w:szCs w:val="24"/>
        </w:rPr>
        <w:t xml:space="preserve"> </w:t>
      </w:r>
      <w:r w:rsidRPr="00E6158C">
        <w:rPr>
          <w:sz w:val="24"/>
          <w:szCs w:val="24"/>
        </w:rPr>
        <w:t>airspace</w:t>
      </w:r>
    </w:p>
    <w:p w14:paraId="1677149C" w14:textId="77777777" w:rsidR="00FE7A41" w:rsidRPr="00E6158C" w:rsidRDefault="00FE7A41" w:rsidP="00FE7A41">
      <w:pPr>
        <w:rPr>
          <w:rFonts w:eastAsia="Calibri"/>
          <w:sz w:val="24"/>
          <w:szCs w:val="24"/>
        </w:rPr>
      </w:pPr>
    </w:p>
    <w:p w14:paraId="4D82034B" w14:textId="576BA08B" w:rsidR="00FE7A41" w:rsidRPr="00E6158C" w:rsidRDefault="00FE7A41" w:rsidP="00FE7A41">
      <w:pPr>
        <w:jc w:val="left"/>
        <w:rPr>
          <w:rFonts w:eastAsia="Calibri"/>
          <w:b/>
          <w:sz w:val="24"/>
          <w:szCs w:val="24"/>
          <w:lang w:val="en-US"/>
        </w:rPr>
      </w:pPr>
      <w:r w:rsidRPr="00E6158C">
        <w:rPr>
          <w:rFonts w:eastAsia="Calibri"/>
          <w:b/>
          <w:sz w:val="24"/>
          <w:szCs w:val="24"/>
          <w:lang w:val="en-US"/>
        </w:rPr>
        <w:t>EUROCAE:</w:t>
      </w:r>
    </w:p>
    <w:p w14:paraId="56FACC29" w14:textId="77777777" w:rsidR="00E6158C" w:rsidRPr="00E6158C" w:rsidRDefault="00E6158C" w:rsidP="00FE7A41">
      <w:pPr>
        <w:jc w:val="left"/>
        <w:rPr>
          <w:rFonts w:eastAsia="Calibri"/>
          <w:b/>
          <w:sz w:val="24"/>
          <w:szCs w:val="24"/>
          <w:lang w:val="en-US"/>
        </w:rPr>
      </w:pPr>
    </w:p>
    <w:p w14:paraId="4B5698FA" w14:textId="0CDF64BD" w:rsidR="00E6158C" w:rsidRPr="00E6158C" w:rsidRDefault="00E6158C" w:rsidP="00E6158C">
      <w:pPr>
        <w:pStyle w:val="ListParagraph"/>
        <w:widowControl w:val="0"/>
        <w:numPr>
          <w:ilvl w:val="0"/>
          <w:numId w:val="7"/>
        </w:numPr>
        <w:tabs>
          <w:tab w:val="left" w:pos="860"/>
        </w:tabs>
        <w:autoSpaceDE w:val="0"/>
        <w:autoSpaceDN w:val="0"/>
        <w:spacing w:before="12" w:line="254" w:lineRule="auto"/>
        <w:ind w:right="140"/>
        <w:contextualSpacing w:val="0"/>
        <w:rPr>
          <w:sz w:val="24"/>
          <w:szCs w:val="24"/>
        </w:rPr>
      </w:pPr>
      <w:r>
        <w:rPr>
          <w:sz w:val="24"/>
          <w:szCs w:val="24"/>
        </w:rPr>
        <w:t xml:space="preserve">ED-262, Minimum Operational Performance Standards for Avionics Supporting Next </w:t>
      </w:r>
      <w:r>
        <w:rPr>
          <w:sz w:val="24"/>
          <w:szCs w:val="24"/>
        </w:rPr>
        <w:lastRenderedPageBreak/>
        <w:t>Generation Satellite Systems (NGSS)</w:t>
      </w:r>
    </w:p>
    <w:p w14:paraId="0FC52A58" w14:textId="424B6277" w:rsidR="00FE7A41" w:rsidRPr="00E6158C" w:rsidRDefault="00E6158C" w:rsidP="00FE7A41">
      <w:pPr>
        <w:pStyle w:val="ListParagraph"/>
        <w:numPr>
          <w:ilvl w:val="0"/>
          <w:numId w:val="7"/>
        </w:numPr>
        <w:jc w:val="left"/>
        <w:rPr>
          <w:rFonts w:eastAsia="Calibri"/>
          <w:sz w:val="24"/>
          <w:szCs w:val="24"/>
          <w:lang w:val="en-US"/>
        </w:rPr>
      </w:pPr>
      <w:r>
        <w:rPr>
          <w:sz w:val="24"/>
          <w:szCs w:val="24"/>
        </w:rPr>
        <w:t xml:space="preserve">ED-242, </w:t>
      </w:r>
      <w:r w:rsidRPr="00E6158C">
        <w:rPr>
          <w:sz w:val="24"/>
          <w:szCs w:val="24"/>
        </w:rPr>
        <w:t xml:space="preserve">MASPS for AMS(R)S </w:t>
      </w:r>
      <w:r>
        <w:rPr>
          <w:sz w:val="24"/>
          <w:szCs w:val="24"/>
        </w:rPr>
        <w:t>D</w:t>
      </w:r>
      <w:r w:rsidRPr="00E6158C">
        <w:rPr>
          <w:sz w:val="24"/>
          <w:szCs w:val="24"/>
        </w:rPr>
        <w:t xml:space="preserve">ata and </w:t>
      </w:r>
      <w:r>
        <w:rPr>
          <w:sz w:val="24"/>
          <w:szCs w:val="24"/>
        </w:rPr>
        <w:t>V</w:t>
      </w:r>
      <w:r w:rsidRPr="00E6158C">
        <w:rPr>
          <w:sz w:val="24"/>
          <w:szCs w:val="24"/>
        </w:rPr>
        <w:t xml:space="preserve">oice </w:t>
      </w:r>
      <w:r>
        <w:rPr>
          <w:sz w:val="24"/>
          <w:szCs w:val="24"/>
        </w:rPr>
        <w:t>C</w:t>
      </w:r>
      <w:r w:rsidRPr="00E6158C">
        <w:rPr>
          <w:sz w:val="24"/>
          <w:szCs w:val="24"/>
        </w:rPr>
        <w:t xml:space="preserve">ommunications </w:t>
      </w:r>
      <w:r>
        <w:rPr>
          <w:sz w:val="24"/>
          <w:szCs w:val="24"/>
        </w:rPr>
        <w:t>S</w:t>
      </w:r>
      <w:r w:rsidRPr="00E6158C">
        <w:rPr>
          <w:sz w:val="24"/>
          <w:szCs w:val="24"/>
        </w:rPr>
        <w:t xml:space="preserve">upporting </w:t>
      </w:r>
      <w:r>
        <w:rPr>
          <w:sz w:val="24"/>
          <w:szCs w:val="24"/>
        </w:rPr>
        <w:t>R</w:t>
      </w:r>
      <w:r w:rsidRPr="00E6158C">
        <w:rPr>
          <w:sz w:val="24"/>
          <w:szCs w:val="24"/>
        </w:rPr>
        <w:t xml:space="preserve">equired </w:t>
      </w:r>
      <w:r>
        <w:rPr>
          <w:sz w:val="24"/>
          <w:szCs w:val="24"/>
        </w:rPr>
        <w:t>C</w:t>
      </w:r>
      <w:r w:rsidRPr="00E6158C">
        <w:rPr>
          <w:sz w:val="24"/>
          <w:szCs w:val="24"/>
        </w:rPr>
        <w:t xml:space="preserve">ommunications </w:t>
      </w:r>
      <w:r>
        <w:rPr>
          <w:sz w:val="24"/>
          <w:szCs w:val="24"/>
        </w:rPr>
        <w:t>P</w:t>
      </w:r>
      <w:r w:rsidRPr="00E6158C">
        <w:rPr>
          <w:sz w:val="24"/>
          <w:szCs w:val="24"/>
        </w:rPr>
        <w:t xml:space="preserve">erformance (RCP) and </w:t>
      </w:r>
      <w:r>
        <w:rPr>
          <w:sz w:val="24"/>
          <w:szCs w:val="24"/>
        </w:rPr>
        <w:t>R</w:t>
      </w:r>
      <w:r w:rsidRPr="00E6158C">
        <w:rPr>
          <w:sz w:val="24"/>
          <w:szCs w:val="24"/>
        </w:rPr>
        <w:t xml:space="preserve">equired </w:t>
      </w:r>
      <w:r>
        <w:rPr>
          <w:sz w:val="24"/>
          <w:szCs w:val="24"/>
        </w:rPr>
        <w:t>P</w:t>
      </w:r>
      <w:r w:rsidRPr="00E6158C">
        <w:rPr>
          <w:sz w:val="24"/>
          <w:szCs w:val="24"/>
        </w:rPr>
        <w:t xml:space="preserve">rocedure </w:t>
      </w:r>
      <w:r>
        <w:rPr>
          <w:sz w:val="24"/>
          <w:szCs w:val="24"/>
        </w:rPr>
        <w:t>P</w:t>
      </w:r>
      <w:r w:rsidRPr="00E6158C">
        <w:rPr>
          <w:sz w:val="24"/>
          <w:szCs w:val="24"/>
        </w:rPr>
        <w:t xml:space="preserve">erformance (RSP) in </w:t>
      </w:r>
      <w:r>
        <w:rPr>
          <w:sz w:val="24"/>
          <w:szCs w:val="24"/>
        </w:rPr>
        <w:t>P</w:t>
      </w:r>
      <w:r w:rsidRPr="00E6158C">
        <w:rPr>
          <w:sz w:val="24"/>
          <w:szCs w:val="24"/>
        </w:rPr>
        <w:t>rocedural</w:t>
      </w:r>
      <w:r w:rsidRPr="00E6158C">
        <w:rPr>
          <w:spacing w:val="-8"/>
          <w:sz w:val="24"/>
          <w:szCs w:val="24"/>
        </w:rPr>
        <w:t xml:space="preserve"> </w:t>
      </w:r>
      <w:r>
        <w:rPr>
          <w:sz w:val="24"/>
          <w:szCs w:val="24"/>
        </w:rPr>
        <w:t>A</w:t>
      </w:r>
      <w:r w:rsidRPr="00E6158C">
        <w:rPr>
          <w:sz w:val="24"/>
          <w:szCs w:val="24"/>
        </w:rPr>
        <w:t>irspace</w:t>
      </w:r>
    </w:p>
    <w:p w14:paraId="39A64229" w14:textId="77777777" w:rsidR="00E6158C" w:rsidRPr="00E6158C" w:rsidRDefault="00E6158C" w:rsidP="00FE7A41">
      <w:pPr>
        <w:pStyle w:val="ListParagraph"/>
        <w:numPr>
          <w:ilvl w:val="0"/>
          <w:numId w:val="7"/>
        </w:numPr>
        <w:jc w:val="left"/>
        <w:rPr>
          <w:rFonts w:eastAsia="Calibri"/>
          <w:sz w:val="24"/>
          <w:szCs w:val="24"/>
          <w:lang w:val="en-US"/>
        </w:rPr>
      </w:pPr>
    </w:p>
    <w:p w14:paraId="19F61A22" w14:textId="77777777" w:rsidR="00FE7A41" w:rsidRPr="00E6158C" w:rsidRDefault="00FE7A41" w:rsidP="00FE7A41">
      <w:pPr>
        <w:pStyle w:val="ListParagraph"/>
        <w:ind w:left="0"/>
        <w:rPr>
          <w:rFonts w:eastAsia="Calibri"/>
          <w:sz w:val="24"/>
          <w:szCs w:val="24"/>
          <w:lang w:val="en-US"/>
        </w:rPr>
      </w:pPr>
      <w:r w:rsidRPr="00E6158C">
        <w:rPr>
          <w:rFonts w:eastAsia="Calibri"/>
          <w:b/>
          <w:sz w:val="24"/>
          <w:szCs w:val="24"/>
          <w:lang w:val="en-US"/>
        </w:rPr>
        <w:t>ARINC characteristic:</w:t>
      </w:r>
    </w:p>
    <w:p w14:paraId="4572BAF9" w14:textId="77777777" w:rsidR="005C1475" w:rsidRPr="00E6158C" w:rsidRDefault="005C1475" w:rsidP="005C1475">
      <w:pPr>
        <w:pStyle w:val="BodyText"/>
        <w:spacing w:before="12" w:line="254" w:lineRule="auto"/>
        <w:ind w:left="720" w:firstLine="0"/>
        <w:rPr>
          <w:sz w:val="24"/>
          <w:szCs w:val="24"/>
        </w:rPr>
      </w:pPr>
    </w:p>
    <w:p w14:paraId="11554B9E" w14:textId="72B283AF" w:rsidR="00FE7A41" w:rsidRPr="00E6158C" w:rsidRDefault="00FE7A41" w:rsidP="00FE7A41">
      <w:pPr>
        <w:pStyle w:val="BodyText"/>
        <w:numPr>
          <w:ilvl w:val="0"/>
          <w:numId w:val="8"/>
        </w:numPr>
        <w:spacing w:before="12" w:line="254" w:lineRule="auto"/>
        <w:rPr>
          <w:sz w:val="24"/>
          <w:szCs w:val="24"/>
        </w:rPr>
      </w:pPr>
      <w:r w:rsidRPr="00E6158C">
        <w:rPr>
          <w:sz w:val="24"/>
          <w:szCs w:val="24"/>
        </w:rPr>
        <w:t>771-1 Low-Earth Orbiting Aviation Satellite Communication Systems</w:t>
      </w:r>
    </w:p>
    <w:p w14:paraId="1042A7E5" w14:textId="77777777" w:rsidR="00FE7A41" w:rsidRPr="00E6158C" w:rsidRDefault="00FE7A41" w:rsidP="00FE7A41">
      <w:pPr>
        <w:jc w:val="left"/>
        <w:rPr>
          <w:rFonts w:eastAsia="Calibri"/>
          <w:sz w:val="24"/>
          <w:szCs w:val="24"/>
        </w:rPr>
      </w:pPr>
    </w:p>
    <w:p w14:paraId="682FB835" w14:textId="07D1A6B3" w:rsidR="00FE7A41" w:rsidRPr="00E6158C" w:rsidRDefault="00FE7A41" w:rsidP="00FE7A41">
      <w:pPr>
        <w:ind w:left="360" w:hanging="360"/>
        <w:jc w:val="left"/>
        <w:rPr>
          <w:rFonts w:eastAsia="Calibri"/>
          <w:bCs/>
          <w:sz w:val="24"/>
          <w:szCs w:val="24"/>
          <w:lang w:val="en-US"/>
        </w:rPr>
      </w:pPr>
      <w:r w:rsidRPr="00E6158C">
        <w:rPr>
          <w:rFonts w:eastAsia="Calibri"/>
          <w:b/>
          <w:sz w:val="24"/>
          <w:szCs w:val="24"/>
          <w:lang w:val="en-US"/>
        </w:rPr>
        <w:t>ITU Res./Rec</w:t>
      </w:r>
      <w:r w:rsidR="006036C3" w:rsidRPr="00E6158C">
        <w:rPr>
          <w:rFonts w:eastAsia="Calibri"/>
          <w:b/>
          <w:sz w:val="24"/>
          <w:szCs w:val="24"/>
          <w:lang w:val="en-US"/>
        </w:rPr>
        <w:t>./Report</w:t>
      </w:r>
      <w:r w:rsidRPr="00E6158C">
        <w:rPr>
          <w:rFonts w:eastAsia="Calibri"/>
          <w:b/>
          <w:sz w:val="24"/>
          <w:szCs w:val="24"/>
          <w:lang w:val="en-US"/>
        </w:rPr>
        <w:t>: </w:t>
      </w:r>
    </w:p>
    <w:p w14:paraId="10F4DE9F" w14:textId="77777777" w:rsidR="00327288" w:rsidRPr="00E6158C" w:rsidRDefault="00327288" w:rsidP="00FE7A41">
      <w:pPr>
        <w:ind w:left="360" w:hanging="360"/>
        <w:jc w:val="left"/>
        <w:rPr>
          <w:rFonts w:eastAsia="Calibri"/>
          <w:bCs/>
          <w:sz w:val="24"/>
          <w:szCs w:val="24"/>
          <w:lang w:val="en-US"/>
        </w:rPr>
      </w:pPr>
    </w:p>
    <w:p w14:paraId="2EB4F969" w14:textId="5F96997E" w:rsidR="00A6616E" w:rsidRPr="00E6158C" w:rsidRDefault="00C87476" w:rsidP="00327288">
      <w:pPr>
        <w:pStyle w:val="ListParagraph"/>
        <w:numPr>
          <w:ilvl w:val="0"/>
          <w:numId w:val="15"/>
        </w:numPr>
        <w:ind w:left="360"/>
        <w:jc w:val="left"/>
        <w:rPr>
          <w:sz w:val="24"/>
          <w:szCs w:val="24"/>
          <w:lang w:val="en-US"/>
        </w:rPr>
      </w:pPr>
      <w:r w:rsidRPr="00E6158C">
        <w:rPr>
          <w:sz w:val="24"/>
          <w:szCs w:val="24"/>
          <w:lang w:val="en-US"/>
        </w:rPr>
        <w:t xml:space="preserve">Recommendation </w:t>
      </w:r>
      <w:hyperlink r:id="rId10" w:history="1">
        <w:r w:rsidRPr="00E6158C">
          <w:rPr>
            <w:rStyle w:val="Hyperlink"/>
            <w:sz w:val="24"/>
            <w:szCs w:val="24"/>
            <w:lang w:val="en-US"/>
          </w:rPr>
          <w:t>ITU-R M.1184-2</w:t>
        </w:r>
      </w:hyperlink>
      <w:r w:rsidR="00A6616E" w:rsidRPr="00E6158C">
        <w:rPr>
          <w:rStyle w:val="Hyperlink"/>
          <w:sz w:val="24"/>
          <w:szCs w:val="24"/>
          <w:lang w:val="en-US"/>
        </w:rPr>
        <w:t xml:space="preserve">: </w:t>
      </w:r>
      <w:r w:rsidR="00A6616E" w:rsidRPr="00E6158C">
        <w:rPr>
          <w:color w:val="000000"/>
          <w:sz w:val="24"/>
          <w:szCs w:val="24"/>
          <w:shd w:val="clear" w:color="auto" w:fill="FFFFFF"/>
          <w:lang w:val="en-US"/>
        </w:rPr>
        <w:t>Technical characteristics of mobile satellite systems in the frequency bands below 3 GHz for use in developing criteria for sharing between the mobile-satellite service and other services  </w:t>
      </w:r>
    </w:p>
    <w:p w14:paraId="2F084F6D" w14:textId="7F4F1D7B" w:rsidR="006036C3" w:rsidRPr="00E6158C" w:rsidRDefault="006036C3" w:rsidP="00327288">
      <w:pPr>
        <w:pStyle w:val="ListParagraph"/>
        <w:ind w:left="360"/>
        <w:rPr>
          <w:sz w:val="24"/>
          <w:szCs w:val="24"/>
          <w:lang w:val="en-US"/>
        </w:rPr>
      </w:pPr>
    </w:p>
    <w:p w14:paraId="5752220A" w14:textId="4C57322B" w:rsidR="004743FE" w:rsidRPr="00E6158C" w:rsidRDefault="00C87476" w:rsidP="00327288">
      <w:pPr>
        <w:pStyle w:val="ListParagraph"/>
        <w:numPr>
          <w:ilvl w:val="0"/>
          <w:numId w:val="15"/>
        </w:numPr>
        <w:ind w:left="360"/>
        <w:jc w:val="left"/>
        <w:rPr>
          <w:sz w:val="24"/>
          <w:szCs w:val="24"/>
          <w:lang w:val="en-US"/>
        </w:rPr>
      </w:pPr>
      <w:r w:rsidRPr="00E6158C">
        <w:rPr>
          <w:sz w:val="24"/>
          <w:szCs w:val="24"/>
          <w:lang w:val="en-US"/>
        </w:rPr>
        <w:t xml:space="preserve"> </w:t>
      </w:r>
      <w:r w:rsidR="00327288" w:rsidRPr="00E6158C">
        <w:rPr>
          <w:sz w:val="24"/>
          <w:szCs w:val="24"/>
          <w:lang w:val="en-US"/>
        </w:rPr>
        <w:t xml:space="preserve">Recommendation </w:t>
      </w:r>
      <w:hyperlink r:id="rId11" w:history="1">
        <w:r w:rsidRPr="00E6158C">
          <w:rPr>
            <w:rStyle w:val="Hyperlink"/>
            <w:sz w:val="24"/>
            <w:szCs w:val="24"/>
            <w:lang w:val="en-US"/>
          </w:rPr>
          <w:t>ITU-R M.1188-1</w:t>
        </w:r>
      </w:hyperlink>
      <w:r w:rsidR="004743FE" w:rsidRPr="00E6158C">
        <w:rPr>
          <w:rStyle w:val="Hyperlink"/>
          <w:sz w:val="24"/>
          <w:szCs w:val="24"/>
          <w:lang w:val="en-US"/>
        </w:rPr>
        <w:t xml:space="preserve">: </w:t>
      </w:r>
      <w:r w:rsidR="004743FE" w:rsidRPr="00E6158C">
        <w:rPr>
          <w:color w:val="000000"/>
          <w:sz w:val="24"/>
          <w:szCs w:val="24"/>
          <w:shd w:val="clear" w:color="auto" w:fill="FFFFFF"/>
          <w:lang w:val="en-US"/>
        </w:rPr>
        <w:t>Impact of propagation on the design of non-GSO mobile-satellite systems not employing satellite diversity which provide service to handheld equipment  </w:t>
      </w:r>
    </w:p>
    <w:p w14:paraId="46F105C1" w14:textId="35CA1D09" w:rsidR="00161BB7" w:rsidRPr="00E6158C" w:rsidRDefault="00161BB7" w:rsidP="00327288">
      <w:pPr>
        <w:tabs>
          <w:tab w:val="left" w:pos="2195"/>
        </w:tabs>
        <w:ind w:left="-360" w:firstLine="2200"/>
        <w:rPr>
          <w:sz w:val="24"/>
          <w:szCs w:val="24"/>
          <w:lang w:val="en-US"/>
        </w:rPr>
      </w:pPr>
    </w:p>
    <w:p w14:paraId="561CC60D" w14:textId="21B26E10" w:rsidR="004743FE" w:rsidRPr="00E6158C" w:rsidRDefault="00327288" w:rsidP="00327288">
      <w:pPr>
        <w:pStyle w:val="ListParagraph"/>
        <w:numPr>
          <w:ilvl w:val="0"/>
          <w:numId w:val="15"/>
        </w:numPr>
        <w:ind w:left="360"/>
        <w:jc w:val="left"/>
        <w:rPr>
          <w:sz w:val="24"/>
          <w:szCs w:val="24"/>
          <w:lang w:val="en-US"/>
        </w:rPr>
      </w:pPr>
      <w:r w:rsidRPr="00E6158C">
        <w:rPr>
          <w:sz w:val="24"/>
          <w:szCs w:val="24"/>
          <w:lang w:val="en-US"/>
        </w:rPr>
        <w:t>Recommendation</w:t>
      </w:r>
      <w:r w:rsidR="00C87476" w:rsidRPr="00E6158C">
        <w:rPr>
          <w:sz w:val="24"/>
          <w:szCs w:val="24"/>
          <w:lang w:val="en-US"/>
        </w:rPr>
        <w:t xml:space="preserve"> </w:t>
      </w:r>
      <w:hyperlink r:id="rId12" w:history="1">
        <w:r w:rsidR="00C87476" w:rsidRPr="00E6158C">
          <w:rPr>
            <w:rStyle w:val="Hyperlink"/>
            <w:sz w:val="24"/>
            <w:szCs w:val="24"/>
            <w:lang w:val="en-US"/>
          </w:rPr>
          <w:t>ITU-R RA.769</w:t>
        </w:r>
      </w:hyperlink>
      <w:r w:rsidR="004743FE" w:rsidRPr="00E6158C">
        <w:rPr>
          <w:rStyle w:val="Hyperlink"/>
          <w:sz w:val="24"/>
          <w:szCs w:val="24"/>
          <w:lang w:val="en-US"/>
        </w:rPr>
        <w:t xml:space="preserve">: </w:t>
      </w:r>
      <w:r w:rsidR="004743FE" w:rsidRPr="00E6158C">
        <w:rPr>
          <w:color w:val="000000"/>
          <w:sz w:val="24"/>
          <w:szCs w:val="24"/>
          <w:shd w:val="clear" w:color="auto" w:fill="FFFFFF"/>
          <w:lang w:val="en-US"/>
        </w:rPr>
        <w:t>Protection criteria used for radio astronomical measurements  </w:t>
      </w:r>
    </w:p>
    <w:p w14:paraId="131032A5" w14:textId="28E6B565" w:rsidR="001A7BB5" w:rsidRPr="00E6158C" w:rsidRDefault="001A7BB5" w:rsidP="00327288">
      <w:pPr>
        <w:rPr>
          <w:sz w:val="24"/>
          <w:szCs w:val="24"/>
          <w:lang w:val="en-US"/>
        </w:rPr>
      </w:pPr>
    </w:p>
    <w:p w14:paraId="4B05827A" w14:textId="72F0F503" w:rsidR="004743FE" w:rsidRPr="00E6158C" w:rsidRDefault="00327288" w:rsidP="00327288">
      <w:pPr>
        <w:pStyle w:val="ListParagraph"/>
        <w:numPr>
          <w:ilvl w:val="0"/>
          <w:numId w:val="15"/>
        </w:numPr>
        <w:ind w:left="360"/>
        <w:jc w:val="left"/>
        <w:rPr>
          <w:sz w:val="24"/>
          <w:szCs w:val="24"/>
          <w:lang w:val="en-US"/>
        </w:rPr>
      </w:pPr>
      <w:r w:rsidRPr="00E6158C">
        <w:rPr>
          <w:sz w:val="24"/>
          <w:szCs w:val="24"/>
          <w:lang w:val="en-US"/>
        </w:rPr>
        <w:t>Recommendation</w:t>
      </w:r>
      <w:r w:rsidR="00C87476" w:rsidRPr="00E6158C">
        <w:rPr>
          <w:sz w:val="24"/>
          <w:szCs w:val="24"/>
          <w:lang w:val="en-US"/>
        </w:rPr>
        <w:t xml:space="preserve"> </w:t>
      </w:r>
      <w:hyperlink r:id="rId13" w:history="1">
        <w:r w:rsidR="00C87476" w:rsidRPr="00E6158C">
          <w:rPr>
            <w:rStyle w:val="Hyperlink"/>
            <w:sz w:val="24"/>
            <w:szCs w:val="24"/>
            <w:lang w:val="en-US"/>
          </w:rPr>
          <w:t>ITU-R RA.1513</w:t>
        </w:r>
      </w:hyperlink>
      <w:r w:rsidR="004743FE" w:rsidRPr="00E6158C">
        <w:rPr>
          <w:rStyle w:val="Hyperlink"/>
          <w:sz w:val="24"/>
          <w:szCs w:val="24"/>
          <w:lang w:val="en-US"/>
        </w:rPr>
        <w:t xml:space="preserve">-2: </w:t>
      </w:r>
      <w:r w:rsidR="004743FE" w:rsidRPr="00E6158C">
        <w:rPr>
          <w:color w:val="000000"/>
          <w:sz w:val="24"/>
          <w:szCs w:val="24"/>
          <w:shd w:val="clear" w:color="auto" w:fill="FFFFFF"/>
          <w:lang w:val="en-US"/>
        </w:rPr>
        <w:t>Levels of data loss to radio astronomy observations and percentage-of-time criteria resulting from degradation by interference for frequency bands allocated to the radio astronomy service on a primary basis  </w:t>
      </w:r>
    </w:p>
    <w:p w14:paraId="4261E013" w14:textId="2D6B4F46" w:rsidR="001A7BB5" w:rsidRPr="00E6158C" w:rsidRDefault="001A7BB5" w:rsidP="00327288">
      <w:pPr>
        <w:rPr>
          <w:sz w:val="24"/>
          <w:szCs w:val="24"/>
          <w:lang w:val="en-US"/>
        </w:rPr>
      </w:pPr>
    </w:p>
    <w:p w14:paraId="17021578" w14:textId="5CFBB48B" w:rsidR="004743FE" w:rsidRPr="00E6158C" w:rsidRDefault="00327288" w:rsidP="00327288">
      <w:pPr>
        <w:pStyle w:val="ListParagraph"/>
        <w:numPr>
          <w:ilvl w:val="0"/>
          <w:numId w:val="15"/>
        </w:numPr>
        <w:ind w:left="360"/>
        <w:jc w:val="left"/>
        <w:rPr>
          <w:sz w:val="24"/>
          <w:szCs w:val="24"/>
          <w:lang w:val="en-US"/>
        </w:rPr>
      </w:pPr>
      <w:r w:rsidRPr="00E6158C">
        <w:rPr>
          <w:sz w:val="24"/>
          <w:szCs w:val="24"/>
          <w:lang w:val="en-US"/>
        </w:rPr>
        <w:t>Recommendation</w:t>
      </w:r>
      <w:r w:rsidR="00C87476" w:rsidRPr="00E6158C">
        <w:rPr>
          <w:sz w:val="24"/>
          <w:szCs w:val="24"/>
          <w:lang w:val="en-US"/>
        </w:rPr>
        <w:t xml:space="preserve"> </w:t>
      </w:r>
      <w:hyperlink r:id="rId14" w:history="1">
        <w:r w:rsidR="00C87476" w:rsidRPr="00E6158C">
          <w:rPr>
            <w:rStyle w:val="Hyperlink"/>
            <w:sz w:val="24"/>
            <w:szCs w:val="24"/>
            <w:lang w:val="en-US"/>
          </w:rPr>
          <w:t>ITU-R M.1583-1</w:t>
        </w:r>
      </w:hyperlink>
      <w:r w:rsidR="004743FE" w:rsidRPr="00E6158C">
        <w:rPr>
          <w:rStyle w:val="Hyperlink"/>
          <w:sz w:val="24"/>
          <w:szCs w:val="24"/>
          <w:lang w:val="en-US"/>
        </w:rPr>
        <w:t xml:space="preserve">: </w:t>
      </w:r>
      <w:r w:rsidR="004743FE" w:rsidRPr="00E6158C">
        <w:rPr>
          <w:color w:val="000000"/>
          <w:sz w:val="24"/>
          <w:szCs w:val="24"/>
          <w:shd w:val="clear" w:color="auto" w:fill="FFFFFF"/>
          <w:lang w:val="en-US"/>
        </w:rPr>
        <w:t>Interference calculations between non-geostationary mobile-satellite service or radionavigation-satellite service systems and radio astronomy telescope sites  (</w:t>
      </w:r>
      <w:r w:rsidR="004743FE" w:rsidRPr="00E6158C">
        <w:rPr>
          <w:color w:val="FF0000"/>
          <w:sz w:val="24"/>
          <w:szCs w:val="24"/>
          <w:lang w:val="en-US"/>
        </w:rPr>
        <w:t>Note - This version of the Recommendation is incorporated by reference in the Radio Regulations.)</w:t>
      </w:r>
    </w:p>
    <w:p w14:paraId="4667CA59" w14:textId="45FE6799" w:rsidR="001A7BB5" w:rsidRPr="00E6158C" w:rsidRDefault="001A7BB5" w:rsidP="00327288">
      <w:pPr>
        <w:rPr>
          <w:sz w:val="24"/>
          <w:szCs w:val="24"/>
          <w:lang w:val="en-US"/>
        </w:rPr>
      </w:pPr>
    </w:p>
    <w:p w14:paraId="438E3506" w14:textId="1A51C086" w:rsidR="004743FE" w:rsidRPr="00E6158C" w:rsidRDefault="00327288" w:rsidP="00327288">
      <w:pPr>
        <w:pStyle w:val="ListParagraph"/>
        <w:numPr>
          <w:ilvl w:val="0"/>
          <w:numId w:val="15"/>
        </w:numPr>
        <w:ind w:left="360"/>
        <w:jc w:val="left"/>
        <w:rPr>
          <w:sz w:val="24"/>
          <w:szCs w:val="24"/>
          <w:lang w:val="en-US"/>
        </w:rPr>
      </w:pPr>
      <w:r w:rsidRPr="00E6158C">
        <w:rPr>
          <w:sz w:val="24"/>
          <w:szCs w:val="24"/>
          <w:lang w:val="en-US"/>
        </w:rPr>
        <w:t>Recommendation</w:t>
      </w:r>
      <w:r w:rsidR="00C87476" w:rsidRPr="00E6158C">
        <w:rPr>
          <w:sz w:val="24"/>
          <w:szCs w:val="24"/>
          <w:lang w:val="en-US"/>
        </w:rPr>
        <w:t xml:space="preserve"> </w:t>
      </w:r>
      <w:hyperlink r:id="rId15" w:history="1">
        <w:r w:rsidR="00C87476" w:rsidRPr="00E6158C">
          <w:rPr>
            <w:rStyle w:val="Hyperlink"/>
            <w:sz w:val="24"/>
            <w:szCs w:val="24"/>
            <w:lang w:val="en-US"/>
          </w:rPr>
          <w:t>ITU-R RA.1631-0</w:t>
        </w:r>
      </w:hyperlink>
      <w:r w:rsidR="004743FE" w:rsidRPr="00E6158C">
        <w:rPr>
          <w:rStyle w:val="Hyperlink"/>
          <w:sz w:val="24"/>
          <w:szCs w:val="24"/>
          <w:lang w:val="en-US"/>
        </w:rPr>
        <w:t xml:space="preserve">: </w:t>
      </w:r>
      <w:r w:rsidR="004743FE" w:rsidRPr="00E6158C">
        <w:rPr>
          <w:color w:val="000000"/>
          <w:sz w:val="24"/>
          <w:szCs w:val="24"/>
          <w:shd w:val="clear" w:color="auto" w:fill="FFFFFF"/>
          <w:lang w:val="en-US"/>
        </w:rPr>
        <w:t xml:space="preserve">Reference radio astronomy antenna pattern to be used for compatibility analyses between non-GSO systems and radio astronomy service stations based on the </w:t>
      </w:r>
      <w:proofErr w:type="spellStart"/>
      <w:r w:rsidR="004743FE" w:rsidRPr="00E6158C">
        <w:rPr>
          <w:color w:val="000000"/>
          <w:sz w:val="24"/>
          <w:szCs w:val="24"/>
          <w:shd w:val="clear" w:color="auto" w:fill="FFFFFF"/>
          <w:lang w:val="en-US"/>
        </w:rPr>
        <w:t>epfd</w:t>
      </w:r>
      <w:proofErr w:type="spellEnd"/>
      <w:r w:rsidR="004743FE" w:rsidRPr="00E6158C">
        <w:rPr>
          <w:color w:val="000000"/>
          <w:sz w:val="24"/>
          <w:szCs w:val="24"/>
          <w:shd w:val="clear" w:color="auto" w:fill="FFFFFF"/>
          <w:lang w:val="en-US"/>
        </w:rPr>
        <w:t xml:space="preserve"> concept  (</w:t>
      </w:r>
      <w:r w:rsidR="004743FE" w:rsidRPr="00E6158C">
        <w:rPr>
          <w:color w:val="FF0000"/>
          <w:sz w:val="24"/>
          <w:szCs w:val="24"/>
          <w:lang w:val="en-US"/>
        </w:rPr>
        <w:t>Note - This version of the Recommendation is incorporated by reference in the Radio Regulations.)</w:t>
      </w:r>
    </w:p>
    <w:p w14:paraId="769B1988" w14:textId="4194F52E" w:rsidR="001A7BB5" w:rsidRPr="00E6158C" w:rsidRDefault="001A7BB5" w:rsidP="00327288">
      <w:pPr>
        <w:rPr>
          <w:sz w:val="24"/>
          <w:szCs w:val="24"/>
          <w:lang w:val="en-US"/>
        </w:rPr>
      </w:pPr>
    </w:p>
    <w:p w14:paraId="6645F90E" w14:textId="77777777" w:rsidR="00FE7A41" w:rsidRPr="00E6158C" w:rsidRDefault="00FE7A41" w:rsidP="00FE7A41">
      <w:pPr>
        <w:jc w:val="left"/>
        <w:rPr>
          <w:rFonts w:eastAsia="Calibri"/>
          <w:b/>
          <w:sz w:val="24"/>
          <w:szCs w:val="24"/>
          <w:lang w:val="en-US"/>
        </w:rPr>
      </w:pPr>
      <w:r w:rsidRPr="00E6158C">
        <w:rPr>
          <w:rFonts w:eastAsia="Calibri"/>
          <w:b/>
          <w:sz w:val="24"/>
          <w:szCs w:val="24"/>
          <w:lang w:val="en-US"/>
        </w:rPr>
        <w:t>Other relevant material or developments:</w:t>
      </w:r>
    </w:p>
    <w:p w14:paraId="25706E5F" w14:textId="77777777" w:rsidR="00FE7A41" w:rsidRPr="00E6158C" w:rsidRDefault="00FE7A41" w:rsidP="00FE7A41">
      <w:pPr>
        <w:rPr>
          <w:sz w:val="24"/>
          <w:szCs w:val="24"/>
        </w:rPr>
      </w:pPr>
    </w:p>
    <w:p w14:paraId="6546F5A5" w14:textId="77777777" w:rsidR="00FE7A41" w:rsidRPr="00E6158C" w:rsidRDefault="00FE7A41" w:rsidP="00FE7A41">
      <w:pPr>
        <w:pStyle w:val="ListParagraph"/>
        <w:widowControl w:val="0"/>
        <w:numPr>
          <w:ilvl w:val="2"/>
          <w:numId w:val="17"/>
        </w:numPr>
        <w:tabs>
          <w:tab w:val="left" w:pos="860"/>
        </w:tabs>
        <w:autoSpaceDE w:val="0"/>
        <w:autoSpaceDN w:val="0"/>
        <w:spacing w:before="14" w:line="254" w:lineRule="auto"/>
        <w:ind w:right="137"/>
        <w:contextualSpacing w:val="0"/>
        <w:rPr>
          <w:sz w:val="24"/>
          <w:szCs w:val="24"/>
        </w:rPr>
      </w:pPr>
      <w:r w:rsidRPr="00E6158C">
        <w:rPr>
          <w:sz w:val="24"/>
          <w:szCs w:val="24"/>
        </w:rPr>
        <w:t>RTCA DO-231, Design Guidelines and Recommended Standards for the Implementation and Use of AMS(R)S Voice Services in a Data Link Environment</w:t>
      </w:r>
      <w:r w:rsidRPr="00E6158C">
        <w:rPr>
          <w:spacing w:val="-2"/>
          <w:sz w:val="24"/>
          <w:szCs w:val="24"/>
        </w:rPr>
        <w:t xml:space="preserve"> </w:t>
      </w:r>
      <w:r w:rsidRPr="00E6158C">
        <w:rPr>
          <w:sz w:val="24"/>
          <w:szCs w:val="24"/>
        </w:rPr>
        <w:t>(1996)</w:t>
      </w:r>
    </w:p>
    <w:p w14:paraId="6E4AB18D" w14:textId="77777777" w:rsidR="00FE7A41" w:rsidRPr="00E6158C" w:rsidRDefault="00FE7A41" w:rsidP="00FE7A41">
      <w:pPr>
        <w:pStyle w:val="ListParagraph"/>
        <w:widowControl w:val="0"/>
        <w:numPr>
          <w:ilvl w:val="2"/>
          <w:numId w:val="17"/>
        </w:numPr>
        <w:tabs>
          <w:tab w:val="left" w:pos="860"/>
        </w:tabs>
        <w:autoSpaceDE w:val="0"/>
        <w:autoSpaceDN w:val="0"/>
        <w:spacing w:before="2" w:line="254" w:lineRule="auto"/>
        <w:ind w:right="138"/>
        <w:contextualSpacing w:val="0"/>
        <w:rPr>
          <w:sz w:val="24"/>
          <w:szCs w:val="24"/>
        </w:rPr>
      </w:pPr>
      <w:r w:rsidRPr="00E6158C">
        <w:rPr>
          <w:sz w:val="24"/>
          <w:szCs w:val="24"/>
        </w:rPr>
        <w:t xml:space="preserve">RTCA DO-262, MOPS for Avionics Supporting Next Generation Satellite Systems (NGSS) </w:t>
      </w:r>
    </w:p>
    <w:p w14:paraId="428A5CAB" w14:textId="77777777" w:rsidR="00FE7A41" w:rsidRPr="00E6158C" w:rsidRDefault="00FE7A41" w:rsidP="00FE7A41">
      <w:pPr>
        <w:pStyle w:val="ListParagraph"/>
        <w:widowControl w:val="0"/>
        <w:numPr>
          <w:ilvl w:val="2"/>
          <w:numId w:val="17"/>
        </w:numPr>
        <w:tabs>
          <w:tab w:val="left" w:pos="860"/>
        </w:tabs>
        <w:autoSpaceDE w:val="0"/>
        <w:autoSpaceDN w:val="0"/>
        <w:spacing w:line="256" w:lineRule="auto"/>
        <w:ind w:right="135"/>
        <w:contextualSpacing w:val="0"/>
        <w:rPr>
          <w:sz w:val="24"/>
          <w:szCs w:val="24"/>
        </w:rPr>
      </w:pPr>
      <w:r w:rsidRPr="00E6158C">
        <w:rPr>
          <w:sz w:val="24"/>
          <w:szCs w:val="24"/>
        </w:rPr>
        <w:t>ICAO Doc 9925, Manual on the Aeronautical Mobile Satellite (Route) Service</w:t>
      </w:r>
    </w:p>
    <w:p w14:paraId="5111DC12" w14:textId="77777777" w:rsidR="00FE7A41" w:rsidRPr="00E6158C" w:rsidRDefault="00FE7A41" w:rsidP="00FE7A41">
      <w:pPr>
        <w:rPr>
          <w:sz w:val="24"/>
          <w:szCs w:val="24"/>
        </w:rPr>
      </w:pPr>
    </w:p>
    <w:p w14:paraId="3534711C" w14:textId="77777777" w:rsidR="00A12CBA" w:rsidRPr="00E6158C" w:rsidRDefault="00A12CBA">
      <w:pPr>
        <w:spacing w:before="600"/>
        <w:jc w:val="center"/>
        <w:rPr>
          <w:sz w:val="24"/>
          <w:szCs w:val="24"/>
        </w:rPr>
      </w:pPr>
    </w:p>
    <w:sectPr w:rsidR="00A12CBA" w:rsidRPr="00E6158C" w:rsidSect="00774B86">
      <w:headerReference w:type="first" r:id="rId16"/>
      <w:pgSz w:w="12242" w:h="15842" w:code="1"/>
      <w:pgMar w:top="720"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4D282" w14:textId="77777777" w:rsidR="007A2336" w:rsidRDefault="007A2336">
      <w:r>
        <w:separator/>
      </w:r>
    </w:p>
  </w:endnote>
  <w:endnote w:type="continuationSeparator" w:id="0">
    <w:p w14:paraId="08B12D53" w14:textId="77777777" w:rsidR="007A2336" w:rsidRDefault="007A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notTrueType/>
    <w:pitch w:val="default"/>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88AA9" w14:textId="77777777" w:rsidR="007A2336" w:rsidRDefault="007A2336">
      <w:r>
        <w:separator/>
      </w:r>
    </w:p>
  </w:footnote>
  <w:footnote w:type="continuationSeparator" w:id="0">
    <w:p w14:paraId="2E5D9AE0" w14:textId="77777777" w:rsidR="007A2336" w:rsidRDefault="007A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F4B8A" w14:paraId="08CCFDD1" w14:textId="77777777" w:rsidTr="004D5D89">
      <w:trPr>
        <w:trHeight w:val="1790"/>
      </w:trPr>
      <w:tc>
        <w:tcPr>
          <w:tcW w:w="1915" w:type="dxa"/>
          <w:shd w:val="clear" w:color="auto" w:fill="FFFFFF"/>
        </w:tcPr>
        <w:p w14:paraId="714C9421" w14:textId="77777777" w:rsidR="00DF4B8A" w:rsidRDefault="00DF4B8A" w:rsidP="00DF4B8A">
          <w:bookmarkStart w:id="2" w:name="logo"/>
          <w:r w:rsidRPr="00484298">
            <w:rPr>
              <w:noProof/>
              <w:lang w:eastAsia="zh-CN"/>
            </w:rPr>
            <w:drawing>
              <wp:inline distT="0" distB="0" distL="0" distR="0" wp14:anchorId="39B44902" wp14:editId="546192C3">
                <wp:extent cx="1086485" cy="878205"/>
                <wp:effectExtent l="0" t="0" r="0" b="0"/>
                <wp:docPr id="3"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485" cy="878205"/>
                        </a:xfrm>
                        <a:prstGeom prst="rect">
                          <a:avLst/>
                        </a:prstGeom>
                        <a:noFill/>
                        <a:ln>
                          <a:noFill/>
                        </a:ln>
                      </pic:spPr>
                    </pic:pic>
                  </a:graphicData>
                </a:graphic>
              </wp:inline>
            </w:drawing>
          </w:r>
          <w:bookmarkEnd w:id="2"/>
        </w:p>
      </w:tc>
      <w:tc>
        <w:tcPr>
          <w:tcW w:w="3895" w:type="dxa"/>
          <w:shd w:val="clear" w:color="auto" w:fill="FFFFFF"/>
          <w:tcMar>
            <w:right w:w="0" w:type="dxa"/>
          </w:tcMar>
        </w:tcPr>
        <w:p w14:paraId="21DB9F44" w14:textId="77777777" w:rsidR="00DF4B8A" w:rsidRPr="00066AB7" w:rsidRDefault="00DF4B8A" w:rsidP="00DF4B8A">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9264" behindDoc="0" locked="0" layoutInCell="1" allowOverlap="1" wp14:anchorId="3E483628" wp14:editId="735264E9">
                    <wp:simplePos x="0" y="0"/>
                    <wp:positionH relativeFrom="column">
                      <wp:posOffset>12700</wp:posOffset>
                    </wp:positionH>
                    <wp:positionV relativeFrom="paragraph">
                      <wp:posOffset>342900</wp:posOffset>
                    </wp:positionV>
                    <wp:extent cx="2400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E9E3"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">
                    <o:lock v:ext="edit" shapetype="f"/>
                  </v:line>
                </w:pict>
              </mc:Fallback>
            </mc:AlternateContent>
          </w:r>
        </w:p>
        <w:p w14:paraId="0179AF20" w14:textId="77777777" w:rsidR="00DF4B8A" w:rsidRPr="00066AB7" w:rsidRDefault="00DF4B8A" w:rsidP="00DF4B8A">
          <w:pPr>
            <w:rPr>
              <w:rFonts w:ascii="Arial" w:hAnsi="Arial" w:cs="Arial"/>
              <w:szCs w:val="22"/>
            </w:rPr>
          </w:pPr>
          <w:r w:rsidRPr="00066AB7">
            <w:rPr>
              <w:rFonts w:ascii="Arial" w:hAnsi="Arial" w:cs="Arial"/>
              <w:szCs w:val="22"/>
            </w:rPr>
            <w:t>International Civil Aviation Organization</w:t>
          </w:r>
        </w:p>
        <w:p w14:paraId="344013AD" w14:textId="77777777" w:rsidR="00DF4B8A" w:rsidRPr="00066AB7" w:rsidRDefault="00DF4B8A" w:rsidP="00DF4B8A">
          <w:pPr>
            <w:rPr>
              <w:rFonts w:ascii="Arial" w:hAnsi="Arial" w:cs="Arial"/>
              <w:szCs w:val="22"/>
            </w:rPr>
          </w:pPr>
        </w:p>
        <w:p w14:paraId="193F9E68" w14:textId="77777777" w:rsidR="00DF4B8A" w:rsidRPr="00066AB7" w:rsidRDefault="00DF4B8A" w:rsidP="00DF4B8A">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DF4B8A" w14:paraId="7A95B4ED" w14:textId="77777777" w:rsidTr="004D5D89">
            <w:trPr>
              <w:jc w:val="right"/>
            </w:trPr>
            <w:tc>
              <w:tcPr>
                <w:tcW w:w="0" w:type="auto"/>
              </w:tcPr>
              <w:p w14:paraId="38ACB07E" w14:textId="2D0D2266" w:rsidR="00DF4B8A" w:rsidRPr="00066AB7" w:rsidRDefault="00DF4B8A" w:rsidP="00DF4B8A">
                <w:pPr>
                  <w:framePr w:hSpace="180" w:wrap="around" w:vAnchor="text" w:hAnchor="text" w:y="1"/>
                  <w:suppressOverlap/>
                  <w:jc w:val="left"/>
                  <w:rPr>
                    <w:szCs w:val="22"/>
                  </w:rPr>
                </w:pPr>
                <w:bookmarkStart w:id="3" w:name="document_no"/>
                <w:r>
                  <w:rPr>
                    <w:szCs w:val="22"/>
                  </w:rPr>
                  <w:t>FSMP-WG</w:t>
                </w:r>
                <w:r w:rsidRPr="00066AB7">
                  <w:rPr>
                    <w:szCs w:val="22"/>
                  </w:rPr>
                  <w:t>/</w:t>
                </w:r>
                <w:r>
                  <w:rPr>
                    <w:szCs w:val="22"/>
                  </w:rPr>
                  <w:t xml:space="preserve">10 </w:t>
                </w:r>
                <w:r w:rsidRPr="00066AB7">
                  <w:rPr>
                    <w:szCs w:val="22"/>
                  </w:rPr>
                  <w:t>WP/</w:t>
                </w:r>
                <w:bookmarkEnd w:id="3"/>
                <w:r>
                  <w:rPr>
                    <w:szCs w:val="22"/>
                  </w:rPr>
                  <w:t>1</w:t>
                </w:r>
                <w:r>
                  <w:rPr>
                    <w:szCs w:val="22"/>
                  </w:rPr>
                  <w:t>4</w:t>
                </w:r>
              </w:p>
              <w:p w14:paraId="53FBB683" w14:textId="77777777" w:rsidR="00DF4B8A" w:rsidRPr="00066AB7" w:rsidRDefault="00DF4B8A" w:rsidP="00DF4B8A">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2020-08-12</w:t>
                </w:r>
                <w:r w:rsidRPr="00066AB7">
                  <w:rPr>
                    <w:b/>
                    <w:sz w:val="18"/>
                    <w:szCs w:val="18"/>
                  </w:rPr>
                  <w:t xml:space="preserve"> </w:t>
                </w:r>
                <w:bookmarkStart w:id="9" w:name="info_paper"/>
                <w:bookmarkEnd w:id="9"/>
              </w:p>
            </w:tc>
          </w:tr>
          <w:tr w:rsidR="00DF4B8A" w14:paraId="3D940831" w14:textId="77777777" w:rsidTr="004D5D89">
            <w:trPr>
              <w:jc w:val="right"/>
            </w:trPr>
            <w:tc>
              <w:tcPr>
                <w:tcW w:w="0" w:type="auto"/>
              </w:tcPr>
              <w:p w14:paraId="5C4AD32B" w14:textId="77777777" w:rsidR="00DF4B8A" w:rsidRPr="00066AB7" w:rsidRDefault="00DF4B8A" w:rsidP="00DF4B8A">
                <w:pPr>
                  <w:framePr w:hSpace="180" w:wrap="around" w:vAnchor="text" w:hAnchor="text" w:y="1"/>
                  <w:suppressOverlap/>
                  <w:jc w:val="left"/>
                  <w:rPr>
                    <w:szCs w:val="22"/>
                  </w:rPr>
                </w:pPr>
              </w:p>
            </w:tc>
          </w:tr>
        </w:tbl>
        <w:p w14:paraId="730B0508" w14:textId="77777777" w:rsidR="00DF4B8A" w:rsidRPr="00066AB7" w:rsidRDefault="00DF4B8A" w:rsidP="00DF4B8A">
          <w:pPr>
            <w:tabs>
              <w:tab w:val="left" w:pos="720"/>
              <w:tab w:val="left" w:pos="1440"/>
              <w:tab w:val="left" w:pos="1800"/>
              <w:tab w:val="left" w:pos="2160"/>
              <w:tab w:val="left" w:pos="2520"/>
              <w:tab w:val="left" w:pos="2880"/>
            </w:tabs>
            <w:ind w:left="4320"/>
            <w:rPr>
              <w:b/>
              <w:sz w:val="18"/>
              <w:szCs w:val="18"/>
            </w:rPr>
          </w:pPr>
        </w:p>
      </w:tc>
    </w:tr>
  </w:tbl>
  <w:p w14:paraId="57DADA40" w14:textId="77777777" w:rsidR="00537F58" w:rsidRPr="00774B86" w:rsidRDefault="00537F58" w:rsidP="00774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8F42F0A"/>
    <w:multiLevelType w:val="hybridMultilevel"/>
    <w:tmpl w:val="93443A22"/>
    <w:lvl w:ilvl="0" w:tplc="EE6439AA">
      <w:start w:val="707"/>
      <w:numFmt w:val="bullet"/>
      <w:lvlText w:val="•"/>
      <w:lvlJc w:val="left"/>
      <w:pPr>
        <w:ind w:left="72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4E9"/>
    <w:multiLevelType w:val="multilevel"/>
    <w:tmpl w:val="8D0EFEF4"/>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15F464BD"/>
    <w:multiLevelType w:val="hybridMultilevel"/>
    <w:tmpl w:val="E4BCC222"/>
    <w:lvl w:ilvl="0" w:tplc="BA8E73B8">
      <w:start w:val="707"/>
      <w:numFmt w:val="bullet"/>
      <w:lvlText w:val="•"/>
      <w:lvlJc w:val="left"/>
      <w:pPr>
        <w:ind w:left="72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873"/>
    <w:multiLevelType w:val="hybridMultilevel"/>
    <w:tmpl w:val="1C705964"/>
    <w:lvl w:ilvl="0" w:tplc="BB786436">
      <w:start w:val="1"/>
      <w:numFmt w:val="decimal"/>
      <w:lvlText w:val="%1."/>
      <w:lvlJc w:val="left"/>
      <w:pPr>
        <w:ind w:left="144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6" w15:restartNumberingAfterBreak="0">
    <w:nsid w:val="37A45055"/>
    <w:multiLevelType w:val="multilevel"/>
    <w:tmpl w:val="FE1ACEF0"/>
    <w:lvl w:ilvl="0">
      <w:start w:val="7"/>
      <w:numFmt w:val="upperLetter"/>
      <w:lvlText w:val="%1"/>
      <w:lvlJc w:val="left"/>
      <w:pPr>
        <w:ind w:left="3120" w:hanging="2981"/>
      </w:pPr>
      <w:rPr>
        <w:rFonts w:hint="default"/>
      </w:rPr>
    </w:lvl>
    <w:lvl w:ilvl="1">
      <w:start w:val="30"/>
      <w:numFmt w:val="decimal"/>
      <w:lvlText w:val="%1-%2"/>
      <w:lvlJc w:val="left"/>
      <w:pPr>
        <w:ind w:left="3881" w:hanging="2981"/>
      </w:pPr>
      <w:rPr>
        <w:rFonts w:ascii="Times New Roman" w:eastAsia="Times New Roman" w:hAnsi="Times New Roman" w:cs="Times New Roman" w:hint="default"/>
        <w:i/>
        <w:spacing w:val="-2"/>
        <w:w w:val="100"/>
        <w:sz w:val="18"/>
        <w:szCs w:val="18"/>
      </w:rPr>
    </w:lvl>
    <w:lvl w:ilvl="2">
      <w:numFmt w:val="bullet"/>
      <w:lvlText w:val="•"/>
      <w:lvlJc w:val="left"/>
      <w:pPr>
        <w:ind w:left="860" w:hanging="360"/>
      </w:pPr>
      <w:rPr>
        <w:rFonts w:ascii="Times New Roman" w:eastAsia="Times New Roman" w:hAnsi="Times New Roman" w:cs="Times New Roman" w:hint="default"/>
        <w:spacing w:val="-19"/>
        <w:w w:val="100"/>
        <w:sz w:val="18"/>
        <w:szCs w:val="18"/>
      </w:rPr>
    </w:lvl>
    <w:lvl w:ilvl="3">
      <w:numFmt w:val="bullet"/>
      <w:lvlText w:val="•"/>
      <w:lvlJc w:val="left"/>
      <w:pPr>
        <w:ind w:left="3822" w:hanging="360"/>
      </w:pPr>
      <w:rPr>
        <w:rFonts w:hint="default"/>
      </w:rPr>
    </w:lvl>
    <w:lvl w:ilvl="4">
      <w:numFmt w:val="bullet"/>
      <w:lvlText w:val="•"/>
      <w:lvlJc w:val="left"/>
      <w:pPr>
        <w:ind w:left="4173" w:hanging="360"/>
      </w:pPr>
      <w:rPr>
        <w:rFonts w:hint="default"/>
      </w:rPr>
    </w:lvl>
    <w:lvl w:ilvl="5">
      <w:numFmt w:val="bullet"/>
      <w:lvlText w:val="•"/>
      <w:lvlJc w:val="left"/>
      <w:pPr>
        <w:ind w:left="4524" w:hanging="360"/>
      </w:pPr>
      <w:rPr>
        <w:rFonts w:hint="default"/>
      </w:rPr>
    </w:lvl>
    <w:lvl w:ilvl="6">
      <w:numFmt w:val="bullet"/>
      <w:lvlText w:val="•"/>
      <w:lvlJc w:val="left"/>
      <w:pPr>
        <w:ind w:left="4875" w:hanging="360"/>
      </w:pPr>
      <w:rPr>
        <w:rFonts w:hint="default"/>
      </w:rPr>
    </w:lvl>
    <w:lvl w:ilvl="7">
      <w:numFmt w:val="bullet"/>
      <w:lvlText w:val="•"/>
      <w:lvlJc w:val="left"/>
      <w:pPr>
        <w:ind w:left="5226" w:hanging="360"/>
      </w:pPr>
      <w:rPr>
        <w:rFonts w:hint="default"/>
      </w:rPr>
    </w:lvl>
    <w:lvl w:ilvl="8">
      <w:numFmt w:val="bullet"/>
      <w:lvlText w:val="•"/>
      <w:lvlJc w:val="left"/>
      <w:pPr>
        <w:ind w:left="5577" w:hanging="360"/>
      </w:pPr>
      <w:rPr>
        <w:rFont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53AA6525"/>
    <w:multiLevelType w:val="hybridMultilevel"/>
    <w:tmpl w:val="2E48FAAA"/>
    <w:lvl w:ilvl="0" w:tplc="BA8E73B8">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87EE2"/>
    <w:multiLevelType w:val="multilevel"/>
    <w:tmpl w:val="8016655C"/>
    <w:lvl w:ilvl="0">
      <w:start w:val="7"/>
      <w:numFmt w:val="upperLetter"/>
      <w:lvlText w:val="%1"/>
      <w:lvlJc w:val="left"/>
      <w:pPr>
        <w:ind w:left="3120" w:hanging="2981"/>
      </w:pPr>
      <w:rPr>
        <w:rFonts w:hint="default"/>
      </w:rPr>
    </w:lvl>
    <w:lvl w:ilvl="1">
      <w:start w:val="32"/>
      <w:numFmt w:val="decimal"/>
      <w:lvlText w:val="%1-%2"/>
      <w:lvlJc w:val="left"/>
      <w:pPr>
        <w:ind w:left="3120" w:hanging="2981"/>
      </w:pPr>
      <w:rPr>
        <w:rFonts w:ascii="Times New Roman" w:eastAsia="Times New Roman" w:hAnsi="Times New Roman" w:cs="Times New Roman" w:hint="default"/>
        <w:i/>
        <w:spacing w:val="-2"/>
        <w:w w:val="100"/>
        <w:sz w:val="18"/>
        <w:szCs w:val="18"/>
      </w:rPr>
    </w:lvl>
    <w:lvl w:ilvl="2">
      <w:numFmt w:val="bullet"/>
      <w:lvlText w:val="•"/>
      <w:lvlJc w:val="left"/>
      <w:pPr>
        <w:ind w:left="860" w:hanging="360"/>
      </w:pPr>
      <w:rPr>
        <w:rFonts w:ascii="Times New Roman" w:eastAsia="Times New Roman" w:hAnsi="Times New Roman" w:cs="Times New Roman" w:hint="default"/>
        <w:spacing w:val="-23"/>
        <w:w w:val="100"/>
        <w:sz w:val="18"/>
        <w:szCs w:val="18"/>
      </w:rPr>
    </w:lvl>
    <w:lvl w:ilvl="3">
      <w:numFmt w:val="bullet"/>
      <w:lvlText w:val="•"/>
      <w:lvlJc w:val="left"/>
      <w:pPr>
        <w:ind w:left="3822" w:hanging="360"/>
      </w:pPr>
      <w:rPr>
        <w:rFonts w:hint="default"/>
      </w:rPr>
    </w:lvl>
    <w:lvl w:ilvl="4">
      <w:numFmt w:val="bullet"/>
      <w:lvlText w:val="•"/>
      <w:lvlJc w:val="left"/>
      <w:pPr>
        <w:ind w:left="4173" w:hanging="360"/>
      </w:pPr>
      <w:rPr>
        <w:rFonts w:hint="default"/>
      </w:rPr>
    </w:lvl>
    <w:lvl w:ilvl="5">
      <w:numFmt w:val="bullet"/>
      <w:lvlText w:val="•"/>
      <w:lvlJc w:val="left"/>
      <w:pPr>
        <w:ind w:left="4524" w:hanging="360"/>
      </w:pPr>
      <w:rPr>
        <w:rFonts w:hint="default"/>
      </w:rPr>
    </w:lvl>
    <w:lvl w:ilvl="6">
      <w:numFmt w:val="bullet"/>
      <w:lvlText w:val="•"/>
      <w:lvlJc w:val="left"/>
      <w:pPr>
        <w:ind w:left="4875" w:hanging="360"/>
      </w:pPr>
      <w:rPr>
        <w:rFonts w:hint="default"/>
      </w:rPr>
    </w:lvl>
    <w:lvl w:ilvl="7">
      <w:numFmt w:val="bullet"/>
      <w:lvlText w:val="•"/>
      <w:lvlJc w:val="left"/>
      <w:pPr>
        <w:ind w:left="5226" w:hanging="360"/>
      </w:pPr>
      <w:rPr>
        <w:rFonts w:hint="default"/>
      </w:rPr>
    </w:lvl>
    <w:lvl w:ilvl="8">
      <w:numFmt w:val="bullet"/>
      <w:lvlText w:val="•"/>
      <w:lvlJc w:val="left"/>
      <w:pPr>
        <w:ind w:left="5577" w:hanging="360"/>
      </w:pPr>
      <w:rPr>
        <w:rFonts w:hint="default"/>
      </w:rPr>
    </w:lvl>
  </w:abstractNum>
  <w:abstractNum w:abstractNumId="10" w15:restartNumberingAfterBreak="0">
    <w:nsid w:val="57BF76C3"/>
    <w:multiLevelType w:val="hybridMultilevel"/>
    <w:tmpl w:val="B51EC6E8"/>
    <w:lvl w:ilvl="0" w:tplc="EE6439AA">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1153AD"/>
    <w:multiLevelType w:val="hybridMultilevel"/>
    <w:tmpl w:val="F326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D4639"/>
    <w:multiLevelType w:val="multilevel"/>
    <w:tmpl w:val="8D0EFEF4"/>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3"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4" w15:restartNumberingAfterBreak="0">
    <w:nsid w:val="69AA7F3D"/>
    <w:multiLevelType w:val="hybridMultilevel"/>
    <w:tmpl w:val="28AA85E2"/>
    <w:lvl w:ilvl="0" w:tplc="55809C8C">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7BE13F7B"/>
    <w:multiLevelType w:val="hybridMultilevel"/>
    <w:tmpl w:val="1B4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8"/>
  </w:num>
  <w:num w:numId="9">
    <w:abstractNumId w:val="10"/>
  </w:num>
  <w:num w:numId="10">
    <w:abstractNumId w:val="1"/>
  </w:num>
  <w:num w:numId="11">
    <w:abstractNumId w:val="12"/>
  </w:num>
  <w:num w:numId="12">
    <w:abstractNumId w:val="2"/>
  </w:num>
  <w:num w:numId="13">
    <w:abstractNumId w:val="4"/>
  </w:num>
  <w:num w:numId="14">
    <w:abstractNumId w:val="15"/>
  </w:num>
  <w:num w:numId="15">
    <w:abstractNumId w:val="11"/>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424A"/>
    <w:rsid w:val="00012673"/>
    <w:rsid w:val="000273D2"/>
    <w:rsid w:val="000336DE"/>
    <w:rsid w:val="00053524"/>
    <w:rsid w:val="000A2F38"/>
    <w:rsid w:val="000B2016"/>
    <w:rsid w:val="000D26D5"/>
    <w:rsid w:val="000D3C63"/>
    <w:rsid w:val="000E218A"/>
    <w:rsid w:val="001039DE"/>
    <w:rsid w:val="00114F67"/>
    <w:rsid w:val="00117EA3"/>
    <w:rsid w:val="00141940"/>
    <w:rsid w:val="00161BB7"/>
    <w:rsid w:val="00181723"/>
    <w:rsid w:val="0019483C"/>
    <w:rsid w:val="001A7BB5"/>
    <w:rsid w:val="001F30C9"/>
    <w:rsid w:val="00240C4C"/>
    <w:rsid w:val="002657E8"/>
    <w:rsid w:val="0028751E"/>
    <w:rsid w:val="002C2452"/>
    <w:rsid w:val="002C2D0B"/>
    <w:rsid w:val="002E3569"/>
    <w:rsid w:val="002E3BE7"/>
    <w:rsid w:val="00327288"/>
    <w:rsid w:val="00384E0C"/>
    <w:rsid w:val="003D7FD8"/>
    <w:rsid w:val="003E5F3E"/>
    <w:rsid w:val="003F20FE"/>
    <w:rsid w:val="003F3F1F"/>
    <w:rsid w:val="00402FD7"/>
    <w:rsid w:val="00403219"/>
    <w:rsid w:val="0041061F"/>
    <w:rsid w:val="004154B0"/>
    <w:rsid w:val="00421F76"/>
    <w:rsid w:val="00423C6F"/>
    <w:rsid w:val="004735BC"/>
    <w:rsid w:val="004743FE"/>
    <w:rsid w:val="0049280E"/>
    <w:rsid w:val="004A0E47"/>
    <w:rsid w:val="004C5BCC"/>
    <w:rsid w:val="004F1495"/>
    <w:rsid w:val="004F6C98"/>
    <w:rsid w:val="00505F6E"/>
    <w:rsid w:val="005076A6"/>
    <w:rsid w:val="00537F58"/>
    <w:rsid w:val="00542498"/>
    <w:rsid w:val="00576FC1"/>
    <w:rsid w:val="00596FAF"/>
    <w:rsid w:val="00597F34"/>
    <w:rsid w:val="005C1475"/>
    <w:rsid w:val="006036C3"/>
    <w:rsid w:val="00615DD8"/>
    <w:rsid w:val="00625E2A"/>
    <w:rsid w:val="006527DB"/>
    <w:rsid w:val="00664C07"/>
    <w:rsid w:val="006661A4"/>
    <w:rsid w:val="006B26EB"/>
    <w:rsid w:val="006C3669"/>
    <w:rsid w:val="006C637C"/>
    <w:rsid w:val="006E3302"/>
    <w:rsid w:val="006E5B04"/>
    <w:rsid w:val="00725205"/>
    <w:rsid w:val="00736E58"/>
    <w:rsid w:val="00737DD3"/>
    <w:rsid w:val="00740D50"/>
    <w:rsid w:val="0074377E"/>
    <w:rsid w:val="00760654"/>
    <w:rsid w:val="00770160"/>
    <w:rsid w:val="00774B86"/>
    <w:rsid w:val="007810A0"/>
    <w:rsid w:val="007A2336"/>
    <w:rsid w:val="007A5E97"/>
    <w:rsid w:val="007E3D7C"/>
    <w:rsid w:val="007E6A06"/>
    <w:rsid w:val="008158FB"/>
    <w:rsid w:val="008270F4"/>
    <w:rsid w:val="00837603"/>
    <w:rsid w:val="008436E2"/>
    <w:rsid w:val="00860FB4"/>
    <w:rsid w:val="00865AD6"/>
    <w:rsid w:val="00870DDE"/>
    <w:rsid w:val="00876282"/>
    <w:rsid w:val="00896A87"/>
    <w:rsid w:val="008B54C4"/>
    <w:rsid w:val="0090204A"/>
    <w:rsid w:val="009064BA"/>
    <w:rsid w:val="00907A72"/>
    <w:rsid w:val="00920C27"/>
    <w:rsid w:val="009602EE"/>
    <w:rsid w:val="0097018C"/>
    <w:rsid w:val="009826E6"/>
    <w:rsid w:val="009900F9"/>
    <w:rsid w:val="00990D0C"/>
    <w:rsid w:val="009A4835"/>
    <w:rsid w:val="009C11DF"/>
    <w:rsid w:val="009D670E"/>
    <w:rsid w:val="009F4C06"/>
    <w:rsid w:val="00A03CFF"/>
    <w:rsid w:val="00A051E5"/>
    <w:rsid w:val="00A12CBA"/>
    <w:rsid w:val="00A13C1E"/>
    <w:rsid w:val="00A232A8"/>
    <w:rsid w:val="00A43FBF"/>
    <w:rsid w:val="00A6616E"/>
    <w:rsid w:val="00A67719"/>
    <w:rsid w:val="00AC00AE"/>
    <w:rsid w:val="00AC450E"/>
    <w:rsid w:val="00AF3051"/>
    <w:rsid w:val="00B1561E"/>
    <w:rsid w:val="00B42D8D"/>
    <w:rsid w:val="00B43FCB"/>
    <w:rsid w:val="00B5136A"/>
    <w:rsid w:val="00B6410D"/>
    <w:rsid w:val="00B727C5"/>
    <w:rsid w:val="00B76E2E"/>
    <w:rsid w:val="00BA01B6"/>
    <w:rsid w:val="00BA6EF9"/>
    <w:rsid w:val="00BC5391"/>
    <w:rsid w:val="00BE6FB9"/>
    <w:rsid w:val="00C124E0"/>
    <w:rsid w:val="00C2608A"/>
    <w:rsid w:val="00C53C47"/>
    <w:rsid w:val="00C867A3"/>
    <w:rsid w:val="00C87476"/>
    <w:rsid w:val="00C93459"/>
    <w:rsid w:val="00CB5DB8"/>
    <w:rsid w:val="00CB67EA"/>
    <w:rsid w:val="00CD2295"/>
    <w:rsid w:val="00CE7BFE"/>
    <w:rsid w:val="00CF72A2"/>
    <w:rsid w:val="00D11FE6"/>
    <w:rsid w:val="00D22255"/>
    <w:rsid w:val="00D74C5A"/>
    <w:rsid w:val="00D8375B"/>
    <w:rsid w:val="00D94FD3"/>
    <w:rsid w:val="00DB6770"/>
    <w:rsid w:val="00DD73BA"/>
    <w:rsid w:val="00DF0747"/>
    <w:rsid w:val="00DF4B8A"/>
    <w:rsid w:val="00DF76D3"/>
    <w:rsid w:val="00E12034"/>
    <w:rsid w:val="00E6158C"/>
    <w:rsid w:val="00E77340"/>
    <w:rsid w:val="00EB3039"/>
    <w:rsid w:val="00EC13B7"/>
    <w:rsid w:val="00EC30EA"/>
    <w:rsid w:val="00EF643A"/>
    <w:rsid w:val="00F56F90"/>
    <w:rsid w:val="00F975FD"/>
    <w:rsid w:val="00FB0160"/>
    <w:rsid w:val="00FE66F1"/>
    <w:rsid w:val="00FE7A41"/>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C71C4"/>
  <w15:chartTrackingRefBased/>
  <w15:docId w15:val="{5A6A9D5D-37F9-C746-89F9-39B8C264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14194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1419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link w:val="Heading2"/>
    <w:semiHidden/>
    <w:rsid w:val="00141940"/>
    <w:rPr>
      <w:rFonts w:ascii="Calibri Light" w:eastAsia="Times New Roman" w:hAnsi="Calibri Light" w:cs="Times New Roman"/>
      <w:b/>
      <w:bCs/>
      <w:i/>
      <w:iCs/>
      <w:sz w:val="28"/>
      <w:szCs w:val="28"/>
      <w:lang w:val="en-GB"/>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link w:val="Heading3"/>
    <w:semiHidden/>
    <w:rsid w:val="00141940"/>
    <w:rPr>
      <w:rFonts w:ascii="Calibri Light" w:eastAsia="Times New Roman" w:hAnsi="Calibri Light" w:cs="Times New Roman"/>
      <w:b/>
      <w:bCs/>
      <w:sz w:val="26"/>
      <w:szCs w:val="26"/>
      <w:lang w:val="en-GB"/>
    </w:rPr>
  </w:style>
  <w:style w:type="paragraph" w:styleId="ListParagraph">
    <w:name w:val="List Paragraph"/>
    <w:basedOn w:val="Normal"/>
    <w:uiPriority w:val="1"/>
    <w:qFormat/>
    <w:rsid w:val="00141940"/>
    <w:pPr>
      <w:ind w:left="720"/>
      <w:contextualSpacing/>
    </w:pPr>
  </w:style>
  <w:style w:type="table" w:styleId="TableGrid">
    <w:name w:val="Table Grid"/>
    <w:basedOn w:val="TableNormal"/>
    <w:uiPriority w:val="59"/>
    <w:rsid w:val="00141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657E8"/>
    <w:rPr>
      <w:rFonts w:ascii="TimesNewRoman" w:hAnsi="TimesNewRoman" w:hint="default"/>
      <w:b/>
      <w:bCs/>
      <w:i w:val="0"/>
      <w:iCs w:val="0"/>
      <w:color w:val="000000"/>
      <w:sz w:val="22"/>
      <w:szCs w:val="22"/>
    </w:rPr>
  </w:style>
  <w:style w:type="character" w:customStyle="1" w:styleId="fontstyle21">
    <w:name w:val="fontstyle21"/>
    <w:rsid w:val="002657E8"/>
    <w:rPr>
      <w:rFonts w:ascii="Symbol" w:hAnsi="Symbol" w:hint="default"/>
      <w:b w:val="0"/>
      <w:bCs w:val="0"/>
      <w:i w:val="0"/>
      <w:iCs w:val="0"/>
      <w:color w:val="000000"/>
      <w:sz w:val="22"/>
      <w:szCs w:val="22"/>
    </w:rPr>
  </w:style>
  <w:style w:type="character" w:customStyle="1" w:styleId="fontstyle31">
    <w:name w:val="fontstyle31"/>
    <w:rsid w:val="002657E8"/>
    <w:rPr>
      <w:rFonts w:ascii="TimesNewRoman" w:hAnsi="TimesNewRoman" w:hint="default"/>
      <w:b w:val="0"/>
      <w:bCs w:val="0"/>
      <w:i w:val="0"/>
      <w:iCs w:val="0"/>
      <w:color w:val="000000"/>
      <w:sz w:val="22"/>
      <w:szCs w:val="22"/>
    </w:rPr>
  </w:style>
  <w:style w:type="paragraph" w:styleId="FootnoteText">
    <w:name w:val="footnote text"/>
    <w:basedOn w:val="Normal"/>
    <w:link w:val="FootnoteTextChar"/>
    <w:uiPriority w:val="99"/>
    <w:unhideWhenUsed/>
    <w:rsid w:val="000A2F38"/>
    <w:pPr>
      <w:jc w:val="left"/>
    </w:pPr>
    <w:rPr>
      <w:sz w:val="20"/>
      <w:lang w:val="en-US"/>
    </w:rPr>
  </w:style>
  <w:style w:type="character" w:customStyle="1" w:styleId="FootnoteTextChar">
    <w:name w:val="Footnote Text Char"/>
    <w:basedOn w:val="DefaultParagraphFont"/>
    <w:link w:val="FootnoteText"/>
    <w:uiPriority w:val="99"/>
    <w:rsid w:val="000A2F38"/>
  </w:style>
  <w:style w:type="character" w:styleId="FootnoteReference">
    <w:name w:val="footnote reference"/>
    <w:uiPriority w:val="99"/>
    <w:unhideWhenUsed/>
    <w:rsid w:val="000A2F38"/>
    <w:rPr>
      <w:vertAlign w:val="superscript"/>
    </w:rPr>
  </w:style>
  <w:style w:type="paragraph" w:styleId="BalloonText">
    <w:name w:val="Balloon Text"/>
    <w:basedOn w:val="Normal"/>
    <w:link w:val="BalloonTextChar"/>
    <w:rsid w:val="004F1495"/>
    <w:rPr>
      <w:rFonts w:ascii="Segoe UI" w:hAnsi="Segoe UI" w:cs="Segoe UI"/>
      <w:sz w:val="18"/>
      <w:szCs w:val="18"/>
    </w:rPr>
  </w:style>
  <w:style w:type="character" w:customStyle="1" w:styleId="BalloonTextChar">
    <w:name w:val="Balloon Text Char"/>
    <w:link w:val="BalloonText"/>
    <w:rsid w:val="004F1495"/>
    <w:rPr>
      <w:rFonts w:ascii="Segoe UI" w:hAnsi="Segoe UI" w:cs="Segoe UI"/>
      <w:sz w:val="18"/>
      <w:szCs w:val="18"/>
      <w:lang w:val="en-GB"/>
    </w:rPr>
  </w:style>
  <w:style w:type="character" w:styleId="CommentReference">
    <w:name w:val="annotation reference"/>
    <w:basedOn w:val="DefaultParagraphFont"/>
    <w:uiPriority w:val="99"/>
    <w:unhideWhenUsed/>
    <w:rsid w:val="00FE7A41"/>
    <w:rPr>
      <w:sz w:val="16"/>
      <w:szCs w:val="16"/>
    </w:rPr>
  </w:style>
  <w:style w:type="paragraph" w:styleId="CommentText">
    <w:name w:val="annotation text"/>
    <w:basedOn w:val="Normal"/>
    <w:link w:val="CommentTextChar"/>
    <w:uiPriority w:val="99"/>
    <w:unhideWhenUsed/>
    <w:rsid w:val="00FE7A41"/>
    <w:rPr>
      <w:sz w:val="20"/>
    </w:rPr>
  </w:style>
  <w:style w:type="character" w:customStyle="1" w:styleId="CommentTextChar">
    <w:name w:val="Comment Text Char"/>
    <w:basedOn w:val="DefaultParagraphFont"/>
    <w:link w:val="CommentText"/>
    <w:uiPriority w:val="99"/>
    <w:rsid w:val="00FE7A41"/>
    <w:rPr>
      <w:lang w:val="en-GB"/>
    </w:rPr>
  </w:style>
  <w:style w:type="paragraph" w:styleId="BodyText">
    <w:name w:val="Body Text"/>
    <w:basedOn w:val="Normal"/>
    <w:link w:val="BodyTextChar"/>
    <w:uiPriority w:val="1"/>
    <w:qFormat/>
    <w:rsid w:val="00FE7A41"/>
    <w:pPr>
      <w:widowControl w:val="0"/>
      <w:autoSpaceDE w:val="0"/>
      <w:autoSpaceDN w:val="0"/>
      <w:ind w:left="860" w:hanging="360"/>
      <w:jc w:val="left"/>
    </w:pPr>
    <w:rPr>
      <w:sz w:val="18"/>
      <w:szCs w:val="18"/>
      <w:lang w:val="en-US"/>
    </w:rPr>
  </w:style>
  <w:style w:type="character" w:customStyle="1" w:styleId="BodyTextChar">
    <w:name w:val="Body Text Char"/>
    <w:basedOn w:val="DefaultParagraphFont"/>
    <w:link w:val="BodyText"/>
    <w:uiPriority w:val="1"/>
    <w:rsid w:val="00FE7A41"/>
    <w:rPr>
      <w:sz w:val="18"/>
      <w:szCs w:val="18"/>
    </w:rPr>
  </w:style>
  <w:style w:type="character" w:styleId="Hyperlink">
    <w:name w:val="Hyperlink"/>
    <w:aliases w:val="超级链接,CEO_Hyperlink"/>
    <w:basedOn w:val="DefaultParagraphFont"/>
    <w:uiPriority w:val="99"/>
    <w:unhideWhenUsed/>
    <w:rsid w:val="00C87476"/>
    <w:rPr>
      <w:color w:val="0563C1" w:themeColor="hyperlink"/>
      <w:u w:val="single"/>
    </w:rPr>
  </w:style>
  <w:style w:type="character" w:styleId="FollowedHyperlink">
    <w:name w:val="FollowedHyperlink"/>
    <w:basedOn w:val="DefaultParagraphFont"/>
    <w:rsid w:val="00161BB7"/>
    <w:rPr>
      <w:color w:val="954F72" w:themeColor="followedHyperlink"/>
      <w:u w:val="single"/>
    </w:rPr>
  </w:style>
  <w:style w:type="character" w:styleId="UnresolvedMention">
    <w:name w:val="Unresolved Mention"/>
    <w:basedOn w:val="DefaultParagraphFont"/>
    <w:uiPriority w:val="99"/>
    <w:semiHidden/>
    <w:unhideWhenUsed/>
    <w:rsid w:val="006036C3"/>
    <w:rPr>
      <w:color w:val="605E5C"/>
      <w:shd w:val="clear" w:color="auto" w:fill="E1DFDD"/>
    </w:rPr>
  </w:style>
  <w:style w:type="paragraph" w:styleId="NormalWeb">
    <w:name w:val="Normal (Web)"/>
    <w:basedOn w:val="Normal"/>
    <w:uiPriority w:val="99"/>
    <w:unhideWhenUsed/>
    <w:rsid w:val="00870DDE"/>
    <w:pP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rsid w:val="00FB0160"/>
    <w:rPr>
      <w:b/>
      <w:bCs/>
    </w:rPr>
  </w:style>
  <w:style w:type="character" w:customStyle="1" w:styleId="CommentSubjectChar">
    <w:name w:val="Comment Subject Char"/>
    <w:basedOn w:val="CommentTextChar"/>
    <w:link w:val="CommentSubject"/>
    <w:rsid w:val="00FB0160"/>
    <w:rPr>
      <w:b/>
      <w:bCs/>
      <w:lang w:val="en-GB"/>
    </w:rPr>
  </w:style>
  <w:style w:type="character" w:customStyle="1" w:styleId="doc-name">
    <w:name w:val="doc-name"/>
    <w:basedOn w:val="DefaultParagraphFont"/>
    <w:rsid w:val="00E6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29014">
      <w:bodyDiv w:val="1"/>
      <w:marLeft w:val="0"/>
      <w:marRight w:val="0"/>
      <w:marTop w:val="0"/>
      <w:marBottom w:val="0"/>
      <w:divBdr>
        <w:top w:val="none" w:sz="0" w:space="0" w:color="auto"/>
        <w:left w:val="none" w:sz="0" w:space="0" w:color="auto"/>
        <w:bottom w:val="none" w:sz="0" w:space="0" w:color="auto"/>
        <w:right w:val="none" w:sz="0" w:space="0" w:color="auto"/>
      </w:divBdr>
    </w:div>
    <w:div w:id="151995368">
      <w:bodyDiv w:val="1"/>
      <w:marLeft w:val="0"/>
      <w:marRight w:val="0"/>
      <w:marTop w:val="0"/>
      <w:marBottom w:val="0"/>
      <w:divBdr>
        <w:top w:val="none" w:sz="0" w:space="0" w:color="auto"/>
        <w:left w:val="none" w:sz="0" w:space="0" w:color="auto"/>
        <w:bottom w:val="none" w:sz="0" w:space="0" w:color="auto"/>
        <w:right w:val="none" w:sz="0" w:space="0" w:color="auto"/>
      </w:divBdr>
      <w:divsChild>
        <w:div w:id="553543888">
          <w:marLeft w:val="0"/>
          <w:marRight w:val="0"/>
          <w:marTop w:val="0"/>
          <w:marBottom w:val="0"/>
          <w:divBdr>
            <w:top w:val="none" w:sz="0" w:space="0" w:color="auto"/>
            <w:left w:val="none" w:sz="0" w:space="0" w:color="auto"/>
            <w:bottom w:val="none" w:sz="0" w:space="0" w:color="auto"/>
            <w:right w:val="none" w:sz="0" w:space="0" w:color="auto"/>
          </w:divBdr>
          <w:divsChild>
            <w:div w:id="1650742229">
              <w:marLeft w:val="0"/>
              <w:marRight w:val="0"/>
              <w:marTop w:val="0"/>
              <w:marBottom w:val="0"/>
              <w:divBdr>
                <w:top w:val="none" w:sz="0" w:space="0" w:color="auto"/>
                <w:left w:val="none" w:sz="0" w:space="0" w:color="auto"/>
                <w:bottom w:val="none" w:sz="0" w:space="0" w:color="auto"/>
                <w:right w:val="none" w:sz="0" w:space="0" w:color="auto"/>
              </w:divBdr>
              <w:divsChild>
                <w:div w:id="8128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2342">
      <w:bodyDiv w:val="1"/>
      <w:marLeft w:val="0"/>
      <w:marRight w:val="0"/>
      <w:marTop w:val="0"/>
      <w:marBottom w:val="0"/>
      <w:divBdr>
        <w:top w:val="none" w:sz="0" w:space="0" w:color="auto"/>
        <w:left w:val="none" w:sz="0" w:space="0" w:color="auto"/>
        <w:bottom w:val="none" w:sz="0" w:space="0" w:color="auto"/>
        <w:right w:val="none" w:sz="0" w:space="0" w:color="auto"/>
      </w:divBdr>
    </w:div>
    <w:div w:id="634523955">
      <w:bodyDiv w:val="1"/>
      <w:marLeft w:val="0"/>
      <w:marRight w:val="0"/>
      <w:marTop w:val="0"/>
      <w:marBottom w:val="0"/>
      <w:divBdr>
        <w:top w:val="none" w:sz="0" w:space="0" w:color="auto"/>
        <w:left w:val="none" w:sz="0" w:space="0" w:color="auto"/>
        <w:bottom w:val="none" w:sz="0" w:space="0" w:color="auto"/>
        <w:right w:val="none" w:sz="0" w:space="0" w:color="auto"/>
      </w:divBdr>
      <w:divsChild>
        <w:div w:id="1512911226">
          <w:marLeft w:val="0"/>
          <w:marRight w:val="0"/>
          <w:marTop w:val="0"/>
          <w:marBottom w:val="0"/>
          <w:divBdr>
            <w:top w:val="none" w:sz="0" w:space="0" w:color="auto"/>
            <w:left w:val="none" w:sz="0" w:space="0" w:color="auto"/>
            <w:bottom w:val="none" w:sz="0" w:space="0" w:color="auto"/>
            <w:right w:val="none" w:sz="0" w:space="0" w:color="auto"/>
          </w:divBdr>
          <w:divsChild>
            <w:div w:id="604920907">
              <w:marLeft w:val="0"/>
              <w:marRight w:val="0"/>
              <w:marTop w:val="0"/>
              <w:marBottom w:val="0"/>
              <w:divBdr>
                <w:top w:val="none" w:sz="0" w:space="0" w:color="auto"/>
                <w:left w:val="none" w:sz="0" w:space="0" w:color="auto"/>
                <w:bottom w:val="none" w:sz="0" w:space="0" w:color="auto"/>
                <w:right w:val="none" w:sz="0" w:space="0" w:color="auto"/>
              </w:divBdr>
              <w:divsChild>
                <w:div w:id="10441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79842">
      <w:bodyDiv w:val="1"/>
      <w:marLeft w:val="0"/>
      <w:marRight w:val="0"/>
      <w:marTop w:val="0"/>
      <w:marBottom w:val="0"/>
      <w:divBdr>
        <w:top w:val="none" w:sz="0" w:space="0" w:color="auto"/>
        <w:left w:val="none" w:sz="0" w:space="0" w:color="auto"/>
        <w:bottom w:val="none" w:sz="0" w:space="0" w:color="auto"/>
        <w:right w:val="none" w:sz="0" w:space="0" w:color="auto"/>
      </w:divBdr>
    </w:div>
    <w:div w:id="753822600">
      <w:bodyDiv w:val="1"/>
      <w:marLeft w:val="0"/>
      <w:marRight w:val="0"/>
      <w:marTop w:val="0"/>
      <w:marBottom w:val="0"/>
      <w:divBdr>
        <w:top w:val="none" w:sz="0" w:space="0" w:color="auto"/>
        <w:left w:val="none" w:sz="0" w:space="0" w:color="auto"/>
        <w:bottom w:val="none" w:sz="0" w:space="0" w:color="auto"/>
        <w:right w:val="none" w:sz="0" w:space="0" w:color="auto"/>
      </w:divBdr>
    </w:div>
    <w:div w:id="788470722">
      <w:bodyDiv w:val="1"/>
      <w:marLeft w:val="0"/>
      <w:marRight w:val="0"/>
      <w:marTop w:val="0"/>
      <w:marBottom w:val="0"/>
      <w:divBdr>
        <w:top w:val="none" w:sz="0" w:space="0" w:color="auto"/>
        <w:left w:val="none" w:sz="0" w:space="0" w:color="auto"/>
        <w:bottom w:val="none" w:sz="0" w:space="0" w:color="auto"/>
        <w:right w:val="none" w:sz="0" w:space="0" w:color="auto"/>
      </w:divBdr>
    </w:div>
    <w:div w:id="1055930273">
      <w:bodyDiv w:val="1"/>
      <w:marLeft w:val="0"/>
      <w:marRight w:val="0"/>
      <w:marTop w:val="0"/>
      <w:marBottom w:val="0"/>
      <w:divBdr>
        <w:top w:val="none" w:sz="0" w:space="0" w:color="auto"/>
        <w:left w:val="none" w:sz="0" w:space="0" w:color="auto"/>
        <w:bottom w:val="none" w:sz="0" w:space="0" w:color="auto"/>
        <w:right w:val="none" w:sz="0" w:space="0" w:color="auto"/>
      </w:divBdr>
    </w:div>
    <w:div w:id="1195575946">
      <w:bodyDiv w:val="1"/>
      <w:marLeft w:val="0"/>
      <w:marRight w:val="0"/>
      <w:marTop w:val="0"/>
      <w:marBottom w:val="0"/>
      <w:divBdr>
        <w:top w:val="none" w:sz="0" w:space="0" w:color="auto"/>
        <w:left w:val="none" w:sz="0" w:space="0" w:color="auto"/>
        <w:bottom w:val="none" w:sz="0" w:space="0" w:color="auto"/>
        <w:right w:val="none" w:sz="0" w:space="0" w:color="auto"/>
      </w:divBdr>
      <w:divsChild>
        <w:div w:id="236718930">
          <w:marLeft w:val="0"/>
          <w:marRight w:val="0"/>
          <w:marTop w:val="0"/>
          <w:marBottom w:val="0"/>
          <w:divBdr>
            <w:top w:val="none" w:sz="0" w:space="0" w:color="auto"/>
            <w:left w:val="none" w:sz="0" w:space="0" w:color="auto"/>
            <w:bottom w:val="none" w:sz="0" w:space="0" w:color="auto"/>
            <w:right w:val="none" w:sz="0" w:space="0" w:color="auto"/>
          </w:divBdr>
          <w:divsChild>
            <w:div w:id="632710665">
              <w:marLeft w:val="0"/>
              <w:marRight w:val="0"/>
              <w:marTop w:val="0"/>
              <w:marBottom w:val="0"/>
              <w:divBdr>
                <w:top w:val="none" w:sz="0" w:space="0" w:color="auto"/>
                <w:left w:val="none" w:sz="0" w:space="0" w:color="auto"/>
                <w:bottom w:val="none" w:sz="0" w:space="0" w:color="auto"/>
                <w:right w:val="none" w:sz="0" w:space="0" w:color="auto"/>
              </w:divBdr>
              <w:divsChild>
                <w:div w:id="3016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29449">
      <w:bodyDiv w:val="1"/>
      <w:marLeft w:val="0"/>
      <w:marRight w:val="0"/>
      <w:marTop w:val="0"/>
      <w:marBottom w:val="0"/>
      <w:divBdr>
        <w:top w:val="none" w:sz="0" w:space="0" w:color="auto"/>
        <w:left w:val="none" w:sz="0" w:space="0" w:color="auto"/>
        <w:bottom w:val="none" w:sz="0" w:space="0" w:color="auto"/>
        <w:right w:val="none" w:sz="0" w:space="0" w:color="auto"/>
      </w:divBdr>
    </w:div>
    <w:div w:id="1596211508">
      <w:bodyDiv w:val="1"/>
      <w:marLeft w:val="0"/>
      <w:marRight w:val="0"/>
      <w:marTop w:val="0"/>
      <w:marBottom w:val="0"/>
      <w:divBdr>
        <w:top w:val="none" w:sz="0" w:space="0" w:color="auto"/>
        <w:left w:val="none" w:sz="0" w:space="0" w:color="auto"/>
        <w:bottom w:val="none" w:sz="0" w:space="0" w:color="auto"/>
        <w:right w:val="none" w:sz="0" w:space="0" w:color="auto"/>
      </w:divBdr>
      <w:divsChild>
        <w:div w:id="17702236">
          <w:marLeft w:val="0"/>
          <w:marRight w:val="0"/>
          <w:marTop w:val="0"/>
          <w:marBottom w:val="0"/>
          <w:divBdr>
            <w:top w:val="none" w:sz="0" w:space="0" w:color="auto"/>
            <w:left w:val="none" w:sz="0" w:space="0" w:color="auto"/>
            <w:bottom w:val="none" w:sz="0" w:space="0" w:color="auto"/>
            <w:right w:val="none" w:sz="0" w:space="0" w:color="auto"/>
          </w:divBdr>
          <w:divsChild>
            <w:div w:id="216359109">
              <w:marLeft w:val="0"/>
              <w:marRight w:val="0"/>
              <w:marTop w:val="0"/>
              <w:marBottom w:val="0"/>
              <w:divBdr>
                <w:top w:val="none" w:sz="0" w:space="0" w:color="auto"/>
                <w:left w:val="none" w:sz="0" w:space="0" w:color="auto"/>
                <w:bottom w:val="none" w:sz="0" w:space="0" w:color="auto"/>
                <w:right w:val="none" w:sz="0" w:space="0" w:color="auto"/>
              </w:divBdr>
              <w:divsChild>
                <w:div w:id="60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375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814443817">
      <w:bodyDiv w:val="1"/>
      <w:marLeft w:val="0"/>
      <w:marRight w:val="0"/>
      <w:marTop w:val="0"/>
      <w:marBottom w:val="0"/>
      <w:divBdr>
        <w:top w:val="none" w:sz="0" w:space="0" w:color="auto"/>
        <w:left w:val="none" w:sz="0" w:space="0" w:color="auto"/>
        <w:bottom w:val="none" w:sz="0" w:space="0" w:color="auto"/>
        <w:right w:val="none" w:sz="0" w:space="0" w:color="auto"/>
      </w:divBdr>
    </w:div>
    <w:div w:id="1945381266">
      <w:bodyDiv w:val="1"/>
      <w:marLeft w:val="0"/>
      <w:marRight w:val="0"/>
      <w:marTop w:val="0"/>
      <w:marBottom w:val="0"/>
      <w:divBdr>
        <w:top w:val="none" w:sz="0" w:space="0" w:color="auto"/>
        <w:left w:val="none" w:sz="0" w:space="0" w:color="auto"/>
        <w:bottom w:val="none" w:sz="0" w:space="0" w:color="auto"/>
        <w:right w:val="none" w:sz="0" w:space="0" w:color="auto"/>
      </w:divBdr>
    </w:div>
    <w:div w:id="1946308589">
      <w:bodyDiv w:val="1"/>
      <w:marLeft w:val="0"/>
      <w:marRight w:val="0"/>
      <w:marTop w:val="0"/>
      <w:marBottom w:val="0"/>
      <w:divBdr>
        <w:top w:val="none" w:sz="0" w:space="0" w:color="auto"/>
        <w:left w:val="none" w:sz="0" w:space="0" w:color="auto"/>
        <w:bottom w:val="none" w:sz="0" w:space="0" w:color="auto"/>
        <w:right w:val="none" w:sz="0" w:space="0" w:color="auto"/>
      </w:divBdr>
    </w:div>
    <w:div w:id="19732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rec/R-REC-RA.1513/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tu.int/rec/R-REC-RA.769/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u.int/rec/R-REC-M.1188/en" TargetMode="External"/><Relationship Id="rId5" Type="http://schemas.openxmlformats.org/officeDocument/2006/relationships/styles" Target="styles.xml"/><Relationship Id="rId15" Type="http://schemas.openxmlformats.org/officeDocument/2006/relationships/hyperlink" Target="http://www.itu.int/rec/R-REC-RA.1631/en" TargetMode="External"/><Relationship Id="rId10" Type="http://schemas.openxmlformats.org/officeDocument/2006/relationships/hyperlink" Target="http://www.itu.int/rec/R-REC-M.1184/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583/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5B7EC240-0934-4C1E-878D-7C669649D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8C04AD-ED61-49D0-9153-25406D4B3765}"/>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7</TotalTime>
  <Pages>5</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dc:description/>
  <cp:lastModifiedBy>Loftur Jonasson</cp:lastModifiedBy>
  <cp:revision>3</cp:revision>
  <cp:lastPrinted>2005-03-16T17:26:00Z</cp:lastPrinted>
  <dcterms:created xsi:type="dcterms:W3CDTF">2020-08-07T17:41:00Z</dcterms:created>
  <dcterms:modified xsi:type="dcterms:W3CDTF">2020-08-12T14:46:00Z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NewReviewCycle">
    <vt:lpwstr/>
  </property>
</Properties>
</file>