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08786" w14:textId="77777777"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14:paraId="5B0C0069" w14:textId="77777777" w:rsidR="00770160" w:rsidRDefault="00770160">
      <w:pPr>
        <w:tabs>
          <w:tab w:val="left" w:pos="6972"/>
        </w:tabs>
        <w:jc w:val="center"/>
        <w:rPr>
          <w:b/>
        </w:rPr>
      </w:pPr>
    </w:p>
    <w:p w14:paraId="7678A916" w14:textId="77777777" w:rsidR="00F56F90" w:rsidRDefault="006F36AD" w:rsidP="00F56F90">
      <w:pPr>
        <w:pStyle w:val="Maintitle"/>
      </w:pPr>
      <w:r>
        <w:rPr>
          <w:lang w:val="en-US"/>
        </w:rPr>
        <w:t>Ten</w:t>
      </w:r>
      <w:r w:rsidR="006A559B" w:rsidRPr="00D1646C">
        <w:rPr>
          <w:lang w:val="en-US"/>
        </w:rPr>
        <w:t>th</w:t>
      </w:r>
      <w:r w:rsidR="00F56F90">
        <w:t xml:space="preserve"> Working Group meeting</w:t>
      </w:r>
    </w:p>
    <w:p w14:paraId="0DFBB53E" w14:textId="77777777" w:rsidR="00F56F90" w:rsidRDefault="00F56F90" w:rsidP="00F56F90"/>
    <w:p w14:paraId="0C64D5EE" w14:textId="77777777" w:rsidR="00F56F90" w:rsidRDefault="006F36AD" w:rsidP="00F56F90">
      <w:pPr>
        <w:jc w:val="center"/>
        <w:rPr>
          <w:b/>
          <w:bCs/>
          <w:szCs w:val="22"/>
        </w:rPr>
      </w:pPr>
      <w:bookmarkStart w:id="0" w:name="agenda_item"/>
      <w:bookmarkEnd w:id="0"/>
      <w:r w:rsidRPr="006F36AD">
        <w:rPr>
          <w:b/>
          <w:bCs/>
          <w:szCs w:val="22"/>
        </w:rPr>
        <w:t>Virtual Meeting, 17 – 26 August 2020</w:t>
      </w:r>
    </w:p>
    <w:p w14:paraId="136FCD1A" w14:textId="77777777" w:rsidR="00770160" w:rsidRDefault="00770160">
      <w:pPr>
        <w:tabs>
          <w:tab w:val="left" w:pos="0"/>
          <w:tab w:val="left" w:pos="1570"/>
          <w:tab w:val="left" w:pos="1857"/>
        </w:tabs>
      </w:pPr>
    </w:p>
    <w:p w14:paraId="431C166B" w14:textId="77777777" w:rsidR="00770160" w:rsidRDefault="00770160">
      <w:pPr>
        <w:tabs>
          <w:tab w:val="left" w:pos="0"/>
          <w:tab w:val="left" w:pos="1570"/>
          <w:tab w:val="left" w:pos="1857"/>
        </w:tabs>
      </w:pPr>
    </w:p>
    <w:p w14:paraId="2794D4A6" w14:textId="77777777" w:rsidR="00770160" w:rsidRDefault="008E1442" w:rsidP="00495B9B">
      <w:pPr>
        <w:pStyle w:val="Agendaitemtitle"/>
        <w:rPr>
          <w:lang w:val="sv-SE"/>
        </w:rPr>
      </w:pPr>
      <w:r>
        <w:rPr>
          <w:lang w:val="sv-SE"/>
        </w:rPr>
        <w:t xml:space="preserve">Agenda Item </w:t>
      </w:r>
      <w:r w:rsidR="00030A23">
        <w:rPr>
          <w:lang w:val="sv-SE"/>
        </w:rPr>
        <w:t>3</w:t>
      </w:r>
      <w:r w:rsidR="00770160">
        <w:rPr>
          <w:lang w:val="sv-SE"/>
        </w:rPr>
        <w:t> :</w:t>
      </w:r>
      <w:r w:rsidR="00030A23">
        <w:rPr>
          <w:lang w:val="sv-SE"/>
        </w:rPr>
        <w:t xml:space="preserve"> </w:t>
      </w:r>
      <w:r w:rsidR="00030A23" w:rsidRPr="00030A23">
        <w:rPr>
          <w:lang w:val="sv-SE"/>
        </w:rPr>
        <w:t>Radio Altimeter and Wireless Aircraft Intra-Communications (WAIC) issues</w:t>
      </w:r>
    </w:p>
    <w:p w14:paraId="13AEAC9D" w14:textId="77777777" w:rsidR="00770160" w:rsidRDefault="00770160">
      <w:pPr>
        <w:pStyle w:val="Agendaitemtitle"/>
        <w:rPr>
          <w:b w:val="0"/>
          <w:lang w:val="sv-SE"/>
        </w:rPr>
      </w:pPr>
    </w:p>
    <w:p w14:paraId="2F20C160" w14:textId="77777777" w:rsidR="00770160" w:rsidRDefault="00770160">
      <w:pPr>
        <w:tabs>
          <w:tab w:val="left" w:pos="6972"/>
        </w:tabs>
        <w:rPr>
          <w:b/>
          <w:lang w:val="sv-SE"/>
        </w:rPr>
      </w:pPr>
    </w:p>
    <w:p w14:paraId="16A75E83" w14:textId="77777777" w:rsidR="00770160" w:rsidRDefault="00FB314E">
      <w:pPr>
        <w:pStyle w:val="Maintitle"/>
      </w:pPr>
      <w:r w:rsidRPr="00FB314E">
        <w:t>5G emissions and Radio Altimeters in the frequency band 4200 – 4400 MHz</w:t>
      </w:r>
    </w:p>
    <w:p w14:paraId="2DE18AE0" w14:textId="77777777" w:rsidR="00770160" w:rsidRDefault="00770160">
      <w:pPr>
        <w:tabs>
          <w:tab w:val="left" w:pos="6972"/>
        </w:tabs>
      </w:pPr>
    </w:p>
    <w:p w14:paraId="4099918F" w14:textId="77777777" w:rsidR="00770160" w:rsidRDefault="00770160">
      <w:pPr>
        <w:tabs>
          <w:tab w:val="left" w:pos="6972"/>
        </w:tabs>
      </w:pPr>
    </w:p>
    <w:p w14:paraId="5E720126" w14:textId="77777777" w:rsidR="00770160" w:rsidRDefault="00770160">
      <w:pPr>
        <w:jc w:val="center"/>
      </w:pPr>
      <w:r>
        <w:t>(Presented by</w:t>
      </w:r>
      <w:bookmarkStart w:id="1" w:name="presented_by"/>
      <w:bookmarkEnd w:id="1"/>
      <w:r>
        <w:t xml:space="preserve"> </w:t>
      </w:r>
      <w:r w:rsidR="00E874A7">
        <w:t>Alexandre GUIGNOT</w:t>
      </w:r>
      <w:r>
        <w:t>)</w:t>
      </w:r>
    </w:p>
    <w:p w14:paraId="56A305B7" w14:textId="77777777" w:rsidR="00770160" w:rsidRDefault="00770160"/>
    <w:p w14:paraId="471F216F"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8C53D7F" w14:textId="77777777">
        <w:trPr>
          <w:cantSplit/>
          <w:trHeight w:hRule="exact" w:val="480"/>
          <w:jc w:val="center"/>
        </w:trPr>
        <w:tc>
          <w:tcPr>
            <w:tcW w:w="7200" w:type="dxa"/>
            <w:vAlign w:val="center"/>
          </w:tcPr>
          <w:p w14:paraId="10528501" w14:textId="77777777" w:rsidR="00770160" w:rsidRDefault="00770160">
            <w:pPr>
              <w:jc w:val="center"/>
              <w:rPr>
                <w:sz w:val="24"/>
                <w:lang w:val="en-US"/>
              </w:rPr>
            </w:pPr>
            <w:r>
              <w:rPr>
                <w:b/>
              </w:rPr>
              <w:t>SUMMARY</w:t>
            </w:r>
          </w:p>
        </w:tc>
      </w:tr>
      <w:tr w:rsidR="00770160" w14:paraId="350B3798" w14:textId="77777777">
        <w:trPr>
          <w:cantSplit/>
          <w:jc w:val="center"/>
        </w:trPr>
        <w:tc>
          <w:tcPr>
            <w:tcW w:w="7200" w:type="dxa"/>
          </w:tcPr>
          <w:p w14:paraId="51D50B93" w14:textId="77777777" w:rsidR="00E64997" w:rsidRDefault="00B76EC7" w:rsidP="0063675E">
            <w:pPr>
              <w:jc w:val="left"/>
              <w:rPr>
                <w:rFonts w:cs="Arial"/>
                <w:color w:val="000000"/>
                <w:lang w:val="en-US"/>
              </w:rPr>
            </w:pPr>
            <w:r>
              <w:rPr>
                <w:rFonts w:cs="Arial"/>
                <w:color w:val="000000"/>
                <w:lang w:val="en-US"/>
              </w:rPr>
              <w:t xml:space="preserve">Last June 2020, ICAO secretary brought to the attention of FSMP members, a Liaison Statement informing ECC about the </w:t>
            </w:r>
            <w:r w:rsidRPr="00B76EC7">
              <w:rPr>
                <w:rFonts w:cs="Arial"/>
                <w:color w:val="000000"/>
                <w:lang w:val="en-US"/>
              </w:rPr>
              <w:t>issue of potential interference to aeronautical Radio Altimeters operating in the 4200 - 4400 MHz frequency band, caused by IMT systems currently operating or planned to operate in the frequency band 3400 - 3800 MHz</w:t>
            </w:r>
            <w:r>
              <w:rPr>
                <w:rFonts w:cs="Arial"/>
                <w:color w:val="000000"/>
                <w:lang w:val="en-US"/>
              </w:rPr>
              <w:t xml:space="preserve"> in Europe</w:t>
            </w:r>
            <w:r w:rsidRPr="00B76EC7">
              <w:rPr>
                <w:rFonts w:cs="Arial"/>
                <w:color w:val="000000"/>
                <w:lang w:val="en-US"/>
              </w:rPr>
              <w:t>.</w:t>
            </w:r>
          </w:p>
          <w:p w14:paraId="7529E974" w14:textId="77777777" w:rsidR="00B76EC7" w:rsidRDefault="00B76EC7" w:rsidP="0063675E">
            <w:pPr>
              <w:jc w:val="left"/>
              <w:rPr>
                <w:rFonts w:cs="Arial"/>
                <w:color w:val="000000"/>
                <w:lang w:val="en-US"/>
              </w:rPr>
            </w:pPr>
            <w:r>
              <w:rPr>
                <w:rFonts w:cs="Arial"/>
                <w:color w:val="000000"/>
                <w:lang w:val="en-US"/>
              </w:rPr>
              <w:t>A consolidated version was taken forward to ECC. DGAC, on behalf of the ICAO secretary presented this liaison statement.</w:t>
            </w:r>
          </w:p>
          <w:p w14:paraId="63EE0C49" w14:textId="77777777" w:rsidR="00B76EC7" w:rsidRDefault="00B76EC7" w:rsidP="0063675E">
            <w:pPr>
              <w:jc w:val="left"/>
              <w:rPr>
                <w:rFonts w:cs="Arial"/>
                <w:color w:val="000000"/>
                <w:lang w:val="en-US"/>
              </w:rPr>
            </w:pPr>
            <w:r>
              <w:rPr>
                <w:rFonts w:cs="Arial"/>
                <w:color w:val="000000"/>
                <w:lang w:val="en-US"/>
              </w:rPr>
              <w:t>This working paper will inform the group about the outcome of this discussion.</w:t>
            </w:r>
          </w:p>
          <w:p w14:paraId="3E5A442E" w14:textId="77777777" w:rsidR="00B76EC7" w:rsidRDefault="00B76EC7" w:rsidP="0063675E">
            <w:pPr>
              <w:jc w:val="left"/>
              <w:rPr>
                <w:rFonts w:cs="Arial"/>
                <w:color w:val="000000"/>
                <w:lang w:val="en-US"/>
              </w:rPr>
            </w:pPr>
            <w:r>
              <w:rPr>
                <w:rFonts w:cs="Arial"/>
                <w:color w:val="000000"/>
                <w:lang w:val="en-US"/>
              </w:rPr>
              <w:t>In particular, ICAO was invited to present a new contribution with the IMT subgroup of CEPT (PT1). In this view, DGAC prepared a contribution in Annex and invite FSMP members to review it.</w:t>
            </w:r>
          </w:p>
          <w:p w14:paraId="27F675A0" w14:textId="77777777" w:rsidR="00E64997" w:rsidRPr="00123C20" w:rsidRDefault="00E64997" w:rsidP="0063675E">
            <w:pPr>
              <w:jc w:val="left"/>
            </w:pPr>
          </w:p>
        </w:tc>
      </w:tr>
    </w:tbl>
    <w:p w14:paraId="0A608C1A" w14:textId="77777777" w:rsidR="00770160" w:rsidRDefault="00770160"/>
    <w:p w14:paraId="34EB78AB" w14:textId="77777777" w:rsidR="00770160" w:rsidRDefault="00770160"/>
    <w:p w14:paraId="48810CF1" w14:textId="77777777" w:rsidR="00770160" w:rsidRDefault="00770160" w:rsidP="00E64997">
      <w:pPr>
        <w:pStyle w:val="1Heading"/>
        <w:outlineLvl w:val="0"/>
      </w:pPr>
      <w:r>
        <w:t>INTRODUCTION</w:t>
      </w:r>
    </w:p>
    <w:p w14:paraId="19DA44B5" w14:textId="77777777" w:rsidR="00B76EC7" w:rsidRDefault="00B76EC7" w:rsidP="00B76EC7">
      <w:pPr>
        <w:spacing w:after="240"/>
        <w:rPr>
          <w:lang w:val="en-US"/>
        </w:rPr>
      </w:pPr>
      <w:r>
        <w:rPr>
          <w:lang w:val="en-US"/>
        </w:rPr>
        <w:t xml:space="preserve">Last June 2020, ICAO secretary brought to the attention of FSMP members, a Liaison Statement informing ECC about the </w:t>
      </w:r>
      <w:r w:rsidRPr="00B76EC7">
        <w:rPr>
          <w:lang w:val="en-US"/>
        </w:rPr>
        <w:t>issue of potential interference to aeronautical Radio Altimeters operating in the 4200 - 4400 MHz frequency band, caused by IMT systems currently operating or planned to operate in the frequency band 3400 - 3800 MHz</w:t>
      </w:r>
      <w:r>
        <w:rPr>
          <w:lang w:val="en-US"/>
        </w:rPr>
        <w:t xml:space="preserve"> in Europe</w:t>
      </w:r>
      <w:r w:rsidRPr="00B76EC7">
        <w:rPr>
          <w:lang w:val="en-US"/>
        </w:rPr>
        <w:t>.</w:t>
      </w:r>
    </w:p>
    <w:p w14:paraId="658A8E59" w14:textId="77777777" w:rsidR="00B76EC7" w:rsidRDefault="00B76EC7" w:rsidP="00B76EC7">
      <w:pPr>
        <w:spacing w:after="240"/>
        <w:rPr>
          <w:lang w:val="en-US"/>
        </w:rPr>
      </w:pPr>
      <w:r>
        <w:rPr>
          <w:lang w:val="en-US"/>
        </w:rPr>
        <w:t xml:space="preserve">The main issue is the fact that there is no specific limit of unwanted emissions from IMT base stations within the frequency band 4200-4400 MHz. The only </w:t>
      </w:r>
      <w:r w:rsidR="00EC5431">
        <w:rPr>
          <w:lang w:val="en-US"/>
        </w:rPr>
        <w:t xml:space="preserve">available information is contained within the </w:t>
      </w:r>
      <w:hyperlink r:id="rId7" w:history="1">
        <w:r w:rsidR="00DE3503" w:rsidRPr="00DE3503">
          <w:rPr>
            <w:rFonts w:ascii="Arial" w:eastAsia="Calibri" w:hAnsi="Arial" w:cs="Arial"/>
            <w:color w:val="0000FF"/>
            <w:sz w:val="20"/>
            <w:u w:val="single"/>
            <w:lang w:val="en-US"/>
          </w:rPr>
          <w:t>European Commission implementing Decision (EU) 2019/235</w:t>
        </w:r>
      </w:hyperlink>
      <w:r w:rsidR="00EC5431" w:rsidRPr="00EC5431">
        <w:t xml:space="preserve"> </w:t>
      </w:r>
      <w:r w:rsidR="00EC5431" w:rsidRPr="00EC5431">
        <w:rPr>
          <w:lang w:val="en-US"/>
        </w:rPr>
        <w:t xml:space="preserve">of 24 January 2019 on amending Decision 2008/411/EC </w:t>
      </w:r>
      <w:r w:rsidR="00EC5431" w:rsidRPr="00EC5431">
        <w:rPr>
          <w:lang w:val="en-US"/>
        </w:rPr>
        <w:lastRenderedPageBreak/>
        <w:t xml:space="preserve">as regards an update of relevant technical conditions applicable to the 3 400 - 3 800 MHz frequency band </w:t>
      </w:r>
      <w:r w:rsidR="00EC5431" w:rsidRPr="00EC5431">
        <w:t xml:space="preserve">defines the </w:t>
      </w:r>
      <w:r w:rsidR="00EC5431" w:rsidRPr="00EC5431">
        <w:rPr>
          <w:lang w:val="en-US"/>
        </w:rPr>
        <w:t xml:space="preserve">baseline power limits </w:t>
      </w:r>
      <w:r w:rsidR="00EC5431" w:rsidRPr="00EC5431">
        <w:t>below 3400 MHz and above 3800 MHz.</w:t>
      </w:r>
    </w:p>
    <w:p w14:paraId="0F83C7D3" w14:textId="77777777" w:rsidR="00EC5431" w:rsidRPr="00EC5431" w:rsidRDefault="00EC5431" w:rsidP="00EC5431">
      <w:pPr>
        <w:spacing w:after="240"/>
      </w:pPr>
      <w:r w:rsidRPr="00EC5431">
        <w:t xml:space="preserve">In the absence of other information, this Decision suggests that within the frequency band 4200 - 4400 MHz the EIRP limit per antenna is defined as -2dBm/5MHz (-9dBm/MHz) for non-active antennas systems (non-AAS) and the total radiated power (TRP) limit per cell is defined as -14dBm/5MHz (-21dBm/MHz) for active antenna systems (AAS). When using AAS with an assumed maximum antenna gain of 26 </w:t>
      </w:r>
      <w:proofErr w:type="spellStart"/>
      <w:r w:rsidRPr="00EC5431">
        <w:t>dBi</w:t>
      </w:r>
      <w:proofErr w:type="spellEnd"/>
      <w:r w:rsidRPr="00EC5431">
        <w:t>, the EIRP limit would reach +5 dBm/MHz.</w:t>
      </w:r>
    </w:p>
    <w:p w14:paraId="4D9594CF" w14:textId="77777777" w:rsidR="00EC5431" w:rsidRDefault="00EC5431" w:rsidP="00EC5431">
      <w:pPr>
        <w:spacing w:after="240"/>
        <w:jc w:val="center"/>
        <w:rPr>
          <w:lang w:val="en-US"/>
        </w:rPr>
      </w:pPr>
      <w:r>
        <w:rPr>
          <w:noProof/>
          <w:lang w:val="fr-FR" w:eastAsia="fr-FR"/>
        </w:rPr>
        <w:drawing>
          <wp:inline distT="0" distB="0" distL="0" distR="0" wp14:anchorId="30AC7080" wp14:editId="62649EC9">
            <wp:extent cx="5201118" cy="2262505"/>
            <wp:effectExtent l="0" t="0" r="0" b="444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07810" cy="2265416"/>
                    </a:xfrm>
                    <a:prstGeom prst="rect">
                      <a:avLst/>
                    </a:prstGeom>
                    <a:noFill/>
                    <a:ln>
                      <a:noFill/>
                    </a:ln>
                  </pic:spPr>
                </pic:pic>
              </a:graphicData>
            </a:graphic>
          </wp:inline>
        </w:drawing>
      </w:r>
      <w:r w:rsidRPr="00265290">
        <w:rPr>
          <w:sz w:val="24"/>
          <w:szCs w:val="24"/>
          <w:lang w:val="en-CA"/>
        </w:rPr>
        <w:fldChar w:fldCharType="begin"/>
      </w:r>
      <w:r>
        <w:rPr>
          <w:sz w:val="24"/>
          <w:szCs w:val="24"/>
          <w:lang w:val="en-CA"/>
        </w:rPr>
        <w:instrText xml:space="preserve"> INCLUDEPICTURE "C:\\var\\folders\\gg\\2ckz7pw53bj6sshft20pph500000gn\\T\\com.microsoft.Word\\WebArchiveCopyPasteTempFiles\\cidpart1.6C5F66F8.0BE75ADD@aviation-civile.gouv.fr" \* MERGEFORMAT </w:instrText>
      </w:r>
      <w:r w:rsidRPr="00265290">
        <w:rPr>
          <w:sz w:val="24"/>
          <w:szCs w:val="24"/>
          <w:lang w:val="en-CA"/>
        </w:rPr>
        <w:fldChar w:fldCharType="end"/>
      </w:r>
    </w:p>
    <w:p w14:paraId="7E7ABB03" w14:textId="77777777" w:rsidR="00EC5431" w:rsidRPr="00EC5431" w:rsidRDefault="00EC5431" w:rsidP="00EC5431">
      <w:pPr>
        <w:spacing w:after="240"/>
        <w:rPr>
          <w:szCs w:val="22"/>
        </w:rPr>
      </w:pPr>
      <w:r w:rsidRPr="00EC5431">
        <w:rPr>
          <w:szCs w:val="22"/>
        </w:rPr>
        <w:t xml:space="preserve">Preliminary studies using the operational and technical characteristics contained in </w:t>
      </w:r>
      <w:hyperlink r:id="rId10" w:history="1">
        <w:r w:rsidRPr="00EC5431">
          <w:rPr>
            <w:szCs w:val="22"/>
          </w:rPr>
          <w:t>ITU-R Recommendation M.2059</w:t>
        </w:r>
      </w:hyperlink>
      <w:r w:rsidRPr="00EC5431">
        <w:rPr>
          <w:szCs w:val="22"/>
        </w:rPr>
        <w:t xml:space="preserve"> show that with the out-of-band emission limits above being applied:</w:t>
      </w:r>
    </w:p>
    <w:p w14:paraId="45655EEC" w14:textId="77777777" w:rsidR="00EC5431" w:rsidRPr="00EC5431" w:rsidRDefault="00EC5431" w:rsidP="00EC5431">
      <w:pPr>
        <w:pStyle w:val="ListParagraph"/>
        <w:numPr>
          <w:ilvl w:val="0"/>
          <w:numId w:val="14"/>
        </w:numPr>
        <w:spacing w:after="240"/>
        <w:rPr>
          <w:rFonts w:ascii="Times New Roman" w:hAnsi="Times New Roman"/>
          <w:sz w:val="22"/>
        </w:rPr>
      </w:pPr>
      <w:r w:rsidRPr="00EC5431">
        <w:rPr>
          <w:rFonts w:ascii="Times New Roman" w:hAnsi="Times New Roman"/>
          <w:sz w:val="22"/>
        </w:rPr>
        <w:t>For an AAS, a separation distance of more than 27 km is required (applying a 6dB safety margin, for informational purposes: more than 13 km without any safety margin being applied); and</w:t>
      </w:r>
    </w:p>
    <w:p w14:paraId="5CF74EE3" w14:textId="77777777" w:rsidR="00EC5431" w:rsidRPr="00EC5431" w:rsidRDefault="00DE3503" w:rsidP="00EC5431">
      <w:pPr>
        <w:pStyle w:val="ListParagraph"/>
        <w:numPr>
          <w:ilvl w:val="0"/>
          <w:numId w:val="14"/>
        </w:numPr>
        <w:spacing w:after="240"/>
        <w:rPr>
          <w:rFonts w:ascii="Times New Roman" w:hAnsi="Times New Roman"/>
          <w:sz w:val="22"/>
        </w:rPr>
      </w:pPr>
      <w:r>
        <w:rPr>
          <w:rFonts w:ascii="Times New Roman" w:hAnsi="Times New Roman"/>
          <w:sz w:val="22"/>
        </w:rPr>
        <w:t>F</w:t>
      </w:r>
      <w:r w:rsidR="00EC5431" w:rsidRPr="00EC5431">
        <w:rPr>
          <w:rFonts w:ascii="Times New Roman" w:hAnsi="Times New Roman"/>
          <w:sz w:val="22"/>
        </w:rPr>
        <w:t>or a non-AAS, more than 5.5 km (applying a 6dB safety margin, for informational purposes: more than 2.7 km without any safety margin being applied).</w:t>
      </w:r>
    </w:p>
    <w:p w14:paraId="169A3B6D" w14:textId="77777777" w:rsidR="00B76EC7" w:rsidRPr="00EC5431" w:rsidRDefault="00B76EC7" w:rsidP="00EC5431">
      <w:pPr>
        <w:spacing w:after="240"/>
      </w:pPr>
      <w:r w:rsidRPr="00EC5431">
        <w:t>One will find in Annex the original text sent to ECC.</w:t>
      </w:r>
    </w:p>
    <w:p w14:paraId="35E679B9" w14:textId="77777777" w:rsidR="00770160" w:rsidRDefault="004763D2" w:rsidP="00E64997">
      <w:pPr>
        <w:pStyle w:val="1Heading"/>
        <w:outlineLvl w:val="0"/>
      </w:pPr>
      <w:r>
        <w:t>Outcome of the discussion during ECC plenary</w:t>
      </w:r>
    </w:p>
    <w:p w14:paraId="65D87FBA" w14:textId="77777777" w:rsidR="004763D2" w:rsidRDefault="004763D2" w:rsidP="004763D2">
      <w:pPr>
        <w:pStyle w:val="2para"/>
        <w:rPr>
          <w:lang w:val="en-US"/>
        </w:rPr>
      </w:pPr>
      <w:r>
        <w:t>The ECC plenary was held on June 29</w:t>
      </w:r>
      <w:r w:rsidRPr="004763D2">
        <w:rPr>
          <w:vertAlign w:val="superscript"/>
        </w:rPr>
        <w:t>th</w:t>
      </w:r>
      <w:r>
        <w:t xml:space="preserve"> to July 3</w:t>
      </w:r>
      <w:r w:rsidRPr="004763D2">
        <w:rPr>
          <w:vertAlign w:val="superscript"/>
        </w:rPr>
        <w:t>rd</w:t>
      </w:r>
      <w:r>
        <w:t xml:space="preserve"> 2020. </w:t>
      </w:r>
      <w:r w:rsidRPr="004763D2">
        <w:rPr>
          <w:lang w:val="en-US"/>
        </w:rPr>
        <w:t>The information document (</w:t>
      </w:r>
      <w:hyperlink r:id="rId11" w:history="1">
        <w:r w:rsidRPr="004763D2">
          <w:rPr>
            <w:color w:val="0000FF"/>
            <w:u w:val="single"/>
            <w:lang w:val="en-US"/>
          </w:rPr>
          <w:t>ECC(20)INFO 06</w:t>
        </w:r>
      </w:hyperlink>
      <w:r w:rsidRPr="004763D2">
        <w:rPr>
          <w:lang w:val="en-US"/>
        </w:rPr>
        <w:t xml:space="preserve">) was presented by DGAC on </w:t>
      </w:r>
      <w:r>
        <w:rPr>
          <w:lang w:val="en-US"/>
        </w:rPr>
        <w:t xml:space="preserve">behalf of ICAO (unable to attend the meeting due to the </w:t>
      </w:r>
      <w:r w:rsidRPr="004763D2">
        <w:rPr>
          <w:lang w:val="en-US"/>
        </w:rPr>
        <w:t xml:space="preserve">national bank holiday </w:t>
      </w:r>
      <w:r>
        <w:rPr>
          <w:lang w:val="en-US"/>
        </w:rPr>
        <w:t>in Canada)</w:t>
      </w:r>
      <w:r w:rsidRPr="004763D2">
        <w:rPr>
          <w:lang w:val="en-US"/>
        </w:rPr>
        <w:t xml:space="preserve"> </w:t>
      </w:r>
      <w:r>
        <w:rPr>
          <w:lang w:val="en-US"/>
        </w:rPr>
        <w:t xml:space="preserve">on </w:t>
      </w:r>
      <w:r w:rsidRPr="004763D2">
        <w:rPr>
          <w:lang w:val="en-US"/>
        </w:rPr>
        <w:t>July 1</w:t>
      </w:r>
      <w:r w:rsidRPr="004763D2">
        <w:rPr>
          <w:vertAlign w:val="superscript"/>
          <w:lang w:val="en-US"/>
        </w:rPr>
        <w:t>st</w:t>
      </w:r>
      <w:r>
        <w:rPr>
          <w:lang w:val="en-US"/>
        </w:rPr>
        <w:t>.</w:t>
      </w:r>
    </w:p>
    <w:p w14:paraId="3DA8F463" w14:textId="77777777" w:rsidR="004763D2" w:rsidRDefault="004763D2" w:rsidP="004763D2">
      <w:pPr>
        <w:pStyle w:val="2para"/>
        <w:rPr>
          <w:lang w:val="en-US"/>
        </w:rPr>
      </w:pPr>
      <w:r>
        <w:rPr>
          <w:lang w:val="en-US"/>
        </w:rPr>
        <w:t xml:space="preserve">During this discussion, </w:t>
      </w:r>
      <w:r w:rsidR="00DE3503">
        <w:rPr>
          <w:lang w:val="en-US"/>
        </w:rPr>
        <w:t xml:space="preserve">we received the comment that there will be a need to know all the characteristics of the Radioaltimeters. However, we believe that the recommendation </w:t>
      </w:r>
      <w:hyperlink r:id="rId12" w:history="1">
        <w:r w:rsidR="00DE3503" w:rsidRPr="00DE3503">
          <w:rPr>
            <w:rStyle w:val="Hyperlink"/>
            <w:lang w:val="en-US"/>
          </w:rPr>
          <w:t>ITU-R M.2059</w:t>
        </w:r>
      </w:hyperlink>
      <w:r w:rsidR="00DE3503">
        <w:rPr>
          <w:lang w:val="en-US"/>
        </w:rPr>
        <w:t xml:space="preserve"> already covers this point.</w:t>
      </w:r>
    </w:p>
    <w:p w14:paraId="15B4506F" w14:textId="77777777" w:rsidR="00DE3503" w:rsidRDefault="00DE3503" w:rsidP="004763D2">
      <w:pPr>
        <w:pStyle w:val="2para"/>
        <w:rPr>
          <w:rFonts w:ascii="Arial" w:eastAsia="Calibri" w:hAnsi="Arial" w:cs="Arial"/>
          <w:color w:val="0000FF"/>
          <w:sz w:val="20"/>
          <w:u w:val="single"/>
          <w:lang w:val="en-US"/>
        </w:rPr>
      </w:pPr>
      <w:r>
        <w:rPr>
          <w:lang w:val="en-US"/>
        </w:rPr>
        <w:t xml:space="preserve">The discussion also focused on the </w:t>
      </w:r>
      <w:hyperlink r:id="rId13" w:history="1">
        <w:r w:rsidRPr="00DE3503">
          <w:rPr>
            <w:rStyle w:val="Hyperlink"/>
          </w:rPr>
          <w:t>ECC/DEC</w:t>
        </w:r>
        <w:proofErr w:type="gramStart"/>
        <w:r w:rsidRPr="00DE3503">
          <w:rPr>
            <w:rStyle w:val="Hyperlink"/>
          </w:rPr>
          <w:t>/(</w:t>
        </w:r>
        <w:proofErr w:type="gramEnd"/>
        <w:r w:rsidRPr="00DE3503">
          <w:rPr>
            <w:rStyle w:val="Hyperlink"/>
          </w:rPr>
          <w:t>11)06</w:t>
        </w:r>
      </w:hyperlink>
      <w:r>
        <w:rPr>
          <w:lang w:val="en-US"/>
        </w:rPr>
        <w:t xml:space="preserve">. But it didn’t help, as more likely, this ECC decision is based on the </w:t>
      </w:r>
      <w:hyperlink r:id="rId14" w:history="1">
        <w:r w:rsidRPr="00DE3503">
          <w:rPr>
            <w:rFonts w:ascii="Arial" w:eastAsia="Calibri" w:hAnsi="Arial" w:cs="Arial"/>
            <w:color w:val="0000FF"/>
            <w:sz w:val="20"/>
            <w:u w:val="single"/>
            <w:lang w:val="en-US"/>
          </w:rPr>
          <w:t>European Commission implementing Decision (EU) 2019/235</w:t>
        </w:r>
      </w:hyperlink>
      <w:r>
        <w:rPr>
          <w:rFonts w:ascii="Arial" w:eastAsia="Calibri" w:hAnsi="Arial" w:cs="Arial"/>
          <w:color w:val="0000FF"/>
          <w:sz w:val="20"/>
          <w:u w:val="single"/>
          <w:lang w:val="en-US"/>
        </w:rPr>
        <w:t>.</w:t>
      </w:r>
    </w:p>
    <w:p w14:paraId="417E7D54" w14:textId="77777777" w:rsidR="00DE3503" w:rsidRDefault="00DE3503" w:rsidP="00E22059">
      <w:pPr>
        <w:pStyle w:val="2para"/>
        <w:rPr>
          <w:lang w:val="en-US"/>
        </w:rPr>
      </w:pPr>
      <w:r>
        <w:rPr>
          <w:lang w:val="en-US"/>
        </w:rPr>
        <w:lastRenderedPageBreak/>
        <w:t>An administration pointed out the lack of information from IMT community, in particular the effective bandwidth value will help to know whether unwanted emissions falling within the frequency band 4.2-4.4 GHz are part of the spurious domain or not.</w:t>
      </w:r>
    </w:p>
    <w:p w14:paraId="2C9AD28A" w14:textId="77777777" w:rsidR="00DE3503" w:rsidRDefault="00DE3503" w:rsidP="00E22059">
      <w:pPr>
        <w:pStyle w:val="2para"/>
        <w:rPr>
          <w:lang w:val="en-US"/>
        </w:rPr>
      </w:pPr>
      <w:r>
        <w:rPr>
          <w:lang w:val="en-US"/>
        </w:rPr>
        <w:t>Finally, the group decided to bring the question to PT1. This group will assess whether there is an issue or not. On this matter, ICAO was invited to contribute to the next ECC PT1 meeting that will be held on September 1</w:t>
      </w:r>
      <w:r w:rsidRPr="00E22059">
        <w:rPr>
          <w:lang w:val="en-US"/>
        </w:rPr>
        <w:t>st</w:t>
      </w:r>
      <w:r>
        <w:rPr>
          <w:lang w:val="en-US"/>
        </w:rPr>
        <w:t xml:space="preserve"> to the 3</w:t>
      </w:r>
      <w:r w:rsidRPr="00E22059">
        <w:rPr>
          <w:lang w:val="en-US"/>
        </w:rPr>
        <w:t>rd</w:t>
      </w:r>
      <w:r>
        <w:rPr>
          <w:lang w:val="en-US"/>
        </w:rPr>
        <w:t xml:space="preserve"> 2020.</w:t>
      </w:r>
    </w:p>
    <w:p w14:paraId="4A8BB580" w14:textId="77777777" w:rsidR="00E22059" w:rsidRDefault="00E22059" w:rsidP="00E22059">
      <w:pPr>
        <w:pStyle w:val="2para"/>
        <w:rPr>
          <w:lang w:val="en-US"/>
        </w:rPr>
      </w:pPr>
      <w:r>
        <w:rPr>
          <w:lang w:val="en-US"/>
        </w:rPr>
        <w:t>The final minutes of the ECC meeting reported the following:</w:t>
      </w:r>
    </w:p>
    <w:p w14:paraId="6CBEC045" w14:textId="77777777" w:rsidR="00E22059" w:rsidRPr="00E22059" w:rsidRDefault="00E22059" w:rsidP="00E22059">
      <w:pPr>
        <w:spacing w:after="120"/>
        <w:rPr>
          <w:i/>
          <w:lang w:val="en-US"/>
        </w:rPr>
      </w:pPr>
      <w:r w:rsidRPr="00E22059">
        <w:rPr>
          <w:i/>
          <w:lang w:val="en-US"/>
        </w:rPr>
        <w:t xml:space="preserve">Document </w:t>
      </w:r>
      <w:proofErr w:type="gramStart"/>
      <w:r w:rsidRPr="00E22059">
        <w:rPr>
          <w:i/>
          <w:lang w:val="en-US"/>
        </w:rPr>
        <w:t>ECC(</w:t>
      </w:r>
      <w:proofErr w:type="gramEnd"/>
      <w:r w:rsidRPr="00E22059">
        <w:rPr>
          <w:i/>
          <w:lang w:val="en-US"/>
        </w:rPr>
        <w:t>20)INFO 06 from ICAO was introduced by France. This highlighted concerns about potential interference from 5G MFCN unwanted emissions to Radio Altimeters in the frequency band 4200 – 4400 MHz. It was generally considered that this issue should be looked at in ECC PT1 to see if any action is needed.</w:t>
      </w:r>
    </w:p>
    <w:p w14:paraId="6CE30FEC" w14:textId="77777777" w:rsidR="00E22059" w:rsidRPr="00E22059" w:rsidRDefault="00E22059" w:rsidP="00E22059">
      <w:pPr>
        <w:spacing w:after="120"/>
        <w:rPr>
          <w:i/>
          <w:lang w:val="en-US"/>
        </w:rPr>
      </w:pPr>
      <w:r w:rsidRPr="00E22059">
        <w:rPr>
          <w:i/>
          <w:lang w:val="en-US"/>
        </w:rPr>
        <w:t>It was noted that ICAO was not able to find all the information about channel bandwidth of MFCN systems in 3400-3800 MHz and has assumed that the limit in block edge mask in ECC Decision (11)06 and Decision (EU) 2019/235 applies in the 4200 – 4400 MHz band. Participants noted that depending on the channel bandwidth of the MFCN system, the lower spurious emission limits in ERC Recommendation 74-01 may apply. It was also noted that it could be useful for ICAO to provide further information on radio altimeter characteristics and usage scenarios.</w:t>
      </w:r>
    </w:p>
    <w:p w14:paraId="5DE6D07C" w14:textId="77777777" w:rsidR="00E22059" w:rsidRPr="00E22059" w:rsidRDefault="00E22059" w:rsidP="00E22059">
      <w:pPr>
        <w:spacing w:after="120"/>
        <w:rPr>
          <w:i/>
          <w:lang w:val="en-US"/>
        </w:rPr>
      </w:pPr>
      <w:r w:rsidRPr="00E22059">
        <w:rPr>
          <w:i/>
          <w:lang w:val="en-US"/>
        </w:rPr>
        <w:t xml:space="preserve">ICAO were invited to contribute to the next ECC PT1 on this issue; ECC PT1 should then consider if there is an issue and report back to ECC. It was suggested that it could be beneficial to update the </w:t>
      </w:r>
      <w:proofErr w:type="gramStart"/>
      <w:r w:rsidRPr="00E22059">
        <w:rPr>
          <w:i/>
          <w:lang w:val="en-US"/>
        </w:rPr>
        <w:t>ECC(</w:t>
      </w:r>
      <w:proofErr w:type="gramEnd"/>
      <w:r w:rsidRPr="00E22059">
        <w:rPr>
          <w:i/>
          <w:lang w:val="en-US"/>
        </w:rPr>
        <w:t>20)INFO 06 with complete information.</w:t>
      </w:r>
    </w:p>
    <w:p w14:paraId="7AD919B5" w14:textId="77777777" w:rsidR="00BF3EEE" w:rsidRDefault="00DE3503" w:rsidP="00E64997">
      <w:pPr>
        <w:pStyle w:val="1Heading"/>
        <w:outlineLvl w:val="0"/>
      </w:pPr>
      <w:r>
        <w:t>Contribution proposal at ECC PT1</w:t>
      </w:r>
    </w:p>
    <w:p w14:paraId="75BC2DD6" w14:textId="77777777" w:rsidR="00CA0E7A" w:rsidRDefault="00CA0E7A" w:rsidP="00CA0E7A">
      <w:pPr>
        <w:pStyle w:val="2para"/>
      </w:pPr>
      <w:r>
        <w:t>As ECC PT1 will have to determine, whether there is an issue or not, we believe that the ICAO contribution should focus on the definition of the relevant scenario and the protection criteria applicable for the protection of the radioaltimeters (ITU-R M.2059).</w:t>
      </w:r>
    </w:p>
    <w:p w14:paraId="4F3758F6" w14:textId="77777777" w:rsidR="00CA0E7A" w:rsidRPr="00CA0E7A" w:rsidRDefault="00CA0E7A" w:rsidP="00CA0E7A">
      <w:pPr>
        <w:pStyle w:val="2para"/>
      </w:pPr>
      <w:r>
        <w:t xml:space="preserve">The contribution that one can find in Annex 2 </w:t>
      </w:r>
      <w:r w:rsidR="00E4683E">
        <w:t>was</w:t>
      </w:r>
      <w:r>
        <w:t xml:space="preserve"> written with this aim.</w:t>
      </w:r>
    </w:p>
    <w:p w14:paraId="195CB6B4" w14:textId="77777777" w:rsidR="00770160" w:rsidRDefault="00770160" w:rsidP="00E64997">
      <w:pPr>
        <w:pStyle w:val="1Heading"/>
        <w:outlineLvl w:val="0"/>
      </w:pPr>
      <w:r>
        <w:t>ACTION BY THE MEETING</w:t>
      </w:r>
    </w:p>
    <w:p w14:paraId="14D9C8FF" w14:textId="77777777" w:rsidR="00770160" w:rsidRDefault="00E64997" w:rsidP="00E64997">
      <w:pPr>
        <w:pStyle w:val="2para"/>
        <w:numPr>
          <w:ilvl w:val="0"/>
          <w:numId w:val="0"/>
        </w:numPr>
        <w:outlineLvl w:val="9"/>
      </w:pPr>
      <w:r>
        <w:tab/>
      </w:r>
      <w:r w:rsidR="00770160">
        <w:t>The meeting is invited to:</w:t>
      </w:r>
    </w:p>
    <w:p w14:paraId="02009B8F" w14:textId="77777777" w:rsidR="00770160" w:rsidRDefault="00770160">
      <w:pPr>
        <w:pStyle w:val="Listabc"/>
      </w:pPr>
      <w:r>
        <w:rPr>
          <w:lang w:val="en-GB"/>
        </w:rPr>
        <w:t>n</w:t>
      </w:r>
      <w:r>
        <w:t>ote and review the contents of this working paper;</w:t>
      </w:r>
    </w:p>
    <w:p w14:paraId="6C5C63E9" w14:textId="77777777" w:rsidR="00602DE9" w:rsidRDefault="00CA0E7A">
      <w:pPr>
        <w:pStyle w:val="Listabc"/>
      </w:pPr>
      <w:r>
        <w:t>Review the ICAO contribution for ECC PT1.</w:t>
      </w:r>
    </w:p>
    <w:p w14:paraId="2F71CCDF" w14:textId="77777777" w:rsidR="00A12CBA" w:rsidRDefault="00770160">
      <w:pPr>
        <w:spacing w:before="600"/>
        <w:jc w:val="center"/>
      </w:pPr>
      <w:r>
        <w:t>— END —</w:t>
      </w:r>
    </w:p>
    <w:p w14:paraId="3BCD4EB8" w14:textId="77777777" w:rsidR="004763D2" w:rsidRDefault="00EC5431">
      <w:pPr>
        <w:spacing w:before="600"/>
        <w:jc w:val="center"/>
      </w:pPr>
      <w:r>
        <w:t>ANNEX 1: Original LS to ECC</w:t>
      </w:r>
    </w:p>
    <w:p w14:paraId="4E51BC2A" w14:textId="77777777" w:rsidR="00EC5431" w:rsidRDefault="00EC5431">
      <w:pPr>
        <w:spacing w:before="600"/>
        <w:jc w:val="center"/>
      </w:pPr>
      <w:r>
        <w:t xml:space="preserve">ANNEX 2: Contribution </w:t>
      </w:r>
      <w:r w:rsidR="003D181B">
        <w:t>Proposal</w:t>
      </w:r>
      <w:r>
        <w:t xml:space="preserve"> to ECC PT1</w:t>
      </w:r>
    </w:p>
    <w:sectPr w:rsidR="00EC5431">
      <w:headerReference w:type="even" r:id="rId15"/>
      <w:head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98C1F" w14:textId="77777777" w:rsidR="009050DE" w:rsidRDefault="009050DE">
      <w:r>
        <w:separator/>
      </w:r>
    </w:p>
  </w:endnote>
  <w:endnote w:type="continuationSeparator" w:id="0">
    <w:p w14:paraId="5524D4CF" w14:textId="77777777" w:rsidR="009050DE" w:rsidRDefault="0090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2F89"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30A23">
      <w:rPr>
        <w:noProof/>
        <w:sz w:val="18"/>
        <w:lang w:val="fr-FR"/>
      </w:rPr>
      <w:t>3</w:t>
    </w:r>
    <w:r>
      <w:rPr>
        <w:sz w:val="18"/>
        <w:lang w:val="en-US"/>
      </w:rPr>
      <w:fldChar w:fldCharType="end"/>
    </w:r>
    <w:r>
      <w:rPr>
        <w:sz w:val="18"/>
        <w:lang w:val="fr-FR"/>
      </w:rPr>
      <w:t xml:space="preserve"> pages)</w:t>
    </w:r>
  </w:p>
  <w:p w14:paraId="6EEA7FD8" w14:textId="4D234731"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36011">
      <w:rPr>
        <w:noProof/>
        <w:sz w:val="18"/>
        <w:lang w:val="en-US"/>
      </w:rPr>
      <w:t>FSMP-WG10-WP13_RA CEPT PT1_r1.docx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6006B" w14:textId="77777777" w:rsidR="009050DE" w:rsidRDefault="009050DE">
      <w:r>
        <w:separator/>
      </w:r>
    </w:p>
  </w:footnote>
  <w:footnote w:type="continuationSeparator" w:id="0">
    <w:p w14:paraId="0F06F8B8" w14:textId="77777777" w:rsidR="009050DE" w:rsidRDefault="0090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A10A" w14:textId="5B7A1E04" w:rsidR="00770160" w:rsidRDefault="000D26D5" w:rsidP="00F56F90">
    <w:pPr>
      <w:tabs>
        <w:tab w:val="center" w:pos="4876"/>
      </w:tabs>
      <w:spacing w:after="600"/>
    </w:pPr>
    <w:r>
      <w:t>FS</w:t>
    </w:r>
    <w:r w:rsidR="00725205">
      <w:t>MP</w:t>
    </w:r>
    <w:r w:rsidR="007E6A06">
      <w:t>-WG</w:t>
    </w:r>
    <w:r w:rsidR="00770160">
      <w:t>/</w:t>
    </w:r>
    <w:r w:rsidR="00B36011">
      <w:t>10</w:t>
    </w:r>
    <w:r w:rsidR="007E6A06">
      <w:t xml:space="preserve"> </w:t>
    </w:r>
    <w:r w:rsidR="00770160">
      <w:t>WP/</w:t>
    </w:r>
    <w:r w:rsidR="00B36011">
      <w:t>13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30A23">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CB9C" w14:textId="0220AC08" w:rsidR="00770160" w:rsidRDefault="00770160" w:rsidP="00F56F9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30A23">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36011">
      <w:t>10</w:t>
    </w:r>
    <w:r w:rsidR="007E6A06">
      <w:t xml:space="preserve"> </w:t>
    </w:r>
    <w:r>
      <w:t>WP/</w:t>
    </w:r>
    <w:r w:rsidR="00B36011">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4CAB6A95" w14:textId="77777777" w:rsidTr="00664C07">
      <w:trPr>
        <w:trHeight w:val="1790"/>
      </w:trPr>
      <w:tc>
        <w:tcPr>
          <w:tcW w:w="1915" w:type="dxa"/>
          <w:shd w:val="clear" w:color="auto" w:fill="FFFFFF"/>
        </w:tcPr>
        <w:p w14:paraId="320A0F94" w14:textId="77777777" w:rsidR="00920C27" w:rsidRDefault="00254FC0" w:rsidP="00664C07">
          <w:bookmarkStart w:id="2" w:name="logo"/>
          <w:r>
            <w:rPr>
              <w:noProof/>
              <w:lang w:val="fr-FR" w:eastAsia="fr-FR"/>
            </w:rPr>
            <w:drawing>
              <wp:inline distT="0" distB="0" distL="0" distR="0" wp14:anchorId="756FAAD2" wp14:editId="57F93180">
                <wp:extent cx="1089025" cy="874395"/>
                <wp:effectExtent l="0" t="0" r="0" b="1905"/>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2"/>
        </w:p>
      </w:tc>
      <w:tc>
        <w:tcPr>
          <w:tcW w:w="3895" w:type="dxa"/>
          <w:shd w:val="clear" w:color="auto" w:fill="FFFFFF"/>
          <w:tcMar>
            <w:right w:w="0" w:type="dxa"/>
          </w:tcMar>
        </w:tcPr>
        <w:p w14:paraId="47046CF8" w14:textId="77777777" w:rsidR="00920C27" w:rsidRPr="00066AB7" w:rsidRDefault="00254FC0" w:rsidP="00664C07">
          <w:pPr>
            <w:rPr>
              <w:rFonts w:ascii="Arial" w:hAnsi="Arial" w:cs="Arial"/>
              <w:szCs w:val="22"/>
            </w:rPr>
          </w:pPr>
          <w:r>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0DECD50B" wp14:editId="51B5BCCB">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0FD53585"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172F77A" w14:textId="77777777" w:rsidR="00920C27" w:rsidRPr="00066AB7" w:rsidRDefault="00920C27" w:rsidP="00664C07">
          <w:pPr>
            <w:rPr>
              <w:rFonts w:ascii="Arial" w:hAnsi="Arial" w:cs="Arial"/>
              <w:szCs w:val="22"/>
            </w:rPr>
          </w:pPr>
        </w:p>
        <w:p w14:paraId="328CB3BA"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76609161" w14:textId="77777777" w:rsidTr="00664C07">
            <w:trPr>
              <w:jc w:val="right"/>
            </w:trPr>
            <w:tc>
              <w:tcPr>
                <w:tcW w:w="0" w:type="auto"/>
              </w:tcPr>
              <w:p w14:paraId="5AD7A715" w14:textId="5A93CBC2" w:rsidR="00920C27" w:rsidRPr="00066AB7" w:rsidRDefault="000D26D5" w:rsidP="00B36011">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6F36AD">
                  <w:rPr>
                    <w:szCs w:val="22"/>
                  </w:rPr>
                  <w:t>10</w:t>
                </w:r>
                <w:r w:rsidR="007E6A06">
                  <w:rPr>
                    <w:szCs w:val="22"/>
                  </w:rPr>
                  <w:t xml:space="preserve"> </w:t>
                </w:r>
                <w:r w:rsidR="00920C27" w:rsidRPr="00066AB7">
                  <w:rPr>
                    <w:szCs w:val="22"/>
                  </w:rPr>
                  <w:t>WP/</w:t>
                </w:r>
                <w:bookmarkEnd w:id="3"/>
                <w:r w:rsidR="00B36011">
                  <w:rPr>
                    <w:szCs w:val="22"/>
                  </w:rPr>
                  <w:t>13</w:t>
                </w:r>
              </w:p>
              <w:p w14:paraId="1E31C508" w14:textId="6CDDC71E" w:rsidR="00920C27" w:rsidRPr="00B36011" w:rsidRDefault="00B36011" w:rsidP="00B36011">
                <w:pPr>
                  <w:framePr w:hSpace="180" w:wrap="around" w:vAnchor="text" w:hAnchor="text" w:y="1"/>
                  <w:suppressOverlap/>
                  <w:jc w:val="left"/>
                  <w:rPr>
                    <w:bCs/>
                  </w:rPr>
                </w:pPr>
                <w:bookmarkStart w:id="4" w:name="restricted"/>
                <w:bookmarkStart w:id="5" w:name="addendum_corrigendum_appendix"/>
                <w:bookmarkStart w:id="6" w:name="revision_no"/>
                <w:bookmarkStart w:id="7" w:name="revision_date"/>
                <w:bookmarkStart w:id="8" w:name="related_to"/>
                <w:bookmarkStart w:id="9" w:name="info_paper"/>
                <w:bookmarkEnd w:id="4"/>
                <w:bookmarkEnd w:id="5"/>
                <w:bookmarkEnd w:id="6"/>
                <w:bookmarkEnd w:id="7"/>
                <w:bookmarkEnd w:id="8"/>
                <w:bookmarkEnd w:id="9"/>
                <w:r w:rsidRPr="00B36011">
                  <w:rPr>
                    <w:bCs/>
                  </w:rPr>
                  <w:t>2020-08-12</w:t>
                </w:r>
              </w:p>
            </w:tc>
          </w:tr>
          <w:tr w:rsidR="00920C27" w14:paraId="75452AF4" w14:textId="77777777" w:rsidTr="00664C07">
            <w:trPr>
              <w:jc w:val="right"/>
            </w:trPr>
            <w:tc>
              <w:tcPr>
                <w:tcW w:w="0" w:type="auto"/>
              </w:tcPr>
              <w:p w14:paraId="71B62F65" w14:textId="77777777" w:rsidR="00920C27" w:rsidRPr="00066AB7" w:rsidRDefault="00920C27" w:rsidP="00B36011">
                <w:pPr>
                  <w:framePr w:hSpace="180" w:wrap="around" w:vAnchor="text" w:hAnchor="text" w:y="1"/>
                  <w:suppressOverlap/>
                  <w:jc w:val="left"/>
                  <w:rPr>
                    <w:szCs w:val="22"/>
                  </w:rPr>
                </w:pPr>
              </w:p>
            </w:tc>
          </w:tr>
        </w:tbl>
        <w:p w14:paraId="798DB6D1"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724BD4E" w14:textId="77777777" w:rsidR="00770160" w:rsidRDefault="00A12CBA">
    <w:pPr>
      <w:pStyle w:val="3para"/>
      <w:numPr>
        <w:ilvl w:val="0"/>
        <w:numId w:val="0"/>
      </w:numPr>
      <w:tabs>
        <w:tab w:val="left" w:pos="6480"/>
      </w:tabs>
      <w:spacing w:after="0"/>
      <w:outlineLvl w:val="9"/>
    </w:pPr>
    <w:r>
      <w:tab/>
      <w:t>ATMRPP-WG/WHL/4</w:t>
    </w:r>
    <w:r w:rsidR="00770160">
      <w:t>-WP/</w:t>
    </w:r>
  </w:p>
  <w:p w14:paraId="077F37C0" w14:textId="77777777" w:rsidR="00770160" w:rsidRDefault="00A12CBA">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8D63DB"/>
    <w:multiLevelType w:val="hybridMultilevel"/>
    <w:tmpl w:val="31F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38E2"/>
    <w:multiLevelType w:val="hybridMultilevel"/>
    <w:tmpl w:val="D2301A18"/>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5DCF18D3"/>
    <w:multiLevelType w:val="hybridMultilevel"/>
    <w:tmpl w:val="1D30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69AF392D"/>
    <w:multiLevelType w:val="hybridMultilevel"/>
    <w:tmpl w:val="2ED4E3E6"/>
    <w:lvl w:ilvl="0" w:tplc="040C0001">
      <w:start w:val="1"/>
      <w:numFmt w:val="bullet"/>
      <w:lvlText w:val=""/>
      <w:lvlJc w:val="left"/>
      <w:pPr>
        <w:ind w:left="1440" w:hanging="360"/>
      </w:pPr>
      <w:rPr>
        <w:rFonts w:ascii="Symbol" w:hAnsi="Symbol" w:hint="default"/>
      </w:rPr>
    </w:lvl>
    <w:lvl w:ilvl="1" w:tplc="A928CC76">
      <w:numFmt w:val="bullet"/>
      <w:lvlText w:val="•"/>
      <w:lvlJc w:val="left"/>
      <w:pPr>
        <w:ind w:left="2160" w:hanging="360"/>
      </w:pPr>
      <w:rPr>
        <w:rFonts w:ascii="Times New Roman" w:eastAsia="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B98538A"/>
    <w:multiLevelType w:val="hybridMultilevel"/>
    <w:tmpl w:val="4F2E1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4"/>
  </w:num>
  <w:num w:numId="10">
    <w:abstractNumId w:val="4"/>
  </w:num>
  <w:num w:numId="11">
    <w:abstractNumId w:val="4"/>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160"/>
    <w:rsid w:val="000273D2"/>
    <w:rsid w:val="00030A23"/>
    <w:rsid w:val="000871A9"/>
    <w:rsid w:val="000D26D5"/>
    <w:rsid w:val="000E218A"/>
    <w:rsid w:val="000E78EA"/>
    <w:rsid w:val="00106FF7"/>
    <w:rsid w:val="00123C20"/>
    <w:rsid w:val="001471A4"/>
    <w:rsid w:val="0018016C"/>
    <w:rsid w:val="00196709"/>
    <w:rsid w:val="001A0084"/>
    <w:rsid w:val="001F69EF"/>
    <w:rsid w:val="00240598"/>
    <w:rsid w:val="00242057"/>
    <w:rsid w:val="00247545"/>
    <w:rsid w:val="00252149"/>
    <w:rsid w:val="00254FC0"/>
    <w:rsid w:val="002E5A18"/>
    <w:rsid w:val="00323450"/>
    <w:rsid w:val="00352DFE"/>
    <w:rsid w:val="00356308"/>
    <w:rsid w:val="00360EF3"/>
    <w:rsid w:val="00366FBE"/>
    <w:rsid w:val="0037215C"/>
    <w:rsid w:val="00385981"/>
    <w:rsid w:val="003B1B26"/>
    <w:rsid w:val="003D181B"/>
    <w:rsid w:val="003D7FD8"/>
    <w:rsid w:val="004015B9"/>
    <w:rsid w:val="00423C6F"/>
    <w:rsid w:val="004367DF"/>
    <w:rsid w:val="004735BC"/>
    <w:rsid w:val="004763D2"/>
    <w:rsid w:val="0049280E"/>
    <w:rsid w:val="00495B9B"/>
    <w:rsid w:val="004C7632"/>
    <w:rsid w:val="00505F6E"/>
    <w:rsid w:val="005706FD"/>
    <w:rsid w:val="005C6A2A"/>
    <w:rsid w:val="00602DE9"/>
    <w:rsid w:val="00625E2A"/>
    <w:rsid w:val="0063675E"/>
    <w:rsid w:val="00664C07"/>
    <w:rsid w:val="006A4020"/>
    <w:rsid w:val="006A559B"/>
    <w:rsid w:val="006C220A"/>
    <w:rsid w:val="006F36AD"/>
    <w:rsid w:val="0071222B"/>
    <w:rsid w:val="00725205"/>
    <w:rsid w:val="00753D7E"/>
    <w:rsid w:val="00760654"/>
    <w:rsid w:val="00764379"/>
    <w:rsid w:val="00770160"/>
    <w:rsid w:val="007C1C98"/>
    <w:rsid w:val="007E2C9F"/>
    <w:rsid w:val="007E56DC"/>
    <w:rsid w:val="007E6A06"/>
    <w:rsid w:val="008105EF"/>
    <w:rsid w:val="008463A9"/>
    <w:rsid w:val="00860FB4"/>
    <w:rsid w:val="008B54C4"/>
    <w:rsid w:val="008E1442"/>
    <w:rsid w:val="0090204A"/>
    <w:rsid w:val="009050DE"/>
    <w:rsid w:val="00920C27"/>
    <w:rsid w:val="00957024"/>
    <w:rsid w:val="009602EE"/>
    <w:rsid w:val="00962ED4"/>
    <w:rsid w:val="00971A87"/>
    <w:rsid w:val="00996919"/>
    <w:rsid w:val="009D25E9"/>
    <w:rsid w:val="009F121F"/>
    <w:rsid w:val="00A03CFF"/>
    <w:rsid w:val="00A12CBA"/>
    <w:rsid w:val="00A232A8"/>
    <w:rsid w:val="00A55E34"/>
    <w:rsid w:val="00A664DF"/>
    <w:rsid w:val="00A86CA6"/>
    <w:rsid w:val="00A971EC"/>
    <w:rsid w:val="00AF71A2"/>
    <w:rsid w:val="00B01A2B"/>
    <w:rsid w:val="00B12FC5"/>
    <w:rsid w:val="00B33A62"/>
    <w:rsid w:val="00B36011"/>
    <w:rsid w:val="00B76EC7"/>
    <w:rsid w:val="00BA1D99"/>
    <w:rsid w:val="00BD0ED1"/>
    <w:rsid w:val="00BE1887"/>
    <w:rsid w:val="00BF3EEE"/>
    <w:rsid w:val="00C2608A"/>
    <w:rsid w:val="00C632B2"/>
    <w:rsid w:val="00C97B1F"/>
    <w:rsid w:val="00CA0E7A"/>
    <w:rsid w:val="00CE1078"/>
    <w:rsid w:val="00CE60B3"/>
    <w:rsid w:val="00CF72A2"/>
    <w:rsid w:val="00D1646C"/>
    <w:rsid w:val="00D16675"/>
    <w:rsid w:val="00D22255"/>
    <w:rsid w:val="00D35FBA"/>
    <w:rsid w:val="00D501AD"/>
    <w:rsid w:val="00D537A2"/>
    <w:rsid w:val="00D8375B"/>
    <w:rsid w:val="00D94FD3"/>
    <w:rsid w:val="00DB2781"/>
    <w:rsid w:val="00DB6660"/>
    <w:rsid w:val="00DC6BA1"/>
    <w:rsid w:val="00DD5213"/>
    <w:rsid w:val="00DE3503"/>
    <w:rsid w:val="00DE5EBD"/>
    <w:rsid w:val="00DF76D3"/>
    <w:rsid w:val="00E22059"/>
    <w:rsid w:val="00E4683E"/>
    <w:rsid w:val="00E64997"/>
    <w:rsid w:val="00E77340"/>
    <w:rsid w:val="00E874A7"/>
    <w:rsid w:val="00EA3043"/>
    <w:rsid w:val="00EA32B8"/>
    <w:rsid w:val="00EB790E"/>
    <w:rsid w:val="00EC5431"/>
    <w:rsid w:val="00EF6465"/>
    <w:rsid w:val="00F0451E"/>
    <w:rsid w:val="00F11941"/>
    <w:rsid w:val="00F14A7B"/>
    <w:rsid w:val="00F56F90"/>
    <w:rsid w:val="00F80665"/>
    <w:rsid w:val="00F975FD"/>
    <w:rsid w:val="00FB314E"/>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B01A2B"/>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B01A2B"/>
    <w:rPr>
      <w:rFonts w:ascii="Tahoma" w:hAnsi="Tahoma" w:cs="Tahoma"/>
      <w:sz w:val="16"/>
      <w:szCs w:val="16"/>
      <w:lang w:val="en-GB" w:eastAsia="en-US"/>
    </w:rPr>
  </w:style>
  <w:style w:type="character" w:styleId="Hyperlink">
    <w:name w:val="Hyperlink"/>
    <w:rsid w:val="00123C20"/>
    <w:rPr>
      <w:color w:val="0000FF"/>
      <w:u w:val="single"/>
    </w:rPr>
  </w:style>
  <w:style w:type="character" w:styleId="CommentReference">
    <w:name w:val="annotation reference"/>
    <w:uiPriority w:val="99"/>
    <w:rsid w:val="00F0451E"/>
    <w:rPr>
      <w:sz w:val="16"/>
      <w:szCs w:val="16"/>
    </w:rPr>
  </w:style>
  <w:style w:type="paragraph" w:styleId="CommentText">
    <w:name w:val="annotation text"/>
    <w:basedOn w:val="Normal"/>
    <w:link w:val="CommentTextChar"/>
    <w:rsid w:val="00F0451E"/>
    <w:rPr>
      <w:sz w:val="20"/>
    </w:rPr>
  </w:style>
  <w:style w:type="character" w:customStyle="1" w:styleId="CommentTextChar">
    <w:name w:val="Comment Text Char"/>
    <w:link w:val="CommentText"/>
    <w:rsid w:val="00F0451E"/>
    <w:rPr>
      <w:lang w:val="en-GB" w:eastAsia="en-US"/>
    </w:rPr>
  </w:style>
  <w:style w:type="paragraph" w:styleId="CommentSubject">
    <w:name w:val="annotation subject"/>
    <w:basedOn w:val="CommentText"/>
    <w:next w:val="CommentText"/>
    <w:link w:val="CommentSubjectChar"/>
    <w:rsid w:val="00F0451E"/>
    <w:rPr>
      <w:b/>
      <w:bCs/>
    </w:rPr>
  </w:style>
  <w:style w:type="character" w:customStyle="1" w:styleId="CommentSubjectChar">
    <w:name w:val="Comment Subject Char"/>
    <w:link w:val="CommentSubject"/>
    <w:rsid w:val="00F0451E"/>
    <w:rPr>
      <w:b/>
      <w:bCs/>
      <w:lang w:val="en-GB" w:eastAsia="en-US"/>
    </w:rPr>
  </w:style>
  <w:style w:type="character" w:customStyle="1" w:styleId="ECCParagraph">
    <w:name w:val="ECC Paragraph"/>
    <w:basedOn w:val="DefaultParagraphFont"/>
    <w:uiPriority w:val="1"/>
    <w:qFormat/>
    <w:rsid w:val="00EC5431"/>
    <w:rPr>
      <w:rFonts w:ascii="Arial" w:hAnsi="Arial"/>
      <w:noProof w:val="0"/>
      <w:sz w:val="20"/>
      <w:bdr w:val="none" w:sz="0" w:space="0" w:color="auto"/>
      <w:lang w:val="en-GB"/>
    </w:rPr>
  </w:style>
  <w:style w:type="paragraph" w:styleId="ListParagraph">
    <w:name w:val="List Paragraph"/>
    <w:basedOn w:val="Normal"/>
    <w:uiPriority w:val="34"/>
    <w:qFormat/>
    <w:rsid w:val="00EC5431"/>
    <w:pPr>
      <w:spacing w:before="240" w:after="60"/>
      <w:ind w:left="720"/>
      <w:contextualSpacing/>
    </w:pPr>
    <w:rPr>
      <w:rFonts w:ascii="Arial" w:eastAsia="Calibri"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docdb.dk/document/43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eur-lex.europa.eu/legal-content/EN/TXT/PDF/?uri=CELEX:32019D0235&amp;from=EN" TargetMode="External"/><Relationship Id="rId12" Type="http://schemas.openxmlformats.org/officeDocument/2006/relationships/hyperlink" Target="https://www.itu.int/dms_pubrec/itu-r/rec/m/R-REC-M.2059-0-201402-I!!PDF-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pt.org/Documents/ecc/59495/ecc-20-info-06_liaison-statement-from-icao-to-ecc"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itu.int/rec/R-REC-M.2059/recommendation.asp?lang=en&amp;parent=R-REC-M.2059-0-201402-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part1.F194EECF.F181EBAD@aviation-civile.gouv.fr" TargetMode="External"/><Relationship Id="rId14" Type="http://schemas.openxmlformats.org/officeDocument/2006/relationships/hyperlink" Target="https://eur-lex.europa.eu/legal-content/EN/TXT/PDF/?uri=CELEX:32019D0235&amp;from=EN" TargetMode="Externa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9E5C6-E572-43EA-9990-48D1C6C94A6C}"/>
</file>

<file path=customXml/itemProps2.xml><?xml version="1.0" encoding="utf-8"?>
<ds:datastoreItem xmlns:ds="http://schemas.openxmlformats.org/officeDocument/2006/customXml" ds:itemID="{8968CE0E-60E1-4244-9201-74D65A99E766}"/>
</file>

<file path=customXml/itemProps3.xml><?xml version="1.0" encoding="utf-8"?>
<ds:datastoreItem xmlns:ds="http://schemas.openxmlformats.org/officeDocument/2006/customXml" ds:itemID="{903F9BF2-F3DF-4DF9-B7F4-D4B1FE92D6BB}"/>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6548</CharactersWithSpaces>
  <SharedDoc>false</SharedDoc>
  <HLinks>
    <vt:vector size="12" baseType="variant">
      <vt:variant>
        <vt:i4>6160426</vt:i4>
      </vt:variant>
      <vt:variant>
        <vt:i4>3</vt:i4>
      </vt:variant>
      <vt:variant>
        <vt:i4>0</vt:i4>
      </vt:variant>
      <vt:variant>
        <vt:i4>5</vt:i4>
      </vt:variant>
      <vt:variant>
        <vt:lpwstr>https://www.itu.int/dms_pub/itu-r/md/16/wrc19/c/R16-WRC19-C-0011!A24-A18!MSW-E.docx</vt:lpwstr>
      </vt:variant>
      <vt:variant>
        <vt:lpwstr/>
      </vt:variant>
      <vt:variant>
        <vt:i4>6160426</vt:i4>
      </vt:variant>
      <vt:variant>
        <vt:i4>0</vt:i4>
      </vt:variant>
      <vt:variant>
        <vt:i4>0</vt:i4>
      </vt:variant>
      <vt:variant>
        <vt:i4>5</vt:i4>
      </vt:variant>
      <vt:variant>
        <vt:lpwstr>https://www.itu.int/dms_pub/itu-r/md/16/wrc19/c/R16-WRC19-C-0011!A24-A18!MSW-E.docx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2020-08-10T10:39:00Z</dcterms:created>
  <dcterms:modified xsi:type="dcterms:W3CDTF">2020-08-12T18:15:00Z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