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C83CC" w14:textId="77777777" w:rsidR="0029192F" w:rsidRPr="0029192F" w:rsidRDefault="0029192F" w:rsidP="0029192F">
      <w:pPr>
        <w:jc w:val="center"/>
        <w:rPr>
          <w:b/>
          <w:bCs/>
        </w:rPr>
      </w:pPr>
      <w:bookmarkStart w:id="0" w:name="_gjdgxs" w:colFirst="0" w:colLast="0"/>
      <w:bookmarkEnd w:id="0"/>
      <w:r w:rsidRPr="0029192F">
        <w:rPr>
          <w:b/>
          <w:bCs/>
        </w:rPr>
        <w:t>FREQUENCY SPECTRUM MANAGEMENT PANEL (FSMP)</w:t>
      </w:r>
    </w:p>
    <w:p w14:paraId="07F91815" w14:textId="77777777" w:rsidR="0029192F" w:rsidRPr="0029192F" w:rsidRDefault="0029192F" w:rsidP="0029192F">
      <w:pPr>
        <w:jc w:val="center"/>
        <w:rPr>
          <w:b/>
          <w:bCs/>
        </w:rPr>
      </w:pPr>
    </w:p>
    <w:p w14:paraId="7A1D917A" w14:textId="77777777" w:rsidR="0029192F" w:rsidRPr="0029192F" w:rsidRDefault="0029192F" w:rsidP="0029192F">
      <w:pPr>
        <w:jc w:val="center"/>
        <w:rPr>
          <w:b/>
          <w:bCs/>
        </w:rPr>
      </w:pPr>
      <w:r w:rsidRPr="0029192F">
        <w:rPr>
          <w:b/>
          <w:bCs/>
        </w:rPr>
        <w:t>Tenth Working Group Meeting</w:t>
      </w:r>
    </w:p>
    <w:p w14:paraId="5B62E9D5" w14:textId="77777777" w:rsidR="0029192F" w:rsidRPr="0029192F" w:rsidRDefault="0029192F" w:rsidP="0029192F">
      <w:pPr>
        <w:jc w:val="center"/>
        <w:rPr>
          <w:b/>
          <w:bCs/>
        </w:rPr>
      </w:pPr>
    </w:p>
    <w:p w14:paraId="7CB17B99" w14:textId="77777777" w:rsidR="0029192F" w:rsidRPr="0029192F" w:rsidRDefault="0029192F" w:rsidP="0029192F">
      <w:pPr>
        <w:jc w:val="center"/>
        <w:rPr>
          <w:b/>
          <w:bCs/>
        </w:rPr>
      </w:pPr>
      <w:r w:rsidRPr="0029192F">
        <w:rPr>
          <w:b/>
          <w:bCs/>
        </w:rPr>
        <w:t>Montréal, Canada, 17-26 August 2020</w:t>
      </w:r>
    </w:p>
    <w:p w14:paraId="3FDF9A03" w14:textId="77777777" w:rsidR="0029192F" w:rsidRPr="0029192F" w:rsidRDefault="0029192F" w:rsidP="0029192F">
      <w:pPr>
        <w:jc w:val="center"/>
        <w:rPr>
          <w:b/>
          <w:bCs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09F67D7B" w14:textId="77777777" w:rsidR="0029192F" w:rsidRPr="0029192F" w:rsidRDefault="0029192F" w:rsidP="0029192F">
      <w:pPr>
        <w:jc w:val="left"/>
        <w:rPr>
          <w:b/>
        </w:rPr>
      </w:pPr>
      <w:r w:rsidRPr="0029192F">
        <w:rPr>
          <w:b/>
        </w:rPr>
        <w:t>Agenda Item 7c: Wideband HF communications (WRC-23 AI 1.9)</w:t>
      </w:r>
    </w:p>
    <w:p w14:paraId="28966EF2" w14:textId="77777777" w:rsidR="002779EA" w:rsidRPr="00BA0DC6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1" w:name="30j0zll" w:colFirst="0" w:colLast="0"/>
      <w:bookmarkEnd w:id="1"/>
    </w:p>
    <w:p w14:paraId="2E2B0F09" w14:textId="60D912D1" w:rsidR="002779EA" w:rsidRPr="00CF552E" w:rsidRDefault="007070D3" w:rsidP="00CF552E">
      <w:pPr>
        <w:jc w:val="center"/>
        <w:rPr>
          <w:b/>
          <w:bCs/>
        </w:rPr>
      </w:pPr>
      <w:r w:rsidRPr="00CF552E">
        <w:rPr>
          <w:b/>
          <w:bCs/>
        </w:rPr>
        <w:t>TECHNICAL CONSIDERATIONS FOR THE WIDEBAND HF OVERLAY CONCEPT FOR AGENDA ITEM 1.9 WRC-23</w:t>
      </w:r>
    </w:p>
    <w:p w14:paraId="44EC8CEF" w14:textId="77777777" w:rsidR="002779EA" w:rsidRPr="00BA0DC6" w:rsidRDefault="002779EA">
      <w:pPr>
        <w:tabs>
          <w:tab w:val="left" w:pos="6972"/>
        </w:tabs>
        <w:jc w:val="center"/>
      </w:pPr>
    </w:p>
    <w:p w14:paraId="41E77D4C" w14:textId="3C40F637" w:rsidR="002779EA" w:rsidRPr="00BA0DC6" w:rsidRDefault="00F0516C" w:rsidP="00D7673B">
      <w:pPr>
        <w:tabs>
          <w:tab w:val="left" w:pos="1170"/>
        </w:tabs>
        <w:jc w:val="center"/>
      </w:pPr>
      <w:r w:rsidRPr="00BA0DC6">
        <w:t>(</w:t>
      </w:r>
      <w:r w:rsidR="005E7881" w:rsidRPr="00BA0DC6">
        <w:t>Pre</w:t>
      </w:r>
      <w:r w:rsidR="00A436B8">
        <w:t>sented</w:t>
      </w:r>
      <w:r w:rsidR="005E7881" w:rsidRPr="00BA0DC6">
        <w:t xml:space="preserve"> </w:t>
      </w:r>
      <w:r w:rsidRPr="00BA0DC6">
        <w:t>by</w:t>
      </w:r>
      <w:bookmarkStart w:id="2" w:name="1fob9te" w:colFirst="0" w:colLast="0"/>
      <w:bookmarkEnd w:id="2"/>
      <w:r w:rsidRPr="00BA0DC6">
        <w:t xml:space="preserve"> Sai Kalyanaraman</w:t>
      </w:r>
      <w:r w:rsidR="00CA5765" w:rsidRPr="00BA0DC6">
        <w:t>, Collins Aerospace</w:t>
      </w:r>
      <w:r w:rsidRPr="00BA0DC6">
        <w:t>)</w:t>
      </w:r>
    </w:p>
    <w:p w14:paraId="68BEA998" w14:textId="77777777" w:rsidR="002779EA" w:rsidRPr="00BA0DC6" w:rsidRDefault="002779EA"/>
    <w:tbl>
      <w:tblPr>
        <w:tblW w:w="7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0"/>
      </w:tblGrid>
      <w:tr w:rsidR="00BA0DC6" w:rsidRPr="00BA0DC6" w14:paraId="5AC28393" w14:textId="77777777" w:rsidTr="39BA5C6C">
        <w:trPr>
          <w:trHeight w:val="480"/>
          <w:jc w:val="center"/>
        </w:trPr>
        <w:tc>
          <w:tcPr>
            <w:tcW w:w="7200" w:type="dxa"/>
            <w:vAlign w:val="center"/>
          </w:tcPr>
          <w:p w14:paraId="757D1604" w14:textId="77777777" w:rsidR="002779EA" w:rsidRPr="00BA0DC6" w:rsidRDefault="00F0516C">
            <w:pPr>
              <w:jc w:val="center"/>
            </w:pPr>
            <w:r w:rsidRPr="00BA0DC6">
              <w:rPr>
                <w:b/>
              </w:rPr>
              <w:t>SUMMARY</w:t>
            </w:r>
          </w:p>
        </w:tc>
      </w:tr>
      <w:tr w:rsidR="002779EA" w:rsidRPr="00BA0DC6" w14:paraId="7C4FE594" w14:textId="77777777">
        <w:trPr>
          <w:jc w:val="center"/>
        </w:trPr>
        <w:tc>
          <w:tcPr>
            <w:tcW w:w="7200" w:type="dxa"/>
          </w:tcPr>
          <w:p w14:paraId="3F38ACF4" w14:textId="1BFB1704" w:rsidR="002779EA" w:rsidRPr="00BA0DC6" w:rsidRDefault="0055770F" w:rsidP="00FA0267">
            <w:r w:rsidRPr="00BA0DC6">
              <w:t xml:space="preserve">This paper provides </w:t>
            </w:r>
            <w:r w:rsidR="00B93485" w:rsidRPr="00BA0DC6">
              <w:t xml:space="preserve">technical </w:t>
            </w:r>
            <w:r w:rsidRPr="00BA0DC6">
              <w:t xml:space="preserve">considerations </w:t>
            </w:r>
            <w:r w:rsidR="00BA665A" w:rsidRPr="00BA0DC6">
              <w:t xml:space="preserve">in support of </w:t>
            </w:r>
            <w:r w:rsidR="00FA0267" w:rsidRPr="00BA0DC6">
              <w:t xml:space="preserve">WRC-23 Agenda Item 1.9 concerning </w:t>
            </w:r>
            <w:r w:rsidR="00BA665A" w:rsidRPr="00BA0DC6">
              <w:t>Wide</w:t>
            </w:r>
            <w:r w:rsidR="00C72EA1">
              <w:t xml:space="preserve"> </w:t>
            </w:r>
            <w:r w:rsidR="00BA665A" w:rsidRPr="00BA0DC6">
              <w:t xml:space="preserve">Band </w:t>
            </w:r>
            <w:r w:rsidR="00F0516C" w:rsidRPr="00BA0DC6">
              <w:t xml:space="preserve">HF </w:t>
            </w:r>
            <w:r w:rsidR="00BA665A" w:rsidRPr="00BA0DC6">
              <w:t xml:space="preserve">(WBHF) </w:t>
            </w:r>
            <w:r w:rsidR="00F0516C" w:rsidRPr="00BA0DC6">
              <w:t xml:space="preserve">aeronautical communications.  </w:t>
            </w:r>
            <w:r w:rsidRPr="00BA0DC6">
              <w:t>F</w:t>
            </w:r>
            <w:r w:rsidR="00F0516C" w:rsidRPr="00BA0DC6">
              <w:t xml:space="preserve">eedback </w:t>
            </w:r>
            <w:r w:rsidRPr="00BA0DC6">
              <w:t xml:space="preserve">is sought </w:t>
            </w:r>
            <w:r w:rsidR="00EE72E2" w:rsidRPr="00BA0DC6">
              <w:t xml:space="preserve">from the FSMP on the </w:t>
            </w:r>
            <w:r w:rsidR="00FA0267" w:rsidRPr="00BA0DC6">
              <w:t xml:space="preserve">material presented to this meeting, and on </w:t>
            </w:r>
            <w:r w:rsidR="00F0516C" w:rsidRPr="00BA0DC6">
              <w:t xml:space="preserve">how </w:t>
            </w:r>
            <w:r w:rsidR="00FA0267" w:rsidRPr="00BA0DC6">
              <w:t xml:space="preserve">WBHF can </w:t>
            </w:r>
            <w:r w:rsidR="00F0516C" w:rsidRPr="00BA0DC6">
              <w:t xml:space="preserve">be implemented </w:t>
            </w:r>
            <w:r w:rsidR="006D5CE2" w:rsidRPr="00BA0DC6">
              <w:t>within</w:t>
            </w:r>
            <w:r w:rsidR="00F0516C" w:rsidRPr="00BA0DC6">
              <w:t xml:space="preserve"> </w:t>
            </w:r>
            <w:r w:rsidR="00FA0267" w:rsidRPr="00BA0DC6">
              <w:t xml:space="preserve">existing Appendix 27 </w:t>
            </w:r>
            <w:r w:rsidR="00F0516C" w:rsidRPr="00BA0DC6">
              <w:t>HF spectrum</w:t>
            </w:r>
            <w:r w:rsidR="00FA0267" w:rsidRPr="00BA0DC6">
              <w:t>.</w:t>
            </w:r>
            <w:r w:rsidR="00F0516C" w:rsidRPr="00BA0DC6">
              <w:t xml:space="preserve"> </w:t>
            </w:r>
          </w:p>
        </w:tc>
      </w:tr>
    </w:tbl>
    <w:p w14:paraId="20274FE9" w14:textId="77777777" w:rsidR="002779EA" w:rsidRPr="00BA0DC6" w:rsidRDefault="002779EA"/>
    <w:p w14:paraId="1F315BEA" w14:textId="77777777" w:rsidR="002779EA" w:rsidRPr="00BA0DC6" w:rsidRDefault="002779EA"/>
    <w:p w14:paraId="439FD150" w14:textId="5678512E" w:rsidR="002779EA" w:rsidRPr="00BA0DC6" w:rsidRDefault="00F051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</w:pPr>
      <w:r w:rsidRPr="00BA0DC6">
        <w:rPr>
          <w:b/>
        </w:rPr>
        <w:t>INTRODUCTION</w:t>
      </w:r>
    </w:p>
    <w:p w14:paraId="652DB178" w14:textId="1B588086" w:rsidR="002779EA" w:rsidRPr="00BA0DC6" w:rsidRDefault="00353F36">
      <w:pPr>
        <w:numPr>
          <w:ilvl w:val="1"/>
          <w:numId w:val="7"/>
        </w:numPr>
        <w:jc w:val="left"/>
      </w:pPr>
      <w:r w:rsidRPr="00BA0DC6">
        <w:t>While</w:t>
      </w:r>
      <w:r w:rsidR="00F0516C" w:rsidRPr="00BA0DC6">
        <w:t xml:space="preserve"> HF Radio communications has been the</w:t>
      </w:r>
      <w:r w:rsidR="001F4CC8" w:rsidRPr="00BA0DC6">
        <w:t xml:space="preserve"> primary</w:t>
      </w:r>
      <w:r w:rsidR="00F0516C" w:rsidRPr="00BA0DC6">
        <w:t xml:space="preserve"> long</w:t>
      </w:r>
      <w:r w:rsidR="001F4CC8" w:rsidRPr="00BA0DC6">
        <w:t>-</w:t>
      </w:r>
      <w:r w:rsidR="00F0516C" w:rsidRPr="00BA0DC6">
        <w:t>range communication system for safe, efficient air travel over long range routes beyond the range of ground-based VHF radios</w:t>
      </w:r>
      <w:r w:rsidR="00717DDC">
        <w:t>,</w:t>
      </w:r>
      <w:r w:rsidR="00F0516C" w:rsidRPr="00BA0DC6">
        <w:t xml:space="preserve"> modern technology now provides alternate solutions, namely </w:t>
      </w:r>
      <w:r w:rsidR="00EB0C92" w:rsidRPr="00BA0DC6">
        <w:t>aeronautical mobile-satellite (R) service (</w:t>
      </w:r>
      <w:r w:rsidR="001F4CC8" w:rsidRPr="00BA0DC6">
        <w:t>AM</w:t>
      </w:r>
      <w:r w:rsidR="004F6055" w:rsidRPr="00BA0DC6">
        <w:t>S</w:t>
      </w:r>
      <w:r w:rsidR="001F4CC8" w:rsidRPr="00BA0DC6">
        <w:t>(R)S</w:t>
      </w:r>
      <w:r w:rsidR="00EB0C92" w:rsidRPr="00BA0DC6">
        <w:t>)</w:t>
      </w:r>
      <w:r w:rsidR="001F4CC8" w:rsidRPr="00BA0DC6">
        <w:t xml:space="preserve"> </w:t>
      </w:r>
      <w:r w:rsidR="00F0516C" w:rsidRPr="00BA0DC6">
        <w:t>satellite communications (SATCOM)</w:t>
      </w:r>
      <w:r w:rsidR="00717DDC">
        <w:t>,</w:t>
      </w:r>
      <w:r w:rsidR="00F0516C" w:rsidRPr="00BA0DC6">
        <w:t xml:space="preserve"> which are now authorized by regulatory authorities for use in long</w:t>
      </w:r>
      <w:r w:rsidR="001F4CC8" w:rsidRPr="00BA0DC6">
        <w:t>-</w:t>
      </w:r>
      <w:r w:rsidR="00F0516C" w:rsidRPr="00BA0DC6">
        <w:t>range aeronautical communications.</w:t>
      </w:r>
      <w:r w:rsidRPr="00BA0DC6">
        <w:t xml:space="preserve"> Terrestrial and space-based systems work well together in a complementary and synergistic fashion to offer better performance, reliability and availability than either system alone.  Having both space-based and terrestrial means of long-range communication, termed “link diversity,” mitigates single point of failure concerns associated with vulnerabilities </w:t>
      </w:r>
      <w:r w:rsidR="00C72EA1">
        <w:t xml:space="preserve">and failure modes </w:t>
      </w:r>
      <w:r w:rsidRPr="00BA0DC6">
        <w:t>which differ for each system (e.g., solar events, rain fade, jamming, hardware failures, etc.).</w:t>
      </w:r>
    </w:p>
    <w:p w14:paraId="312E753C" w14:textId="77777777" w:rsidR="00754760" w:rsidRPr="00BA0DC6" w:rsidRDefault="00754760" w:rsidP="00754760">
      <w:pPr>
        <w:pStyle w:val="ListParagraph"/>
        <w:rPr>
          <w:szCs w:val="22"/>
        </w:rPr>
      </w:pPr>
    </w:p>
    <w:p w14:paraId="6055AAE0" w14:textId="06865891" w:rsidR="002779EA" w:rsidRPr="00BA0DC6" w:rsidRDefault="00EB0C92" w:rsidP="00023B48">
      <w:pPr>
        <w:numPr>
          <w:ilvl w:val="1"/>
          <w:numId w:val="7"/>
        </w:numPr>
        <w:jc w:val="left"/>
      </w:pPr>
      <w:r w:rsidRPr="00BA0DC6">
        <w:t>A</w:t>
      </w:r>
      <w:r w:rsidR="00754760" w:rsidRPr="00BA0DC6">
        <w:t xml:space="preserve"> next generation wideband HF radio system </w:t>
      </w:r>
      <w:r w:rsidRPr="00BA0DC6">
        <w:t xml:space="preserve">is being developed </w:t>
      </w:r>
      <w:r w:rsidR="00A945BD" w:rsidRPr="00BA0DC6">
        <w:t>to</w:t>
      </w:r>
      <w:r w:rsidR="00754760" w:rsidRPr="00BA0DC6">
        <w:t xml:space="preserve"> address the limitations of today’s HF radio communications systems</w:t>
      </w:r>
      <w:r w:rsidR="00A945BD" w:rsidRPr="00BA0DC6">
        <w:t xml:space="preserve"> (i</w:t>
      </w:r>
      <w:r w:rsidR="00007A82" w:rsidRPr="00BA0DC6">
        <w:t>.</w:t>
      </w:r>
      <w:r w:rsidR="00A945BD" w:rsidRPr="00BA0DC6">
        <w:t>e.</w:t>
      </w:r>
      <w:r w:rsidR="00754760" w:rsidRPr="00BA0DC6">
        <w:t xml:space="preserve"> intelligibility of analog voice communications and </w:t>
      </w:r>
      <w:r w:rsidR="00FF401E">
        <w:t>limited</w:t>
      </w:r>
      <w:r w:rsidR="00FF401E" w:rsidRPr="00BA0DC6">
        <w:t xml:space="preserve"> </w:t>
      </w:r>
      <w:r w:rsidR="00754760" w:rsidRPr="00BA0DC6">
        <w:t>throughput of data over HFDL</w:t>
      </w:r>
      <w:r w:rsidR="00A945BD" w:rsidRPr="00BA0DC6">
        <w:t>)</w:t>
      </w:r>
      <w:r w:rsidR="00754760" w:rsidRPr="00BA0DC6">
        <w:t xml:space="preserve">.  </w:t>
      </w:r>
      <w:r w:rsidR="006C169F" w:rsidRPr="00BA0DC6">
        <w:t xml:space="preserve">To support a </w:t>
      </w:r>
      <w:r w:rsidR="00216484" w:rsidRPr="00BA0DC6">
        <w:t>WBHF</w:t>
      </w:r>
      <w:r w:rsidR="006C169F" w:rsidRPr="00BA0DC6">
        <w:t xml:space="preserve"> system</w:t>
      </w:r>
      <w:r w:rsidR="00717DDC">
        <w:t>,</w:t>
      </w:r>
      <w:r w:rsidR="006C169F" w:rsidRPr="00BA0DC6">
        <w:t xml:space="preserve"> Appendix 27 of the ITU Radio Regulations </w:t>
      </w:r>
      <w:r w:rsidR="004E7DA1" w:rsidRPr="00BA0DC6">
        <w:t xml:space="preserve">(RR) </w:t>
      </w:r>
      <w:r w:rsidR="006C169F" w:rsidRPr="00BA0DC6">
        <w:t>will need to be modified to accommodate technical and regulatory elements to permit an overlay of WBHF channels on the current Appendix 27 allotment plan.</w:t>
      </w:r>
    </w:p>
    <w:p w14:paraId="362C2D7B" w14:textId="77777777" w:rsidR="00216484" w:rsidRPr="00BA0DC6" w:rsidRDefault="00216484" w:rsidP="00023B48">
      <w:pPr>
        <w:ind w:left="720"/>
        <w:jc w:val="left"/>
      </w:pPr>
    </w:p>
    <w:p w14:paraId="518933CF" w14:textId="6B006181" w:rsidR="00754760" w:rsidRPr="00BA0DC6" w:rsidRDefault="00754760" w:rsidP="00754760">
      <w:pPr>
        <w:numPr>
          <w:ilvl w:val="1"/>
          <w:numId w:val="7"/>
        </w:numPr>
        <w:jc w:val="left"/>
      </w:pPr>
      <w:r w:rsidRPr="00BA0DC6">
        <w:lastRenderedPageBreak/>
        <w:t xml:space="preserve">At the Eighth Working Group Meeting of the FSMP, </w:t>
      </w:r>
      <w:r w:rsidR="00EB0C92" w:rsidRPr="00BA0DC6">
        <w:t xml:space="preserve">Working Paper </w:t>
      </w:r>
      <w:r w:rsidR="00B41657">
        <w:t xml:space="preserve">29 </w:t>
      </w:r>
      <w:r w:rsidRPr="00BA0DC6">
        <w:t xml:space="preserve">introduced </w:t>
      </w:r>
      <w:r w:rsidR="004E7DA1" w:rsidRPr="00BA0DC6">
        <w:t>a</w:t>
      </w:r>
      <w:r w:rsidRPr="00BA0DC6">
        <w:t xml:space="preserve"> concept </w:t>
      </w:r>
      <w:r w:rsidR="004E7DA1" w:rsidRPr="00BA0DC6">
        <w:t xml:space="preserve">of a </w:t>
      </w:r>
      <w:r w:rsidRPr="00BA0DC6">
        <w:t>modernize</w:t>
      </w:r>
      <w:r w:rsidR="004E7DA1" w:rsidRPr="00BA0DC6">
        <w:t>d wide-band</w:t>
      </w:r>
      <w:r w:rsidRPr="00BA0DC6">
        <w:t xml:space="preserve"> </w:t>
      </w:r>
      <w:r w:rsidR="00EB0C92" w:rsidRPr="00BA0DC6">
        <w:t>AM(R)S</w:t>
      </w:r>
      <w:r w:rsidR="008F57DE">
        <w:t xml:space="preserve"> system</w:t>
      </w:r>
      <w:r w:rsidR="00EB0C92" w:rsidRPr="00BA0DC6">
        <w:t xml:space="preserve"> </w:t>
      </w:r>
      <w:r w:rsidR="004E7DA1" w:rsidRPr="00BA0DC6">
        <w:t xml:space="preserve">intended to use HF </w:t>
      </w:r>
      <w:r w:rsidRPr="00BA0DC6">
        <w:t xml:space="preserve">spectrum </w:t>
      </w:r>
      <w:r w:rsidR="00216484" w:rsidRPr="00BA0DC6">
        <w:t>a</w:t>
      </w:r>
      <w:r w:rsidR="00EB0C92" w:rsidRPr="00BA0DC6">
        <w:t xml:space="preserve">s </w:t>
      </w:r>
      <w:r w:rsidRPr="00BA0DC6">
        <w:t xml:space="preserve">defined and governed by </w:t>
      </w:r>
      <w:r w:rsidR="00007A82" w:rsidRPr="00BA0DC6">
        <w:t xml:space="preserve">Appendix 27 of the </w:t>
      </w:r>
      <w:r w:rsidR="004E7DA1" w:rsidRPr="00BA0DC6">
        <w:t>RR.</w:t>
      </w:r>
      <w:r w:rsidRPr="00BA0DC6">
        <w:t xml:space="preserve">  </w:t>
      </w:r>
      <w:r w:rsidR="00193602" w:rsidRPr="00BA0DC6">
        <w:t xml:space="preserve">Subsequently, WRC-19 adopted </w:t>
      </w:r>
      <w:r w:rsidRPr="00BA0DC6">
        <w:t xml:space="preserve">a WRC-23 future agenda item to update </w:t>
      </w:r>
      <w:r w:rsidR="2271A1D7" w:rsidRPr="00BA0DC6">
        <w:t>A</w:t>
      </w:r>
      <w:r w:rsidR="418DF8AB" w:rsidRPr="00BA0DC6">
        <w:t>ppendi</w:t>
      </w:r>
      <w:r w:rsidR="0D8737AD" w:rsidRPr="00BA0DC6">
        <w:t>x</w:t>
      </w:r>
      <w:r w:rsidR="2271A1D7" w:rsidRPr="00BA0DC6">
        <w:t xml:space="preserve"> </w:t>
      </w:r>
      <w:r w:rsidRPr="00BA0DC6">
        <w:t>27</w:t>
      </w:r>
      <w:r w:rsidR="006C169F" w:rsidRPr="00BA0DC6">
        <w:t xml:space="preserve"> to accommodate</w:t>
      </w:r>
      <w:r w:rsidR="004E7DA1" w:rsidRPr="00BA0DC6">
        <w:t xml:space="preserve"> WBHF</w:t>
      </w:r>
      <w:r w:rsidR="00193602" w:rsidRPr="00BA0DC6">
        <w:t>.</w:t>
      </w:r>
      <w:r w:rsidRPr="00BA0DC6">
        <w:t xml:space="preserve">  The objective is to allow </w:t>
      </w:r>
      <w:r w:rsidR="004E7DA1" w:rsidRPr="00BA0DC6">
        <w:t xml:space="preserve">– as an overlay on the existing Appendix 27 allotment plan – </w:t>
      </w:r>
      <w:r w:rsidRPr="00BA0DC6">
        <w:t xml:space="preserve">use of </w:t>
      </w:r>
      <w:r w:rsidR="004F6055" w:rsidRPr="00BA0DC6">
        <w:t xml:space="preserve">multiple </w:t>
      </w:r>
      <w:r w:rsidR="00717DDC">
        <w:t xml:space="preserve">contiguous </w:t>
      </w:r>
      <w:r w:rsidRPr="00BA0DC6">
        <w:t>3 kHz channel assignments as a single, wideband channel, and to allow for advanced modulations that would provide greater throughput of information</w:t>
      </w:r>
      <w:r w:rsidR="005C0F00" w:rsidRPr="00BA0DC6">
        <w:t xml:space="preserve"> (higher data rates)</w:t>
      </w:r>
      <w:r w:rsidRPr="00BA0DC6">
        <w:t xml:space="preserve"> and maintain a robust, link-diverse communications architecture. </w:t>
      </w:r>
    </w:p>
    <w:p w14:paraId="4F171164" w14:textId="77777777" w:rsidR="00216484" w:rsidRPr="00BA0DC6" w:rsidRDefault="00216484" w:rsidP="00023B48">
      <w:pPr>
        <w:ind w:left="720"/>
        <w:jc w:val="left"/>
      </w:pPr>
    </w:p>
    <w:p w14:paraId="332390F3" w14:textId="60B9084B" w:rsidR="005D6DC2" w:rsidRPr="00BA0DC6" w:rsidRDefault="005D6DC2" w:rsidP="00A94F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  <w:rPr>
          <w:b/>
          <w:bCs/>
        </w:rPr>
      </w:pPr>
      <w:r w:rsidRPr="00BA0DC6">
        <w:rPr>
          <w:b/>
          <w:bCs/>
        </w:rPr>
        <w:t>AVIATION INDUSTRY IMPLEMENTATION</w:t>
      </w:r>
    </w:p>
    <w:p w14:paraId="1CCF3A7E" w14:textId="49F2784A" w:rsidR="00B90B07" w:rsidRPr="00BA0DC6" w:rsidRDefault="002B6613" w:rsidP="00B90B0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</w:pPr>
      <w:r w:rsidRPr="00BA0DC6">
        <w:t>The SARPS and relevant airborne</w:t>
      </w:r>
      <w:r w:rsidR="00E833FE" w:rsidRPr="00BA0DC6">
        <w:t xml:space="preserve"> receiver standards update</w:t>
      </w:r>
      <w:r w:rsidR="00717DDC">
        <w:t>s</w:t>
      </w:r>
      <w:r w:rsidR="00E833FE" w:rsidRPr="00BA0DC6">
        <w:t xml:space="preserve"> </w:t>
      </w:r>
      <w:r w:rsidR="00CB4460" w:rsidRPr="00BA0DC6">
        <w:t xml:space="preserve">for WBHF </w:t>
      </w:r>
      <w:r w:rsidR="00E833FE" w:rsidRPr="00BA0DC6">
        <w:t xml:space="preserve">will </w:t>
      </w:r>
      <w:r w:rsidR="0055770F" w:rsidRPr="00BA0DC6">
        <w:t xml:space="preserve">be </w:t>
      </w:r>
      <w:r w:rsidR="00E833FE" w:rsidRPr="00BA0DC6">
        <w:t>addressed through the relevant ICAO panel and RTCA/</w:t>
      </w:r>
      <w:proofErr w:type="spellStart"/>
      <w:r w:rsidR="0080619C" w:rsidRPr="00BA0DC6">
        <w:t>EuroCAE</w:t>
      </w:r>
      <w:proofErr w:type="spellEnd"/>
      <w:r w:rsidR="00E833FE" w:rsidRPr="00BA0DC6">
        <w:t xml:space="preserve"> special committees. </w:t>
      </w:r>
      <w:r w:rsidR="00B447C2" w:rsidRPr="00BA0DC6">
        <w:t>T</w:t>
      </w:r>
      <w:r w:rsidR="009557C4" w:rsidRPr="00BA0DC6">
        <w:t xml:space="preserve">his item </w:t>
      </w:r>
      <w:r w:rsidR="00B447C2" w:rsidRPr="00BA0DC6">
        <w:t xml:space="preserve">will also be introduced </w:t>
      </w:r>
      <w:r w:rsidR="009557C4" w:rsidRPr="00BA0DC6">
        <w:t xml:space="preserve">at the </w:t>
      </w:r>
      <w:r w:rsidR="00FF401E">
        <w:t xml:space="preserve">next </w:t>
      </w:r>
      <w:r w:rsidR="009557C4" w:rsidRPr="00BA0DC6">
        <w:t>DCIWG</w:t>
      </w:r>
      <w:r w:rsidR="00B57A74" w:rsidRPr="00BA0DC6">
        <w:t xml:space="preserve"> (Data Communication </w:t>
      </w:r>
      <w:r w:rsidR="00B859BA" w:rsidRPr="00BA0DC6">
        <w:t xml:space="preserve">Infrastructure </w:t>
      </w:r>
      <w:r w:rsidR="00B57A74" w:rsidRPr="00BA0DC6">
        <w:t>Working Group)</w:t>
      </w:r>
      <w:r w:rsidR="00B447C2" w:rsidRPr="00BA0DC6">
        <w:t xml:space="preserve"> with a </w:t>
      </w:r>
      <w:r w:rsidR="009557C4" w:rsidRPr="00BA0DC6">
        <w:t>request that a project team be setup towards ICAO SARPS update activities in support of WBHF.</w:t>
      </w:r>
      <w:r w:rsidR="00F1231E" w:rsidRPr="00BA0DC6">
        <w:t xml:space="preserve"> </w:t>
      </w:r>
      <w:r w:rsidR="000679C2" w:rsidRPr="00BA0DC6">
        <w:t xml:space="preserve"> </w:t>
      </w:r>
      <w:r w:rsidR="00B447C2" w:rsidRPr="00BA0DC6">
        <w:t>R</w:t>
      </w:r>
      <w:r w:rsidR="00AE46DA" w:rsidRPr="00BA0DC6">
        <w:t xml:space="preserve">elevant </w:t>
      </w:r>
      <w:r w:rsidR="000679C2" w:rsidRPr="00BA0DC6">
        <w:t>WBHF</w:t>
      </w:r>
      <w:r w:rsidR="00AD2184" w:rsidRPr="00BA0DC6">
        <w:t xml:space="preserve"> </w:t>
      </w:r>
      <w:r w:rsidR="00AE46DA" w:rsidRPr="00BA0DC6">
        <w:t xml:space="preserve">validation data </w:t>
      </w:r>
      <w:r w:rsidR="00B447C2" w:rsidRPr="00BA0DC6">
        <w:t xml:space="preserve">will be provided </w:t>
      </w:r>
      <w:r w:rsidR="00AE46DA" w:rsidRPr="00BA0DC6">
        <w:t xml:space="preserve">in support of the ICAO SARPS development effort. </w:t>
      </w:r>
      <w:r w:rsidR="00C02F87" w:rsidRPr="00BA0DC6">
        <w:t xml:space="preserve">Analysis of technical compatibility between the WBHF system and the current legacy use of airborne HF will be addressed through the SARPS development process. </w:t>
      </w:r>
      <w:r w:rsidR="006634B1" w:rsidRPr="00BA0DC6">
        <w:t>Once the SARPS process is underway, RTCA/</w:t>
      </w:r>
      <w:proofErr w:type="spellStart"/>
      <w:r w:rsidR="0080619C" w:rsidRPr="00BA0DC6">
        <w:t>EuroCAE</w:t>
      </w:r>
      <w:proofErr w:type="spellEnd"/>
      <w:r w:rsidR="006634B1" w:rsidRPr="00BA0DC6">
        <w:t xml:space="preserve"> </w:t>
      </w:r>
      <w:r w:rsidR="00B447C2" w:rsidRPr="00BA0DC6">
        <w:t xml:space="preserve">will be contacted </w:t>
      </w:r>
      <w:r w:rsidR="006634B1" w:rsidRPr="00BA0DC6">
        <w:t xml:space="preserve">in order to initiate an Airborne </w:t>
      </w:r>
      <w:r w:rsidR="001F69AA" w:rsidRPr="00BA0DC6">
        <w:t xml:space="preserve">HF </w:t>
      </w:r>
      <w:r w:rsidR="006634B1" w:rsidRPr="00BA0DC6">
        <w:t xml:space="preserve">radio MOPS development effort. </w:t>
      </w:r>
      <w:r w:rsidR="00B90B07" w:rsidRPr="00BA0DC6">
        <w:t>In parallel with the WRC effort, a launch customer</w:t>
      </w:r>
      <w:r w:rsidR="00B447C2" w:rsidRPr="00BA0DC6">
        <w:t xml:space="preserve"> will be identified to</w:t>
      </w:r>
      <w:r w:rsidR="00B90B07" w:rsidRPr="00BA0DC6">
        <w:t xml:space="preserve"> </w:t>
      </w:r>
      <w:r w:rsidR="00CC0966" w:rsidRPr="00BA0DC6">
        <w:t>initiate regional</w:t>
      </w:r>
      <w:r w:rsidR="00B90B07" w:rsidRPr="00BA0DC6">
        <w:t xml:space="preserve"> </w:t>
      </w:r>
      <w:r w:rsidR="004D2E3A" w:rsidRPr="00BA0DC6">
        <w:t xml:space="preserve">rollout </w:t>
      </w:r>
      <w:r w:rsidR="00B90B07" w:rsidRPr="00BA0DC6">
        <w:t xml:space="preserve">and </w:t>
      </w:r>
      <w:r w:rsidR="00717DDC">
        <w:t>test</w:t>
      </w:r>
      <w:r w:rsidR="00B90B07" w:rsidRPr="00BA0DC6">
        <w:t xml:space="preserve"> </w:t>
      </w:r>
      <w:r w:rsidR="004D2E3A" w:rsidRPr="00BA0DC6">
        <w:t xml:space="preserve">preliminary </w:t>
      </w:r>
      <w:r w:rsidR="00B90B07" w:rsidRPr="00BA0DC6">
        <w:t xml:space="preserve">ground station capability in support of WBHF. </w:t>
      </w:r>
      <w:r w:rsidR="00B447C2" w:rsidRPr="00BA0DC6">
        <w:t>C</w:t>
      </w:r>
      <w:r w:rsidR="00B90B07" w:rsidRPr="00BA0DC6">
        <w:t xml:space="preserve">hannels assigned under special agreements for the initial service </w:t>
      </w:r>
      <w:r w:rsidR="00B447C2" w:rsidRPr="00BA0DC6">
        <w:t xml:space="preserve">are planned for use </w:t>
      </w:r>
      <w:r w:rsidR="00B90B07" w:rsidRPr="00BA0DC6">
        <w:t xml:space="preserve">in the interim </w:t>
      </w:r>
      <w:r w:rsidR="00EB4CFE" w:rsidRPr="00BA0DC6">
        <w:t>un</w:t>
      </w:r>
      <w:r w:rsidR="00B90B07" w:rsidRPr="00BA0DC6">
        <w:t xml:space="preserve">til the WRC effort is concluded. </w:t>
      </w:r>
    </w:p>
    <w:p w14:paraId="34849A39" w14:textId="4A610C5B" w:rsidR="00402840" w:rsidRPr="00BA0DC6" w:rsidRDefault="00402840" w:rsidP="00F1231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</w:pPr>
      <w:r w:rsidRPr="00BA0DC6">
        <w:t xml:space="preserve">Alternate WBHF approaches </w:t>
      </w:r>
      <w:r w:rsidR="006B1A1A" w:rsidRPr="00BA0DC6">
        <w:t xml:space="preserve">of </w:t>
      </w:r>
      <w:r w:rsidRPr="00BA0DC6">
        <w:t xml:space="preserve">other radio and system designers are expected to co-exist alongside </w:t>
      </w:r>
      <w:r w:rsidR="00B447C2" w:rsidRPr="00BA0DC6">
        <w:t xml:space="preserve">the </w:t>
      </w:r>
      <w:r w:rsidRPr="00BA0DC6">
        <w:t xml:space="preserve">contiguous </w:t>
      </w:r>
      <w:r w:rsidR="006B1A1A" w:rsidRPr="00BA0DC6">
        <w:t xml:space="preserve">channel </w:t>
      </w:r>
      <w:r w:rsidRPr="00BA0DC6">
        <w:t xml:space="preserve">WBHF approach </w:t>
      </w:r>
      <w:r w:rsidR="006B1A1A" w:rsidRPr="00BA0DC6">
        <w:t xml:space="preserve">described here, </w:t>
      </w:r>
      <w:r w:rsidRPr="00BA0DC6">
        <w:t>as long as the new entrants meet the out</w:t>
      </w:r>
      <w:r w:rsidR="00717DDC">
        <w:t>-</w:t>
      </w:r>
      <w:r w:rsidRPr="00BA0DC6">
        <w:t>of</w:t>
      </w:r>
      <w:r w:rsidR="00717DDC">
        <w:t>-</w:t>
      </w:r>
      <w:r w:rsidRPr="00BA0DC6">
        <w:t xml:space="preserve">band airborne HF spectral requirements and ensure compatibility with existing uses of HF.  </w:t>
      </w:r>
    </w:p>
    <w:p w14:paraId="15EA8C01" w14:textId="556D13A0" w:rsidR="001405AA" w:rsidRPr="00BA0DC6" w:rsidRDefault="003B2015" w:rsidP="001405AA">
      <w:pPr>
        <w:pStyle w:val="ListParagraph"/>
        <w:numPr>
          <w:ilvl w:val="1"/>
          <w:numId w:val="9"/>
        </w:numPr>
        <w:jc w:val="left"/>
        <w:rPr>
          <w:szCs w:val="22"/>
        </w:rPr>
      </w:pPr>
      <w:r w:rsidRPr="00BA0DC6">
        <w:rPr>
          <w:szCs w:val="22"/>
        </w:rPr>
        <w:t>As a</w:t>
      </w:r>
      <w:r w:rsidR="001405AA" w:rsidRPr="00BA0DC6">
        <w:rPr>
          <w:szCs w:val="22"/>
        </w:rPr>
        <w:t xml:space="preserve"> </w:t>
      </w:r>
      <w:r w:rsidRPr="00BA0DC6">
        <w:rPr>
          <w:szCs w:val="22"/>
        </w:rPr>
        <w:t>point of reference,</w:t>
      </w:r>
      <w:r w:rsidR="001405AA" w:rsidRPr="00BA0DC6">
        <w:rPr>
          <w:szCs w:val="22"/>
        </w:rPr>
        <w:t xml:space="preserve"> Table </w:t>
      </w:r>
      <w:r w:rsidR="008465B8" w:rsidRPr="00BA0DC6">
        <w:rPr>
          <w:szCs w:val="22"/>
        </w:rPr>
        <w:t>1</w:t>
      </w:r>
      <w:r w:rsidR="0080619C">
        <w:rPr>
          <w:szCs w:val="22"/>
        </w:rPr>
        <w:t xml:space="preserve"> </w:t>
      </w:r>
      <w:r w:rsidR="001405AA" w:rsidRPr="00BA0DC6">
        <w:rPr>
          <w:szCs w:val="22"/>
        </w:rPr>
        <w:t xml:space="preserve">shows </w:t>
      </w:r>
      <w:r w:rsidR="000105D3">
        <w:rPr>
          <w:szCs w:val="22"/>
        </w:rPr>
        <w:t>data speeds that can be achieved</w:t>
      </w:r>
      <w:r w:rsidR="001405AA" w:rsidRPr="00BA0DC6">
        <w:rPr>
          <w:szCs w:val="22"/>
        </w:rPr>
        <w:t xml:space="preserve"> with advanced modulation waveforms on contiguous channels utilized as a wide-band channel.</w:t>
      </w:r>
      <w:r w:rsidR="00123D96" w:rsidRPr="00BA0DC6">
        <w:rPr>
          <w:szCs w:val="22"/>
        </w:rPr>
        <w:t xml:space="preserve"> </w:t>
      </w:r>
    </w:p>
    <w:p w14:paraId="6209CC3E" w14:textId="526D2530" w:rsidR="001405AA" w:rsidRPr="00BA0DC6" w:rsidRDefault="001405AA" w:rsidP="001405AA">
      <w:pPr>
        <w:jc w:val="left"/>
      </w:pPr>
    </w:p>
    <w:p w14:paraId="2CED441C" w14:textId="77777777" w:rsidR="001405AA" w:rsidRPr="00BA0DC6" w:rsidRDefault="001405AA" w:rsidP="001405AA">
      <w:pPr>
        <w:jc w:val="left"/>
      </w:pPr>
    </w:p>
    <w:p w14:paraId="7B926DC5" w14:textId="77777777" w:rsidR="008465B8" w:rsidRPr="00BA0DC6" w:rsidRDefault="001405AA" w:rsidP="00023B48">
      <w:pPr>
        <w:keepNext/>
        <w:jc w:val="center"/>
      </w:pPr>
      <w:r w:rsidRPr="00BA0DC6">
        <w:rPr>
          <w:noProof/>
        </w:rPr>
        <w:drawing>
          <wp:inline distT="114300" distB="114300" distL="114300" distR="114300" wp14:anchorId="3073E86D" wp14:editId="69A8690D">
            <wp:extent cx="5635943" cy="187864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5943" cy="1878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5ABAFE" w14:textId="10C89397" w:rsidR="001405AA" w:rsidRPr="00BA0DC6" w:rsidRDefault="008465B8" w:rsidP="00023B48">
      <w:pPr>
        <w:pStyle w:val="Caption"/>
        <w:jc w:val="center"/>
        <w:rPr>
          <w:color w:val="auto"/>
        </w:rPr>
      </w:pPr>
      <w:r w:rsidRPr="00BA0DC6">
        <w:rPr>
          <w:color w:val="auto"/>
        </w:rPr>
        <w:t xml:space="preserve">Table </w:t>
      </w:r>
      <w:r w:rsidRPr="00BA0DC6">
        <w:rPr>
          <w:color w:val="auto"/>
        </w:rPr>
        <w:fldChar w:fldCharType="begin"/>
      </w:r>
      <w:r w:rsidRPr="00BA0DC6">
        <w:rPr>
          <w:color w:val="auto"/>
        </w:rPr>
        <w:instrText xml:space="preserve"> SEQ Table \* ARABIC </w:instrText>
      </w:r>
      <w:r w:rsidRPr="00BA0DC6">
        <w:rPr>
          <w:color w:val="auto"/>
        </w:rPr>
        <w:fldChar w:fldCharType="separate"/>
      </w:r>
      <w:r w:rsidRPr="00BA0DC6">
        <w:rPr>
          <w:noProof/>
          <w:color w:val="auto"/>
        </w:rPr>
        <w:t>1</w:t>
      </w:r>
      <w:r w:rsidRPr="00BA0DC6">
        <w:rPr>
          <w:color w:val="auto"/>
        </w:rPr>
        <w:fldChar w:fldCharType="end"/>
      </w:r>
      <w:r w:rsidRPr="00BA0DC6">
        <w:rPr>
          <w:color w:val="auto"/>
        </w:rPr>
        <w:t>- Modulation used to obtain each data rate.</w:t>
      </w:r>
    </w:p>
    <w:p w14:paraId="7DF0A09C" w14:textId="48866D84" w:rsidR="00E91AC3" w:rsidRPr="00BA0DC6" w:rsidRDefault="003E28F7" w:rsidP="005443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  <w:rPr>
          <w:b/>
          <w:bCs/>
        </w:rPr>
      </w:pPr>
      <w:bookmarkStart w:id="3" w:name="_3znysh7" w:colFirst="0" w:colLast="0"/>
      <w:bookmarkEnd w:id="3"/>
      <w:r w:rsidRPr="00BA0DC6">
        <w:rPr>
          <w:b/>
          <w:bCs/>
        </w:rPr>
        <w:t>TECHNICAL ASPECTS OF THE WIDEBAND HF SYSTEM OVERLAY CONCEPT</w:t>
      </w:r>
    </w:p>
    <w:p w14:paraId="1661FBD8" w14:textId="10470B4E" w:rsidR="009F0404" w:rsidRDefault="00E91AC3" w:rsidP="00BA0DC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</w:pPr>
      <w:r w:rsidRPr="00BA0DC6">
        <w:t xml:space="preserve">The </w:t>
      </w:r>
      <w:r w:rsidR="00BA0DC6" w:rsidRPr="00BA0DC6">
        <w:t>W</w:t>
      </w:r>
      <w:r w:rsidR="00BA0DC6">
        <w:t>B</w:t>
      </w:r>
      <w:r w:rsidRPr="00BA0DC6">
        <w:t xml:space="preserve">HF </w:t>
      </w:r>
      <w:r w:rsidR="00BA0DC6">
        <w:t>s</w:t>
      </w:r>
      <w:r w:rsidR="00BA0DC6" w:rsidRPr="00BA0DC6">
        <w:t xml:space="preserve">ystem </w:t>
      </w:r>
      <w:r w:rsidRPr="00BA0DC6">
        <w:t>will utilize the existing 2.8 to 22 MHz</w:t>
      </w:r>
      <w:r w:rsidR="007B7610" w:rsidRPr="00BA0DC6">
        <w:t xml:space="preserve"> AM(R)S</w:t>
      </w:r>
      <w:r w:rsidRPr="00BA0DC6">
        <w:t xml:space="preserve"> HF aeronautical frequency band</w:t>
      </w:r>
      <w:r w:rsidR="007B7610" w:rsidRPr="00BA0DC6">
        <w:t>s</w:t>
      </w:r>
      <w:r w:rsidRPr="00BA0DC6">
        <w:t>, so no additional spectrum will need to be allocated</w:t>
      </w:r>
      <w:r w:rsidR="00BA0DC6">
        <w:t xml:space="preserve">, and </w:t>
      </w:r>
      <w:r w:rsidR="000834E7">
        <w:t xml:space="preserve">new </w:t>
      </w:r>
      <w:r w:rsidRPr="00BA0DC6">
        <w:t xml:space="preserve">modulation waveforms will fall under the same J2D emission designator as legacy HFDL.  Since the </w:t>
      </w:r>
      <w:r w:rsidR="000A71DE" w:rsidRPr="00BA0DC6">
        <w:t>W</w:t>
      </w:r>
      <w:r w:rsidR="001473AD">
        <w:t>B</w:t>
      </w:r>
      <w:r w:rsidRPr="00BA0DC6">
        <w:t>HF signal will also comply with the legacy HFDL spectral mask regarding adjacent channel power (see figure</w:t>
      </w:r>
      <w:r w:rsidR="00653145" w:rsidRPr="00BA0DC6">
        <w:t>s</w:t>
      </w:r>
      <w:r w:rsidRPr="00BA0DC6">
        <w:t xml:space="preserve"> below), it will </w:t>
      </w:r>
      <w:r w:rsidR="001473AD">
        <w:t>coexist</w:t>
      </w:r>
      <w:r w:rsidRPr="00BA0DC6">
        <w:t xml:space="preserve"> </w:t>
      </w:r>
      <w:r w:rsidRPr="00BA0DC6">
        <w:lastRenderedPageBreak/>
        <w:t>with legacy HF voice and HF</w:t>
      </w:r>
      <w:r w:rsidR="00CC24B9" w:rsidRPr="00BA0DC6">
        <w:t xml:space="preserve">DL, as well as </w:t>
      </w:r>
      <w:r w:rsidR="000834E7">
        <w:t>existing</w:t>
      </w:r>
      <w:r w:rsidR="007B7610" w:rsidRPr="00BA0DC6">
        <w:t xml:space="preserve"> adjacent </w:t>
      </w:r>
      <w:r w:rsidR="000834E7">
        <w:t xml:space="preserve">band </w:t>
      </w:r>
      <w:r w:rsidR="007B7610" w:rsidRPr="00BA0DC6">
        <w:t xml:space="preserve">services in </w:t>
      </w:r>
      <w:r w:rsidRPr="00BA0DC6">
        <w:t xml:space="preserve">the HF spectrum.  </w:t>
      </w:r>
      <w:r w:rsidR="009F0404">
        <w:t>Table 2 provides sample technical characteristics of a WBHF system.</w:t>
      </w:r>
      <w:r w:rsidR="009F0404" w:rsidRPr="00BA0DC6" w:rsidDel="007B7610">
        <w:t xml:space="preserve"> </w:t>
      </w:r>
    </w:p>
    <w:p w14:paraId="34E8A0E6" w14:textId="77777777" w:rsidR="0080619C" w:rsidRPr="00BA0DC6" w:rsidRDefault="0080619C" w:rsidP="00C14DB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ind w:left="720"/>
        <w:jc w:val="left"/>
      </w:pPr>
    </w:p>
    <w:p w14:paraId="705BBDE0" w14:textId="77777777" w:rsidR="007B7610" w:rsidRPr="00BA0DC6" w:rsidRDefault="0054433A" w:rsidP="00D160E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ind w:left="720"/>
        <w:jc w:val="left"/>
      </w:pPr>
      <w:r w:rsidRPr="00BA0DC6">
        <w:rPr>
          <w:noProof/>
        </w:rPr>
        <w:drawing>
          <wp:inline distT="0" distB="0" distL="0" distR="0" wp14:anchorId="51358AC7" wp14:editId="6F6A5578">
            <wp:extent cx="6189980" cy="5020945"/>
            <wp:effectExtent l="0" t="0" r="127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9980" cy="502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4C837" w14:textId="75383D7D" w:rsidR="0054433A" w:rsidRPr="00BA0DC6" w:rsidRDefault="007B7610" w:rsidP="00023B48">
      <w:pPr>
        <w:pStyle w:val="Caption"/>
        <w:jc w:val="center"/>
        <w:rPr>
          <w:color w:val="auto"/>
        </w:rPr>
      </w:pPr>
      <w:r w:rsidRPr="00BA0DC6">
        <w:rPr>
          <w:color w:val="auto"/>
        </w:rPr>
        <w:t xml:space="preserve">Figure </w:t>
      </w:r>
      <w:r w:rsidRPr="00BA0DC6">
        <w:rPr>
          <w:color w:val="auto"/>
        </w:rPr>
        <w:fldChar w:fldCharType="begin"/>
      </w:r>
      <w:r w:rsidRPr="00BA0DC6">
        <w:rPr>
          <w:color w:val="auto"/>
        </w:rPr>
        <w:instrText xml:space="preserve"> SEQ Figure \* ARABIC </w:instrText>
      </w:r>
      <w:r w:rsidRPr="00BA0DC6">
        <w:rPr>
          <w:color w:val="auto"/>
        </w:rPr>
        <w:fldChar w:fldCharType="separate"/>
      </w:r>
      <w:r w:rsidR="00CC4530" w:rsidRPr="00BA0DC6">
        <w:rPr>
          <w:noProof/>
          <w:color w:val="auto"/>
        </w:rPr>
        <w:t>1</w:t>
      </w:r>
      <w:r w:rsidRPr="00BA0DC6">
        <w:rPr>
          <w:color w:val="auto"/>
        </w:rPr>
        <w:fldChar w:fldCharType="end"/>
      </w:r>
      <w:r w:rsidRPr="00BA0DC6">
        <w:rPr>
          <w:color w:val="auto"/>
        </w:rPr>
        <w:t xml:space="preserve">- ICAO Annex 10 Volume III </w:t>
      </w:r>
      <w:r w:rsidR="00435945" w:rsidRPr="00BA0DC6">
        <w:rPr>
          <w:color w:val="auto"/>
        </w:rPr>
        <w:t xml:space="preserve">(Figure 11-1) </w:t>
      </w:r>
      <w:r w:rsidRPr="00BA0DC6">
        <w:rPr>
          <w:color w:val="auto"/>
        </w:rPr>
        <w:t>Required spectrum limits (in terms of peak power) for HFDL aircraft and ground station transmitters</w:t>
      </w:r>
    </w:p>
    <w:p w14:paraId="4E9A0F88" w14:textId="6726EE38" w:rsidR="00653145" w:rsidRPr="00BA0DC6" w:rsidRDefault="00653145" w:rsidP="00023B48">
      <w:pPr>
        <w:ind w:left="464"/>
        <w:jc w:val="center"/>
      </w:pPr>
      <w:r w:rsidRPr="00BA0DC6">
        <w:rPr>
          <w:noProof/>
        </w:rPr>
        <w:lastRenderedPageBreak/>
        <w:drawing>
          <wp:inline distT="0" distB="0" distL="0" distR="0" wp14:anchorId="3E644DAF" wp14:editId="3A453965">
            <wp:extent cx="5972574" cy="3225800"/>
            <wp:effectExtent l="19050" t="19050" r="28575" b="1270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458" cy="32327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0EA81A" w14:textId="77777777" w:rsidR="007B7610" w:rsidRPr="00BA0DC6" w:rsidRDefault="00653145" w:rsidP="00023B48">
      <w:pPr>
        <w:keepNext/>
        <w:ind w:left="464"/>
        <w:jc w:val="right"/>
      </w:pPr>
      <w:r w:rsidRPr="00BA0DC6">
        <w:rPr>
          <w:noProof/>
        </w:rPr>
        <w:drawing>
          <wp:inline distT="0" distB="0" distL="0" distR="0" wp14:anchorId="6FCF9EC9" wp14:editId="4E0205D0">
            <wp:extent cx="2520373" cy="11239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43" cy="1135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672E6F" w14:textId="0823DA40" w:rsidR="00653145" w:rsidRDefault="007B7610" w:rsidP="00023B48">
      <w:pPr>
        <w:pStyle w:val="Caption"/>
        <w:jc w:val="center"/>
        <w:rPr>
          <w:color w:val="auto"/>
        </w:rPr>
      </w:pPr>
      <w:r w:rsidRPr="00BA0DC6">
        <w:rPr>
          <w:color w:val="auto"/>
        </w:rPr>
        <w:t xml:space="preserve">Figure </w:t>
      </w:r>
      <w:r w:rsidRPr="00BA0DC6">
        <w:rPr>
          <w:color w:val="auto"/>
        </w:rPr>
        <w:fldChar w:fldCharType="begin"/>
      </w:r>
      <w:r w:rsidRPr="00BA0DC6">
        <w:rPr>
          <w:color w:val="auto"/>
        </w:rPr>
        <w:instrText xml:space="preserve"> SEQ Figure \* ARABIC </w:instrText>
      </w:r>
      <w:r w:rsidRPr="00BA0DC6">
        <w:rPr>
          <w:color w:val="auto"/>
        </w:rPr>
        <w:fldChar w:fldCharType="separate"/>
      </w:r>
      <w:r w:rsidR="00CC4530" w:rsidRPr="00BA0DC6">
        <w:rPr>
          <w:noProof/>
          <w:color w:val="auto"/>
        </w:rPr>
        <w:t>2</w:t>
      </w:r>
      <w:r w:rsidRPr="00BA0DC6">
        <w:rPr>
          <w:color w:val="auto"/>
        </w:rPr>
        <w:fldChar w:fldCharType="end"/>
      </w:r>
      <w:r w:rsidRPr="00BA0DC6">
        <w:rPr>
          <w:color w:val="auto"/>
        </w:rPr>
        <w:t>- Proposed Wideband HF Spectral Mask</w:t>
      </w:r>
      <w:r w:rsidR="008465B8" w:rsidRPr="00BA0DC6">
        <w:rPr>
          <w:color w:val="auto"/>
        </w:rPr>
        <w:t>. Note</w:t>
      </w:r>
      <w:r w:rsidR="00DF6197" w:rsidRPr="00BA0DC6">
        <w:rPr>
          <w:color w:val="auto"/>
        </w:rPr>
        <w:t>:</w:t>
      </w:r>
      <w:r w:rsidR="008465B8" w:rsidRPr="00BA0DC6">
        <w:rPr>
          <w:color w:val="auto"/>
        </w:rPr>
        <w:t xml:space="preserve"> N is the number of bonded conti</w:t>
      </w:r>
      <w:r w:rsidR="00717DDC">
        <w:rPr>
          <w:color w:val="auto"/>
        </w:rPr>
        <w:t>g</w:t>
      </w:r>
      <w:r w:rsidR="008465B8" w:rsidRPr="00BA0DC6">
        <w:rPr>
          <w:color w:val="auto"/>
        </w:rPr>
        <w:t>uous channels</w:t>
      </w:r>
    </w:p>
    <w:p w14:paraId="3149AF9D" w14:textId="23327A04" w:rsidR="00717DDC" w:rsidRDefault="00717DDC" w:rsidP="00C14DB0">
      <w:r w:rsidRPr="00717DDC">
        <w:t>Note: Assigned frequency is offset by BW/2 - 100 Hz above SSB carrier reference frequency, as with legacy HFDL.</w:t>
      </w:r>
    </w:p>
    <w:p w14:paraId="657591C4" w14:textId="77777777" w:rsidR="00717DDC" w:rsidRDefault="00717DDC" w:rsidP="00C14DB0"/>
    <w:p w14:paraId="72E2EA5B" w14:textId="77777777" w:rsidR="00717DDC" w:rsidRPr="00C14DB0" w:rsidRDefault="00717DDC" w:rsidP="00C14DB0"/>
    <w:p w14:paraId="2CE5CC9E" w14:textId="77777777" w:rsidR="00CC4530" w:rsidRPr="00BA0DC6" w:rsidRDefault="00CC4530" w:rsidP="00023B48">
      <w:pPr>
        <w:keepNext/>
        <w:jc w:val="center"/>
      </w:pPr>
      <w:r w:rsidRPr="007B0B81">
        <w:rPr>
          <w:noProof/>
        </w:rPr>
        <w:lastRenderedPageBreak/>
        <w:drawing>
          <wp:inline distT="0" distB="0" distL="0" distR="0" wp14:anchorId="7D6F99D9" wp14:editId="32EEAD77">
            <wp:extent cx="5669884" cy="2625383"/>
            <wp:effectExtent l="19050" t="19050" r="26670" b="22860"/>
            <wp:docPr id="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884" cy="26253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C9CAA0" w14:textId="77777777" w:rsidR="00DF6197" w:rsidRPr="00BA0DC6" w:rsidRDefault="00DF6197" w:rsidP="00CC4530">
      <w:pPr>
        <w:pStyle w:val="Caption"/>
        <w:rPr>
          <w:color w:val="auto"/>
        </w:rPr>
      </w:pPr>
    </w:p>
    <w:p w14:paraId="2FDCFA6B" w14:textId="636000F8" w:rsidR="00CC4530" w:rsidRDefault="00CC4530" w:rsidP="00023B48">
      <w:pPr>
        <w:pStyle w:val="Caption"/>
        <w:jc w:val="center"/>
        <w:rPr>
          <w:color w:val="auto"/>
        </w:rPr>
      </w:pPr>
      <w:r w:rsidRPr="00BA0DC6">
        <w:rPr>
          <w:color w:val="auto"/>
        </w:rPr>
        <w:t xml:space="preserve">Figure </w:t>
      </w:r>
      <w:r w:rsidRPr="00BA0DC6">
        <w:rPr>
          <w:color w:val="auto"/>
        </w:rPr>
        <w:fldChar w:fldCharType="begin"/>
      </w:r>
      <w:r w:rsidRPr="00BA0DC6">
        <w:rPr>
          <w:color w:val="auto"/>
        </w:rPr>
        <w:instrText xml:space="preserve"> SEQ Figure \* ARABIC </w:instrText>
      </w:r>
      <w:r w:rsidRPr="00BA0DC6">
        <w:rPr>
          <w:color w:val="auto"/>
        </w:rPr>
        <w:fldChar w:fldCharType="separate"/>
      </w:r>
      <w:r w:rsidRPr="00BA0DC6">
        <w:rPr>
          <w:noProof/>
          <w:color w:val="auto"/>
        </w:rPr>
        <w:t>3</w:t>
      </w:r>
      <w:r w:rsidRPr="00BA0DC6">
        <w:rPr>
          <w:color w:val="auto"/>
        </w:rPr>
        <w:fldChar w:fldCharType="end"/>
      </w:r>
      <w:r w:rsidRPr="00BA0DC6">
        <w:rPr>
          <w:color w:val="auto"/>
        </w:rPr>
        <w:t xml:space="preserve"> –</w:t>
      </w:r>
      <w:r w:rsidR="00C80FE8">
        <w:rPr>
          <w:color w:val="auto"/>
        </w:rPr>
        <w:t xml:space="preserve"> Current</w:t>
      </w:r>
      <w:r w:rsidRPr="00BA0DC6">
        <w:rPr>
          <w:color w:val="auto"/>
        </w:rPr>
        <w:t xml:space="preserve"> Spectral Emission mask Table</w:t>
      </w:r>
      <w:r w:rsidR="00DF6197" w:rsidRPr="00BA0DC6">
        <w:rPr>
          <w:color w:val="auto"/>
        </w:rPr>
        <w:t xml:space="preserve"> (27/74)</w:t>
      </w:r>
    </w:p>
    <w:p w14:paraId="43A9197E" w14:textId="77777777" w:rsidR="00DB4196" w:rsidRDefault="00DB4196" w:rsidP="00DB4196"/>
    <w:p w14:paraId="4943CBBE" w14:textId="77777777" w:rsidR="00DB4196" w:rsidRPr="00DB4196" w:rsidRDefault="00DB4196" w:rsidP="00DB4196"/>
    <w:p w14:paraId="41683E58" w14:textId="77777777" w:rsidR="00CC4530" w:rsidRPr="00BA0DC6" w:rsidRDefault="00CC4530" w:rsidP="00023B48">
      <w:pPr>
        <w:keepNext/>
        <w:jc w:val="center"/>
      </w:pPr>
      <w:r w:rsidRPr="007B0B81">
        <w:rPr>
          <w:noProof/>
        </w:rPr>
        <w:drawing>
          <wp:inline distT="0" distB="0" distL="0" distR="0" wp14:anchorId="2A035CC9" wp14:editId="243A34B9">
            <wp:extent cx="5669025" cy="2703509"/>
            <wp:effectExtent l="19050" t="19050" r="27305" b="20955"/>
            <wp:docPr id="7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00000000-0008-0000-0000-00000B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3"/>
                    <a:stretch/>
                  </pic:blipFill>
                  <pic:spPr bwMode="auto">
                    <a:xfrm>
                      <a:off x="0" y="0"/>
                      <a:ext cx="5679509" cy="27085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63B11" w14:textId="77777777" w:rsidR="00CC4530" w:rsidRPr="00BA0DC6" w:rsidRDefault="00CC4530" w:rsidP="00CC4530">
      <w:pPr>
        <w:pStyle w:val="Caption"/>
        <w:rPr>
          <w:color w:val="auto"/>
        </w:rPr>
      </w:pPr>
    </w:p>
    <w:p w14:paraId="20D92775" w14:textId="60C3B3E7" w:rsidR="00CC4530" w:rsidRPr="00023B48" w:rsidRDefault="00CC4530" w:rsidP="00023B48">
      <w:pPr>
        <w:pStyle w:val="Caption"/>
        <w:jc w:val="center"/>
        <w:rPr>
          <w:color w:val="auto"/>
        </w:rPr>
      </w:pPr>
      <w:r w:rsidRPr="00BA0DC6">
        <w:rPr>
          <w:color w:val="auto"/>
        </w:rPr>
        <w:t xml:space="preserve">Figure </w:t>
      </w:r>
      <w:r w:rsidRPr="00BA0DC6">
        <w:rPr>
          <w:color w:val="auto"/>
        </w:rPr>
        <w:fldChar w:fldCharType="begin"/>
      </w:r>
      <w:r w:rsidRPr="00BA0DC6">
        <w:rPr>
          <w:color w:val="auto"/>
        </w:rPr>
        <w:instrText xml:space="preserve"> SEQ Figure \* ARABIC </w:instrText>
      </w:r>
      <w:r w:rsidRPr="00BA0DC6">
        <w:rPr>
          <w:color w:val="auto"/>
        </w:rPr>
        <w:fldChar w:fldCharType="separate"/>
      </w:r>
      <w:r w:rsidRPr="00BA0DC6">
        <w:rPr>
          <w:noProof/>
          <w:color w:val="auto"/>
        </w:rPr>
        <w:t>4</w:t>
      </w:r>
      <w:r w:rsidRPr="00BA0DC6">
        <w:rPr>
          <w:color w:val="auto"/>
        </w:rPr>
        <w:fldChar w:fldCharType="end"/>
      </w:r>
      <w:r w:rsidRPr="00BA0DC6">
        <w:rPr>
          <w:color w:val="auto"/>
        </w:rPr>
        <w:t xml:space="preserve"> – Proposed Wideband HF Spectral Emission Mask Table</w:t>
      </w:r>
    </w:p>
    <w:p w14:paraId="042A0C32" w14:textId="77777777" w:rsidR="0054433A" w:rsidRPr="00BA0DC6" w:rsidRDefault="0054433A" w:rsidP="0054433A">
      <w:pPr>
        <w:jc w:val="center"/>
      </w:pPr>
    </w:p>
    <w:p w14:paraId="5C228459" w14:textId="3895C14B" w:rsidR="0054433A" w:rsidRDefault="0054433A" w:rsidP="0054433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2748"/>
        <w:gridCol w:w="2748"/>
        <w:gridCol w:w="1663"/>
      </w:tblGrid>
      <w:tr w:rsidR="009F0404" w14:paraId="2C4A2A8F" w14:textId="77777777" w:rsidTr="002F668E">
        <w:tc>
          <w:tcPr>
            <w:tcW w:w="2191" w:type="dxa"/>
          </w:tcPr>
          <w:p w14:paraId="6B8B2187" w14:textId="77777777" w:rsidR="009F0404" w:rsidRDefault="009F0404" w:rsidP="002F668E">
            <w:pPr>
              <w:jc w:val="center"/>
            </w:pPr>
            <w:r>
              <w:t>Parameter</w:t>
            </w:r>
          </w:p>
        </w:tc>
        <w:tc>
          <w:tcPr>
            <w:tcW w:w="2748" w:type="dxa"/>
          </w:tcPr>
          <w:p w14:paraId="539233C0" w14:textId="77777777" w:rsidR="009F0404" w:rsidRDefault="009F0404" w:rsidP="002F668E">
            <w:pPr>
              <w:jc w:val="center"/>
            </w:pPr>
            <w:r>
              <w:t>Ground Station</w:t>
            </w:r>
          </w:p>
        </w:tc>
        <w:tc>
          <w:tcPr>
            <w:tcW w:w="2748" w:type="dxa"/>
          </w:tcPr>
          <w:p w14:paraId="2AD82265" w14:textId="77777777" w:rsidR="009F0404" w:rsidRDefault="009F0404" w:rsidP="002F668E">
            <w:pPr>
              <w:jc w:val="center"/>
            </w:pPr>
            <w:r>
              <w:t>Aircraft Station</w:t>
            </w:r>
          </w:p>
        </w:tc>
        <w:tc>
          <w:tcPr>
            <w:tcW w:w="1663" w:type="dxa"/>
          </w:tcPr>
          <w:p w14:paraId="40AC47C5" w14:textId="77777777" w:rsidR="009F0404" w:rsidRDefault="009F0404" w:rsidP="002F668E">
            <w:pPr>
              <w:jc w:val="center"/>
            </w:pPr>
            <w:r>
              <w:t>Units</w:t>
            </w:r>
          </w:p>
        </w:tc>
      </w:tr>
      <w:tr w:rsidR="009F0404" w14:paraId="3F84638C" w14:textId="77777777" w:rsidTr="002F668E">
        <w:trPr>
          <w:trHeight w:val="332"/>
        </w:trPr>
        <w:tc>
          <w:tcPr>
            <w:tcW w:w="2191" w:type="dxa"/>
          </w:tcPr>
          <w:p w14:paraId="344F6932" w14:textId="77777777" w:rsidR="009F0404" w:rsidRDefault="009F0404" w:rsidP="002F668E">
            <w:pPr>
              <w:jc w:val="center"/>
            </w:pPr>
            <w:r>
              <w:t>Channel Bandwidths</w:t>
            </w:r>
          </w:p>
        </w:tc>
        <w:tc>
          <w:tcPr>
            <w:tcW w:w="2748" w:type="dxa"/>
          </w:tcPr>
          <w:p w14:paraId="6583744F" w14:textId="77777777" w:rsidR="009F0404" w:rsidRDefault="009F0404" w:rsidP="002F668E">
            <w:pPr>
              <w:jc w:val="center"/>
            </w:pPr>
            <w:r>
              <w:t>3,6,9,12,15,18,21,24,27,</w:t>
            </w:r>
          </w:p>
          <w:p w14:paraId="7F11F009" w14:textId="77777777" w:rsidR="009F0404" w:rsidRDefault="009F0404" w:rsidP="002F668E">
            <w:pPr>
              <w:jc w:val="center"/>
            </w:pPr>
            <w:r>
              <w:t>30,33,36,39,42,45,48</w:t>
            </w:r>
          </w:p>
        </w:tc>
        <w:tc>
          <w:tcPr>
            <w:tcW w:w="2748" w:type="dxa"/>
          </w:tcPr>
          <w:p w14:paraId="6E327457" w14:textId="77777777" w:rsidR="009F0404" w:rsidRDefault="009F0404" w:rsidP="002F668E">
            <w:pPr>
              <w:jc w:val="center"/>
            </w:pPr>
            <w:r>
              <w:t>3,6,9,12,15,18,21,24,27,</w:t>
            </w:r>
          </w:p>
          <w:p w14:paraId="20A61D2D" w14:textId="77777777" w:rsidR="009F0404" w:rsidRDefault="009F0404" w:rsidP="002F668E">
            <w:pPr>
              <w:jc w:val="center"/>
            </w:pPr>
            <w:r>
              <w:t>30,33,36,39,42,45,48</w:t>
            </w:r>
          </w:p>
        </w:tc>
        <w:tc>
          <w:tcPr>
            <w:tcW w:w="1663" w:type="dxa"/>
          </w:tcPr>
          <w:p w14:paraId="1FBA0CA9" w14:textId="77777777" w:rsidR="009F0404" w:rsidRDefault="009F0404" w:rsidP="002F668E">
            <w:pPr>
              <w:jc w:val="center"/>
            </w:pPr>
            <w:r>
              <w:t>kHz</w:t>
            </w:r>
          </w:p>
        </w:tc>
      </w:tr>
      <w:tr w:rsidR="009F0404" w14:paraId="41B47B7C" w14:textId="77777777" w:rsidTr="002F668E">
        <w:tc>
          <w:tcPr>
            <w:tcW w:w="2191" w:type="dxa"/>
          </w:tcPr>
          <w:p w14:paraId="54EBB585" w14:textId="77777777" w:rsidR="009F0404" w:rsidRDefault="009F0404" w:rsidP="002F668E">
            <w:pPr>
              <w:jc w:val="center"/>
            </w:pPr>
            <w:r>
              <w:t>Emission Type</w:t>
            </w:r>
          </w:p>
        </w:tc>
        <w:tc>
          <w:tcPr>
            <w:tcW w:w="2748" w:type="dxa"/>
          </w:tcPr>
          <w:p w14:paraId="719F89FA" w14:textId="77777777" w:rsidR="009F0404" w:rsidRDefault="009F0404" w:rsidP="002F668E">
            <w:pPr>
              <w:jc w:val="center"/>
            </w:pPr>
            <w:r>
              <w:t>SSB</w:t>
            </w:r>
          </w:p>
        </w:tc>
        <w:tc>
          <w:tcPr>
            <w:tcW w:w="2748" w:type="dxa"/>
          </w:tcPr>
          <w:p w14:paraId="107D33C9" w14:textId="77777777" w:rsidR="009F0404" w:rsidRDefault="009F0404" w:rsidP="002F668E">
            <w:pPr>
              <w:jc w:val="center"/>
            </w:pPr>
            <w:r>
              <w:t>SSB</w:t>
            </w:r>
          </w:p>
        </w:tc>
        <w:tc>
          <w:tcPr>
            <w:tcW w:w="1663" w:type="dxa"/>
          </w:tcPr>
          <w:p w14:paraId="2E385227" w14:textId="77777777" w:rsidR="009F0404" w:rsidRDefault="009F0404" w:rsidP="002F668E">
            <w:pPr>
              <w:jc w:val="center"/>
            </w:pPr>
          </w:p>
        </w:tc>
      </w:tr>
      <w:tr w:rsidR="009F0404" w14:paraId="0D146684" w14:textId="77777777" w:rsidTr="002F668E">
        <w:tc>
          <w:tcPr>
            <w:tcW w:w="2191" w:type="dxa"/>
          </w:tcPr>
          <w:p w14:paraId="43F20B4E" w14:textId="77777777" w:rsidR="009F0404" w:rsidRDefault="009F0404" w:rsidP="002F668E">
            <w:pPr>
              <w:jc w:val="center"/>
            </w:pPr>
            <w:r>
              <w:lastRenderedPageBreak/>
              <w:t>Duplex Type</w:t>
            </w:r>
          </w:p>
        </w:tc>
        <w:tc>
          <w:tcPr>
            <w:tcW w:w="2748" w:type="dxa"/>
          </w:tcPr>
          <w:p w14:paraId="37A87F36" w14:textId="77777777" w:rsidR="009F0404" w:rsidRDefault="009F0404" w:rsidP="002F668E">
            <w:pPr>
              <w:jc w:val="center"/>
            </w:pPr>
            <w:r>
              <w:t>Half-Duplex, Full Duplex, and Broadcast</w:t>
            </w:r>
          </w:p>
        </w:tc>
        <w:tc>
          <w:tcPr>
            <w:tcW w:w="2748" w:type="dxa"/>
          </w:tcPr>
          <w:p w14:paraId="56250638" w14:textId="26953237" w:rsidR="009F0404" w:rsidRDefault="009F0404" w:rsidP="000105D3">
            <w:pPr>
              <w:jc w:val="center"/>
            </w:pPr>
            <w:r>
              <w:t>Half-Duplex, and Broadcast</w:t>
            </w:r>
          </w:p>
        </w:tc>
        <w:tc>
          <w:tcPr>
            <w:tcW w:w="1663" w:type="dxa"/>
          </w:tcPr>
          <w:p w14:paraId="656C76BF" w14:textId="77777777" w:rsidR="009F0404" w:rsidRDefault="009F0404" w:rsidP="002F668E">
            <w:pPr>
              <w:jc w:val="center"/>
            </w:pPr>
          </w:p>
        </w:tc>
      </w:tr>
      <w:tr w:rsidR="009F0404" w14:paraId="1E289E9E" w14:textId="77777777" w:rsidTr="002F668E">
        <w:tc>
          <w:tcPr>
            <w:tcW w:w="2191" w:type="dxa"/>
          </w:tcPr>
          <w:p w14:paraId="62AD835C" w14:textId="77777777" w:rsidR="009F0404" w:rsidRDefault="009F0404" w:rsidP="002F668E">
            <w:pPr>
              <w:jc w:val="center"/>
            </w:pPr>
            <w:r>
              <w:t>Waveform Type</w:t>
            </w:r>
          </w:p>
        </w:tc>
        <w:tc>
          <w:tcPr>
            <w:tcW w:w="2748" w:type="dxa"/>
          </w:tcPr>
          <w:p w14:paraId="35953D1C" w14:textId="50232E4E" w:rsidR="009F0404" w:rsidRDefault="009F0404" w:rsidP="002F668E">
            <w:pPr>
              <w:jc w:val="center"/>
            </w:pPr>
            <w:r>
              <w:t xml:space="preserve">Walsh, </w:t>
            </w:r>
            <w:r w:rsidR="001473AD">
              <w:t>B</w:t>
            </w:r>
            <w:r>
              <w:t xml:space="preserve">PSK, </w:t>
            </w:r>
            <w:r w:rsidR="001473AD">
              <w:t>Q</w:t>
            </w:r>
            <w:r>
              <w:t xml:space="preserve">PSK, 8PSK, 16QAM,32 QAM, 64QAM, 256 QAM </w:t>
            </w:r>
          </w:p>
        </w:tc>
        <w:tc>
          <w:tcPr>
            <w:tcW w:w="2748" w:type="dxa"/>
          </w:tcPr>
          <w:p w14:paraId="39562919" w14:textId="517B8893" w:rsidR="009F0404" w:rsidRDefault="009F0404" w:rsidP="002F668E">
            <w:pPr>
              <w:jc w:val="center"/>
            </w:pPr>
            <w:r>
              <w:t xml:space="preserve">Walsh, </w:t>
            </w:r>
            <w:r w:rsidR="001473AD">
              <w:t>B</w:t>
            </w:r>
            <w:r>
              <w:t xml:space="preserve">PSK, </w:t>
            </w:r>
            <w:r w:rsidR="001473AD">
              <w:t>Q</w:t>
            </w:r>
            <w:r>
              <w:t>PSK, 8PSK, 16QAM,32 QAM, 64QAM, 256 QAM</w:t>
            </w:r>
          </w:p>
        </w:tc>
        <w:tc>
          <w:tcPr>
            <w:tcW w:w="1663" w:type="dxa"/>
          </w:tcPr>
          <w:p w14:paraId="39737A53" w14:textId="77777777" w:rsidR="009F0404" w:rsidRDefault="009F0404" w:rsidP="002F668E">
            <w:pPr>
              <w:jc w:val="center"/>
            </w:pPr>
          </w:p>
        </w:tc>
      </w:tr>
      <w:tr w:rsidR="009F0404" w14:paraId="0624ECC1" w14:textId="77777777" w:rsidTr="002F668E">
        <w:tc>
          <w:tcPr>
            <w:tcW w:w="2191" w:type="dxa"/>
          </w:tcPr>
          <w:p w14:paraId="1759CC6C" w14:textId="77777777" w:rsidR="009F0404" w:rsidRDefault="009F0404" w:rsidP="002F668E">
            <w:pPr>
              <w:jc w:val="center"/>
            </w:pPr>
            <w:r>
              <w:t>Power Spectral Density</w:t>
            </w:r>
          </w:p>
        </w:tc>
        <w:tc>
          <w:tcPr>
            <w:tcW w:w="2748" w:type="dxa"/>
          </w:tcPr>
          <w:p w14:paraId="6B040779" w14:textId="77777777" w:rsidR="009F0404" w:rsidRDefault="009F0404" w:rsidP="002F668E">
            <w:pPr>
              <w:jc w:val="center"/>
            </w:pPr>
            <w:r>
              <w:t>6 kW/3 kHz</w:t>
            </w:r>
          </w:p>
        </w:tc>
        <w:tc>
          <w:tcPr>
            <w:tcW w:w="2748" w:type="dxa"/>
          </w:tcPr>
          <w:p w14:paraId="149FAEA9" w14:textId="77777777" w:rsidR="009F0404" w:rsidRDefault="009F0404" w:rsidP="002F668E">
            <w:pPr>
              <w:jc w:val="center"/>
            </w:pPr>
            <w:r>
              <w:t>400 W/3 KHz</w:t>
            </w:r>
          </w:p>
        </w:tc>
        <w:tc>
          <w:tcPr>
            <w:tcW w:w="1663" w:type="dxa"/>
          </w:tcPr>
          <w:p w14:paraId="4CFC4D0E" w14:textId="77777777" w:rsidR="009F0404" w:rsidRDefault="009F0404" w:rsidP="002F668E">
            <w:pPr>
              <w:jc w:val="center"/>
            </w:pPr>
          </w:p>
        </w:tc>
      </w:tr>
      <w:tr w:rsidR="009F0404" w14:paraId="4F474B63" w14:textId="77777777" w:rsidTr="002F668E">
        <w:tc>
          <w:tcPr>
            <w:tcW w:w="2191" w:type="dxa"/>
          </w:tcPr>
          <w:p w14:paraId="519B5359" w14:textId="77777777" w:rsidR="009F0404" w:rsidRDefault="009F0404" w:rsidP="002F668E">
            <w:pPr>
              <w:jc w:val="center"/>
            </w:pPr>
            <w:r>
              <w:t>HF Propagation</w:t>
            </w:r>
          </w:p>
        </w:tc>
        <w:tc>
          <w:tcPr>
            <w:tcW w:w="2748" w:type="dxa"/>
          </w:tcPr>
          <w:p w14:paraId="4ED94FC1" w14:textId="77777777" w:rsidR="009F0404" w:rsidRDefault="009F0404" w:rsidP="002F668E">
            <w:pPr>
              <w:jc w:val="center"/>
            </w:pPr>
            <w:r>
              <w:t>Skywave</w:t>
            </w:r>
          </w:p>
        </w:tc>
        <w:tc>
          <w:tcPr>
            <w:tcW w:w="2748" w:type="dxa"/>
          </w:tcPr>
          <w:p w14:paraId="01D57177" w14:textId="77777777" w:rsidR="009F0404" w:rsidRDefault="009F0404" w:rsidP="002F668E">
            <w:pPr>
              <w:jc w:val="center"/>
            </w:pPr>
            <w:r>
              <w:t>Skywave</w:t>
            </w:r>
          </w:p>
        </w:tc>
        <w:tc>
          <w:tcPr>
            <w:tcW w:w="1663" w:type="dxa"/>
          </w:tcPr>
          <w:p w14:paraId="746E873E" w14:textId="77777777" w:rsidR="009F0404" w:rsidRDefault="009F0404" w:rsidP="002F668E">
            <w:pPr>
              <w:jc w:val="center"/>
            </w:pPr>
          </w:p>
        </w:tc>
      </w:tr>
    </w:tbl>
    <w:p w14:paraId="62787EE6" w14:textId="77777777" w:rsidR="00DB4196" w:rsidRDefault="00DB4196" w:rsidP="009F0404">
      <w:pPr>
        <w:pStyle w:val="Caption"/>
        <w:jc w:val="center"/>
        <w:rPr>
          <w:iCs w:val="0"/>
          <w:color w:val="auto"/>
        </w:rPr>
      </w:pPr>
    </w:p>
    <w:p w14:paraId="6B2D3283" w14:textId="77777777" w:rsidR="009F0404" w:rsidRPr="00DB4196" w:rsidRDefault="009F0404" w:rsidP="009F0404">
      <w:pPr>
        <w:pStyle w:val="Caption"/>
        <w:jc w:val="center"/>
      </w:pPr>
      <w:r w:rsidRPr="00DB4196">
        <w:rPr>
          <w:iCs w:val="0"/>
          <w:color w:val="auto"/>
        </w:rPr>
        <w:t xml:space="preserve">Table </w:t>
      </w:r>
      <w:r w:rsidRPr="00DB4196">
        <w:rPr>
          <w:color w:val="auto"/>
        </w:rPr>
        <w:t>2</w:t>
      </w:r>
      <w:r w:rsidRPr="00DB4196">
        <w:rPr>
          <w:iCs w:val="0"/>
          <w:color w:val="auto"/>
        </w:rPr>
        <w:t xml:space="preserve"> - Technical Characteristics</w:t>
      </w:r>
    </w:p>
    <w:p w14:paraId="64251CEE" w14:textId="569DA160" w:rsidR="009F0404" w:rsidRDefault="009F0404" w:rsidP="00C14DB0"/>
    <w:p w14:paraId="7844B9A3" w14:textId="77777777" w:rsidR="009F0404" w:rsidRPr="00BA0DC6" w:rsidRDefault="009F0404" w:rsidP="0054433A">
      <w:pPr>
        <w:jc w:val="center"/>
      </w:pPr>
    </w:p>
    <w:p w14:paraId="7C1477BE" w14:textId="13B4164F" w:rsidR="00157B77" w:rsidRPr="00BA0DC6" w:rsidRDefault="00794997" w:rsidP="00EE554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</w:pPr>
      <w:r w:rsidRPr="00BA0DC6">
        <w:t xml:space="preserve">Existing Appendix 27 </w:t>
      </w:r>
      <w:r w:rsidR="006B1A1A" w:rsidRPr="00BA0DC6">
        <w:t xml:space="preserve">rules are based on </w:t>
      </w:r>
      <w:r w:rsidR="00157B77" w:rsidRPr="00BA0DC6">
        <w:t xml:space="preserve">3 kHz </w:t>
      </w:r>
      <w:r w:rsidRPr="00BA0DC6">
        <w:t>channels</w:t>
      </w:r>
      <w:r w:rsidR="00157B77" w:rsidRPr="00BA0DC6">
        <w:t xml:space="preserve"> where channels are assigned</w:t>
      </w:r>
      <w:r w:rsidR="006B1A1A" w:rsidRPr="00BA0DC6">
        <w:t>,</w:t>
      </w:r>
      <w:r w:rsidR="00157B77" w:rsidRPr="00BA0DC6">
        <w:t xml:space="preserve"> and </w:t>
      </w:r>
      <w:r w:rsidR="006B1A1A" w:rsidRPr="00BA0DC6">
        <w:t xml:space="preserve">a </w:t>
      </w:r>
      <w:r w:rsidR="00157B77" w:rsidRPr="00BA0DC6">
        <w:t xml:space="preserve">spectral mask defined by the </w:t>
      </w:r>
      <w:r w:rsidR="008465B8" w:rsidRPr="00BA0DC6">
        <w:t xml:space="preserve">carrier </w:t>
      </w:r>
      <w:r w:rsidR="00157B77" w:rsidRPr="00BA0DC6">
        <w:t>frequency and/or the assigned frequency</w:t>
      </w:r>
      <w:r w:rsidR="008465B8" w:rsidRPr="00BA0DC6">
        <w:t xml:space="preserve"> such that the spectrum emission </w:t>
      </w:r>
      <w:r w:rsidR="001473AD">
        <w:t xml:space="preserve"> limits are specified for the</w:t>
      </w:r>
      <w:r w:rsidR="00A06D16">
        <w:t xml:space="preserve"> assigned and first, second and third adjacent </w:t>
      </w:r>
      <w:r w:rsidR="008465B8" w:rsidRPr="00BA0DC6">
        <w:t xml:space="preserve"> 3 kHz </w:t>
      </w:r>
      <w:r w:rsidR="00A06D16">
        <w:t>bandwidth</w:t>
      </w:r>
      <w:r w:rsidR="00DF6197" w:rsidRPr="00BA0DC6">
        <w:t xml:space="preserve"> channels</w:t>
      </w:r>
      <w:r w:rsidRPr="00BA0DC6">
        <w:t>.  T</w:t>
      </w:r>
      <w:r w:rsidR="004041BA" w:rsidRPr="00BA0DC6">
        <w:t>o accommodate WBHF</w:t>
      </w:r>
      <w:r w:rsidR="00A06D16">
        <w:t>,</w:t>
      </w:r>
      <w:r w:rsidR="004041BA" w:rsidRPr="00BA0DC6">
        <w:t xml:space="preserve"> Appendix 27 will need to </w:t>
      </w:r>
      <w:r w:rsidRPr="00BA0DC6">
        <w:t xml:space="preserve">allow for </w:t>
      </w:r>
      <w:r w:rsidR="004041BA" w:rsidRPr="00BA0DC6">
        <w:t xml:space="preserve">a </w:t>
      </w:r>
      <w:r w:rsidRPr="00BA0DC6">
        <w:t xml:space="preserve">spectral mask definition </w:t>
      </w:r>
      <w:r w:rsidR="004041BA" w:rsidRPr="00BA0DC6">
        <w:t xml:space="preserve">to accommodate </w:t>
      </w:r>
      <w:r w:rsidR="00157B77" w:rsidRPr="00BA0DC6">
        <w:t xml:space="preserve">multiple contiguous channels </w:t>
      </w:r>
      <w:r w:rsidR="004041BA" w:rsidRPr="00BA0DC6">
        <w:t xml:space="preserve">configured </w:t>
      </w:r>
      <w:r w:rsidR="00157B77" w:rsidRPr="00BA0DC6">
        <w:t>as a single wideband channel</w:t>
      </w:r>
      <w:r w:rsidRPr="00BA0DC6">
        <w:t xml:space="preserve">, </w:t>
      </w:r>
      <w:r w:rsidR="00157B77" w:rsidRPr="00BA0DC6">
        <w:t>defined around the center frequency and bandwidth of the wideband channel</w:t>
      </w:r>
      <w:r w:rsidRPr="00BA0DC6">
        <w:t xml:space="preserve"> (see </w:t>
      </w:r>
      <w:r w:rsidR="008465B8" w:rsidRPr="00BA0DC6">
        <w:t>Figure 1</w:t>
      </w:r>
      <w:r w:rsidRPr="00BA0DC6">
        <w:t xml:space="preserve">). </w:t>
      </w:r>
      <w:r w:rsidR="003F1E1C" w:rsidRPr="00BA0DC6">
        <w:t xml:space="preserve">Wideband HF will meet the same spectrum </w:t>
      </w:r>
      <w:r w:rsidR="00A06D16">
        <w:t>emission limits with respect to adjacent channels as</w:t>
      </w:r>
      <w:r w:rsidR="003F1E1C" w:rsidRPr="00BA0DC6">
        <w:t xml:space="preserve"> the existing 3 kHz allotments</w:t>
      </w:r>
      <w:r w:rsidR="00DF6197" w:rsidRPr="00BA0DC6">
        <w:t xml:space="preserve">, which will ease compatibility </w:t>
      </w:r>
      <w:r w:rsidR="000D5160" w:rsidRPr="00BA0DC6">
        <w:t>analysis</w:t>
      </w:r>
      <w:r w:rsidR="003F1E1C" w:rsidRPr="00BA0DC6">
        <w:t>.</w:t>
      </w:r>
      <w:r w:rsidRPr="00BA0DC6">
        <w:t xml:space="preserve"> </w:t>
      </w:r>
    </w:p>
    <w:p w14:paraId="1BD60197" w14:textId="6CA748D4" w:rsidR="008465B8" w:rsidRPr="00BA0DC6" w:rsidRDefault="008465B8" w:rsidP="00EE554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</w:pPr>
      <w:r w:rsidRPr="00BA0DC6">
        <w:t>The</w:t>
      </w:r>
      <w:r w:rsidR="00A85EB8" w:rsidRPr="00BA0DC6">
        <w:t xml:space="preserve"> proposed</w:t>
      </w:r>
      <w:r w:rsidRPr="00BA0DC6">
        <w:t xml:space="preserve"> protection criteria would </w:t>
      </w:r>
      <w:r w:rsidR="00A85EB8" w:rsidRPr="00BA0DC6">
        <w:t>remain</w:t>
      </w:r>
      <w:r w:rsidRPr="00BA0DC6">
        <w:t xml:space="preserve"> the same 15</w:t>
      </w:r>
      <w:r w:rsidR="00F964F7">
        <w:t xml:space="preserve"> dB</w:t>
      </w:r>
      <w:r w:rsidRPr="00BA0DC6">
        <w:t xml:space="preserve"> D</w:t>
      </w:r>
      <w:r w:rsidR="00A85EB8" w:rsidRPr="00BA0DC6">
        <w:t>esired</w:t>
      </w:r>
      <w:r w:rsidR="00717DDC">
        <w:t>-</w:t>
      </w:r>
      <w:r w:rsidR="00A85EB8" w:rsidRPr="00BA0DC6">
        <w:t>to</w:t>
      </w:r>
      <w:r w:rsidR="00717DDC">
        <w:t>-</w:t>
      </w:r>
      <w:r w:rsidR="00A85EB8" w:rsidRPr="00BA0DC6">
        <w:t>Undesired (D/U) ratio per 3 kHz channel for Data on Data, Data on Voice</w:t>
      </w:r>
      <w:r w:rsidR="00DF6197" w:rsidRPr="00BA0DC6">
        <w:t>, and Voice on Data</w:t>
      </w:r>
      <w:r w:rsidR="00A85EB8" w:rsidRPr="00BA0DC6">
        <w:t>.</w:t>
      </w:r>
      <w:r w:rsidRPr="00BA0DC6">
        <w:t xml:space="preserve"> </w:t>
      </w:r>
      <w:r w:rsidR="00A85EB8" w:rsidRPr="00BA0DC6">
        <w:t>Thus, consider</w:t>
      </w:r>
      <w:r w:rsidR="00DF6197" w:rsidRPr="00BA0DC6">
        <w:t>ing wideband</w:t>
      </w:r>
      <w:r w:rsidR="00A85EB8" w:rsidRPr="00BA0DC6">
        <w:t xml:space="preserve"> channels, the protection ratio would be 15</w:t>
      </w:r>
      <w:r w:rsidR="00F964F7">
        <w:t xml:space="preserve"> dB</w:t>
      </w:r>
      <w:r w:rsidR="00A85EB8" w:rsidRPr="00BA0DC6">
        <w:t xml:space="preserve"> D/U per 3 kHz</w:t>
      </w:r>
      <w:r w:rsidR="00A85EB8" w:rsidRPr="00BA0DC6">
        <w:rPr>
          <w:rStyle w:val="FootnoteReference"/>
        </w:rPr>
        <w:footnoteReference w:id="2"/>
      </w:r>
      <w:r w:rsidR="00CC083E" w:rsidRPr="00BA0DC6">
        <w:t>.</w:t>
      </w:r>
    </w:p>
    <w:p w14:paraId="1FA2DE5D" w14:textId="3DA1C03D" w:rsidR="008465B8" w:rsidRPr="00BA0DC6" w:rsidRDefault="00CC083E" w:rsidP="00EE554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</w:pPr>
      <w:r w:rsidRPr="00BA0DC6">
        <w:t xml:space="preserve">The proposed power spectral density (W/kHz) would </w:t>
      </w:r>
      <w:r w:rsidR="00483A78">
        <w:t>not exceed</w:t>
      </w:r>
      <w:r w:rsidRPr="00BA0DC6">
        <w:t xml:space="preserve"> the existing HFDL and HF Voice frequencies authorized in Appendix 27</w:t>
      </w:r>
      <w:r w:rsidRPr="00BA0DC6">
        <w:rPr>
          <w:rStyle w:val="FootnoteReference"/>
        </w:rPr>
        <w:footnoteReference w:id="3"/>
      </w:r>
      <w:r w:rsidRPr="00BA0DC6">
        <w:t xml:space="preserve">. This would be </w:t>
      </w:r>
      <w:r w:rsidR="00A870C3">
        <w:t>6</w:t>
      </w:r>
      <w:r w:rsidRPr="00BA0DC6">
        <w:t xml:space="preserve"> kW/3kHz for the Aeronautical Station and </w:t>
      </w:r>
      <w:r w:rsidR="00A870C3">
        <w:t>4</w:t>
      </w:r>
      <w:r w:rsidRPr="00BA0DC6">
        <w:t xml:space="preserve">00 W/3 kHz for the Aircraft station. When a larger bandwidth is used, the total </w:t>
      </w:r>
      <w:r w:rsidR="00483A78">
        <w:t xml:space="preserve">peak envelope power </w:t>
      </w:r>
      <w:r w:rsidR="00FC5AC9">
        <w:t>may</w:t>
      </w:r>
      <w:r w:rsidRPr="00BA0DC6">
        <w:t xml:space="preserve"> increase</w:t>
      </w:r>
      <w:r w:rsidR="00717DDC">
        <w:t>,</w:t>
      </w:r>
      <w:r w:rsidRPr="00BA0DC6">
        <w:t xml:space="preserve"> but the power spectral density would </w:t>
      </w:r>
      <w:r w:rsidR="00483A78">
        <w:t xml:space="preserve">not exceed the current levels seen in </w:t>
      </w:r>
      <w:r w:rsidR="00757682">
        <w:t>a given</w:t>
      </w:r>
      <w:r w:rsidR="00483A78">
        <w:t xml:space="preserve"> 3 kHz bandwidth</w:t>
      </w:r>
      <w:r w:rsidRPr="00BA0DC6">
        <w:t>. Thus, there would be the same</w:t>
      </w:r>
      <w:r w:rsidR="00757682">
        <w:t xml:space="preserve"> (or lesser)</w:t>
      </w:r>
      <w:r w:rsidRPr="00BA0DC6">
        <w:t xml:space="preserve"> amount of energy on the existing 3 kHz channels. </w:t>
      </w:r>
    </w:p>
    <w:p w14:paraId="49146ECC" w14:textId="7B9E7593" w:rsidR="000472BB" w:rsidRDefault="003F1E1C" w:rsidP="00EE554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</w:pPr>
      <w:r w:rsidRPr="00BA0DC6">
        <w:t>Considering the operational usage, W</w:t>
      </w:r>
      <w:r w:rsidR="00244BE7">
        <w:t>B</w:t>
      </w:r>
      <w:r w:rsidRPr="00BA0DC6">
        <w:t xml:space="preserve">HF will be operated in similar locations and </w:t>
      </w:r>
      <w:r w:rsidR="00717DDC">
        <w:t xml:space="preserve">in </w:t>
      </w:r>
      <w:r w:rsidRPr="00BA0DC6">
        <w:t xml:space="preserve">the same manner as the existing HFDL system. HF is typically used in areas that lack VHF coverage, such as Oceanic and Remote areas. </w:t>
      </w:r>
    </w:p>
    <w:p w14:paraId="26959588" w14:textId="77777777" w:rsidR="00BD1947" w:rsidRDefault="00BD1947" w:rsidP="00BD194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ind w:left="720"/>
        <w:jc w:val="left"/>
        <w:rPr>
          <w:b/>
          <w:bCs/>
        </w:rPr>
      </w:pPr>
    </w:p>
    <w:p w14:paraId="36FFDF7C" w14:textId="6A8FB813" w:rsidR="0006085D" w:rsidRPr="0006085D" w:rsidRDefault="003E28F7" w:rsidP="0006085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  <w:rPr>
          <w:b/>
          <w:bCs/>
        </w:rPr>
      </w:pPr>
      <w:r w:rsidRPr="0006085D">
        <w:rPr>
          <w:b/>
          <w:bCs/>
        </w:rPr>
        <w:t>SUMMARY</w:t>
      </w:r>
    </w:p>
    <w:p w14:paraId="2F60FAD0" w14:textId="7DA4973B" w:rsidR="00794997" w:rsidRPr="0088122B" w:rsidRDefault="003E28F7" w:rsidP="003E28F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ind w:left="720" w:hanging="720"/>
        <w:jc w:val="left"/>
      </w:pPr>
      <w:r>
        <w:t>4.1</w:t>
      </w:r>
      <w:r>
        <w:tab/>
      </w:r>
      <w:r w:rsidR="00435945" w:rsidRPr="0088122B">
        <w:t>It was intended for the information contained above to be reviewed at the ICAO Comm</w:t>
      </w:r>
      <w:r w:rsidR="000F6312">
        <w:t>unication</w:t>
      </w:r>
      <w:r w:rsidR="00435945" w:rsidRPr="0088122B">
        <w:t>s Panel in Oct</w:t>
      </w:r>
      <w:r w:rsidR="00717DDC">
        <w:t>ober</w:t>
      </w:r>
      <w:r w:rsidR="00435945" w:rsidRPr="0088122B">
        <w:t xml:space="preserve"> 2020, generating an ICAO job card, and then forwarding the relevant technical information to ITU-R WP 5B.  However, with the recent </w:t>
      </w:r>
      <w:r w:rsidR="00717DDC">
        <w:t xml:space="preserve">ICAO </w:t>
      </w:r>
      <w:r w:rsidR="00435945" w:rsidRPr="0088122B">
        <w:t>CP delay until Ma</w:t>
      </w:r>
      <w:r w:rsidR="00A870C3">
        <w:t>y 2021</w:t>
      </w:r>
      <w:r w:rsidR="00435945" w:rsidRPr="0088122B">
        <w:t xml:space="preserve">, it is likely such info would not be available in time for ITU-R WP 5B until </w:t>
      </w:r>
      <w:r w:rsidR="00A870C3">
        <w:t>November</w:t>
      </w:r>
      <w:r w:rsidR="00435945" w:rsidRPr="0088122B">
        <w:t xml:space="preserve"> 2021 or possibly later.  To avoid possible delay of the technical work in 5B, it is</w:t>
      </w:r>
      <w:r w:rsidR="00435945" w:rsidRPr="00BA0DC6">
        <w:t xml:space="preserve"> proposed that the below </w:t>
      </w:r>
      <w:r w:rsidR="00757682">
        <w:t xml:space="preserve">included </w:t>
      </w:r>
      <w:r w:rsidR="00435945" w:rsidRPr="00BA0DC6">
        <w:t xml:space="preserve">liaison </w:t>
      </w:r>
      <w:r w:rsidR="00435945" w:rsidRPr="00BA0DC6">
        <w:lastRenderedPageBreak/>
        <w:t xml:space="preserve">statement be sent to the ITU-R from this FSMP meeting to provide initial guidance from ICAO about what is being done and ensure the ITU-R </w:t>
      </w:r>
      <w:r w:rsidR="00435945" w:rsidRPr="0088122B">
        <w:t>is aware of ICAO’s role in such work.</w:t>
      </w:r>
    </w:p>
    <w:p w14:paraId="700B139A" w14:textId="77777777" w:rsidR="00660B51" w:rsidRPr="00BA0DC6" w:rsidRDefault="00F0516C" w:rsidP="0054433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</w:pPr>
      <w:r w:rsidRPr="00BA0DC6">
        <w:rPr>
          <w:b/>
        </w:rPr>
        <w:t>ACTION BY THE MEETING</w:t>
      </w:r>
    </w:p>
    <w:p w14:paraId="72DCB9FE" w14:textId="15F69517" w:rsidR="00660B51" w:rsidRPr="00BA0DC6" w:rsidRDefault="003E28F7" w:rsidP="00C14DB0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</w:pPr>
      <w:r>
        <w:rPr>
          <w:vanish/>
        </w:rPr>
        <w:t>5.1</w:t>
      </w:r>
      <w:r>
        <w:rPr>
          <w:vanish/>
        </w:rPr>
        <w:tab/>
      </w:r>
      <w:r w:rsidR="00660B51" w:rsidRPr="00BA0DC6">
        <w:t xml:space="preserve">The meeting is invited to: </w:t>
      </w:r>
    </w:p>
    <w:p w14:paraId="18D82D34" w14:textId="662ECE5A" w:rsidR="00660B51" w:rsidRPr="00BA0DC6" w:rsidRDefault="00660B51" w:rsidP="00023B48">
      <w:pPr>
        <w:pStyle w:val="ListParagraph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ind w:hanging="720"/>
        <w:jc w:val="left"/>
      </w:pPr>
      <w:r w:rsidRPr="00BA0DC6">
        <w:t xml:space="preserve">Review this working paper and </w:t>
      </w:r>
      <w:r w:rsidR="00B93485" w:rsidRPr="00BA0DC6">
        <w:t>the discussed parameters</w:t>
      </w:r>
    </w:p>
    <w:p w14:paraId="65B7B160" w14:textId="77777777" w:rsidR="0088122B" w:rsidRPr="00BA0DC6" w:rsidRDefault="0088122B" w:rsidP="0088122B">
      <w:pPr>
        <w:pStyle w:val="ListParagraph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ind w:hanging="720"/>
        <w:jc w:val="left"/>
      </w:pPr>
      <w:r w:rsidRPr="00BA0DC6">
        <w:t>Support the proposed activities and direction to support WRC-23 Agenda Item 1.9.</w:t>
      </w:r>
    </w:p>
    <w:p w14:paraId="48E4D4B8" w14:textId="6E268838" w:rsidR="0088122B" w:rsidRPr="00BA0DC6" w:rsidRDefault="0088122B" w:rsidP="0088122B">
      <w:pPr>
        <w:pStyle w:val="ListParagraph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ind w:hanging="720"/>
        <w:jc w:val="left"/>
      </w:pPr>
      <w:r w:rsidRPr="00BA0DC6">
        <w:t xml:space="preserve">Send </w:t>
      </w:r>
      <w:r>
        <w:t xml:space="preserve">the attached </w:t>
      </w:r>
      <w:r w:rsidRPr="00BA0DC6">
        <w:t>liaison statement to ITU-R WP 5B</w:t>
      </w:r>
      <w:r w:rsidR="003E12C4">
        <w:t xml:space="preserve"> with details of the system parameters.</w:t>
      </w:r>
    </w:p>
    <w:p w14:paraId="403AD8A1" w14:textId="77777777" w:rsidR="00660B51" w:rsidRPr="00BA0DC6" w:rsidRDefault="00660B51" w:rsidP="008F454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left"/>
      </w:pPr>
    </w:p>
    <w:p w14:paraId="2A9075F0" w14:textId="77777777" w:rsidR="00AD37E8" w:rsidRPr="00BA0DC6" w:rsidRDefault="00AD37E8">
      <w:pPr>
        <w:spacing w:before="600"/>
        <w:jc w:val="center"/>
      </w:pPr>
    </w:p>
    <w:p w14:paraId="7FC8F200" w14:textId="5EF89128" w:rsidR="00A608C6" w:rsidRPr="00BA0DC6" w:rsidRDefault="00F0516C" w:rsidP="00A608C6">
      <w:pPr>
        <w:spacing w:before="600"/>
        <w:jc w:val="center"/>
      </w:pPr>
      <w:r w:rsidRPr="00BA0DC6">
        <w:t>— END —</w:t>
      </w:r>
    </w:p>
    <w:p w14:paraId="39202078" w14:textId="77777777" w:rsidR="003E28F7" w:rsidRDefault="003E28F7">
      <w:pPr>
        <w:rPr>
          <w:noProof/>
        </w:rPr>
      </w:pPr>
      <w:r>
        <w:rPr>
          <w:noProof/>
        </w:rPr>
        <w:br w:type="page"/>
      </w:r>
    </w:p>
    <w:p w14:paraId="0674000E" w14:textId="0C89EE94" w:rsidR="00A608C6" w:rsidRDefault="003E28F7" w:rsidP="000C2BB0">
      <w:pPr>
        <w:spacing w:before="600"/>
        <w:jc w:val="center"/>
        <w:rPr>
          <w:b/>
          <w:bCs/>
          <w:noProof/>
        </w:rPr>
      </w:pPr>
      <w:r w:rsidRPr="0020711F">
        <w:rPr>
          <w:b/>
          <w:bCs/>
          <w:noProof/>
        </w:rPr>
        <w:lastRenderedPageBreak/>
        <w:t>ATTACMENT A – LIAISON STAEMENT TO ITU-R</w:t>
      </w:r>
    </w:p>
    <w:p w14:paraId="799C70E0" w14:textId="77777777" w:rsidR="00A94774" w:rsidRDefault="00A94774" w:rsidP="00A94774">
      <w:pPr>
        <w:jc w:val="center"/>
      </w:pPr>
    </w:p>
    <w:p w14:paraId="185669F2" w14:textId="0BB9FFF1" w:rsidR="00A94774" w:rsidRPr="00283BDB" w:rsidRDefault="00A94774" w:rsidP="00A94774">
      <w:pPr>
        <w:jc w:val="center"/>
      </w:pPr>
      <w:r w:rsidRPr="00283BDB">
        <w:t>DRAFT LIAISON STATEMENT TO WORKING PARTY 5B</w:t>
      </w:r>
    </w:p>
    <w:p w14:paraId="462B3677" w14:textId="77777777" w:rsidR="00A94774" w:rsidRDefault="00A94774" w:rsidP="00A94774">
      <w:pPr>
        <w:jc w:val="center"/>
      </w:pPr>
    </w:p>
    <w:p w14:paraId="02D54D00" w14:textId="77777777" w:rsidR="00A94774" w:rsidRPr="00283BDB" w:rsidRDefault="00A94774" w:rsidP="00A94774">
      <w:pPr>
        <w:jc w:val="center"/>
        <w:rPr>
          <w:b/>
          <w:bCs/>
        </w:rPr>
      </w:pPr>
      <w:r w:rsidRPr="00283BDB">
        <w:rPr>
          <w:b/>
          <w:bCs/>
        </w:rPr>
        <w:t>Preparation for WRC-23 agenda item 1.9</w:t>
      </w:r>
    </w:p>
    <w:p w14:paraId="4BF79D57" w14:textId="77777777" w:rsidR="00A94774" w:rsidRPr="00283BDB" w:rsidRDefault="00A94774" w:rsidP="00A94774">
      <w:pPr>
        <w:jc w:val="center"/>
        <w:rPr>
          <w:b/>
          <w:bCs/>
        </w:rPr>
      </w:pPr>
    </w:p>
    <w:p w14:paraId="755BF01E" w14:textId="77777777" w:rsidR="00A94774" w:rsidRDefault="00A94774" w:rsidP="00A94774">
      <w:pPr>
        <w:jc w:val="center"/>
        <w:rPr>
          <w:b/>
          <w:bCs/>
        </w:rPr>
      </w:pPr>
      <w:r w:rsidRPr="00283BDB">
        <w:rPr>
          <w:b/>
          <w:bCs/>
        </w:rPr>
        <w:t>Review of Appendix 27 of the Radio Regulations to accommodate digital aeronautical HF technologies</w:t>
      </w:r>
    </w:p>
    <w:p w14:paraId="08464713" w14:textId="77777777" w:rsidR="0020711F" w:rsidRDefault="0020711F" w:rsidP="0020711F"/>
    <w:p w14:paraId="0C594B67" w14:textId="04519608" w:rsidR="0020711F" w:rsidRDefault="0020711F" w:rsidP="0020711F"/>
    <w:p w14:paraId="58AE5B73" w14:textId="19667001" w:rsidR="0020711F" w:rsidRDefault="0020711F" w:rsidP="0020711F">
      <w:r>
        <w:t xml:space="preserve">ICAO thanks ITU-R WP 5B (WP 5B) for its liaison statement (Doc XXX) on Agenda Item 1.9. </w:t>
      </w:r>
    </w:p>
    <w:p w14:paraId="09E386D9" w14:textId="77777777" w:rsidR="0020711F" w:rsidRPr="00877B9D" w:rsidRDefault="0020711F" w:rsidP="0020711F">
      <w:pPr>
        <w:rPr>
          <w:u w:val="single"/>
        </w:rPr>
      </w:pPr>
    </w:p>
    <w:p w14:paraId="0018EA8F" w14:textId="00142DA5" w:rsidR="004F052D" w:rsidRPr="00187BA4" w:rsidRDefault="005364D1" w:rsidP="005364D1">
      <w:r w:rsidRPr="005364D1">
        <w:t xml:space="preserve">ICAO provides </w:t>
      </w:r>
      <w:r w:rsidR="00187BA4">
        <w:t xml:space="preserve">the below </w:t>
      </w:r>
      <w:r w:rsidRPr="005364D1">
        <w:t xml:space="preserve">preliminary </w:t>
      </w:r>
      <w:r w:rsidR="00AE7967">
        <w:t>W</w:t>
      </w:r>
      <w:r w:rsidR="00AE7967" w:rsidRPr="005364D1">
        <w:t>ideband HF (WBHF) system</w:t>
      </w:r>
      <w:r w:rsidR="00AE7967">
        <w:t>s</w:t>
      </w:r>
      <w:r w:rsidR="00AE7967" w:rsidRPr="005364D1">
        <w:t xml:space="preserve"> </w:t>
      </w:r>
      <w:r w:rsidR="008036D7">
        <w:t xml:space="preserve">technical </w:t>
      </w:r>
      <w:r w:rsidRPr="005364D1">
        <w:t xml:space="preserve">characteristics to be used </w:t>
      </w:r>
      <w:r w:rsidR="00AE7967">
        <w:t xml:space="preserve">for the work under </w:t>
      </w:r>
      <w:r w:rsidRPr="005364D1">
        <w:t>WRC-19 Agenda Item 1.9.</w:t>
      </w:r>
      <w:r>
        <w:t xml:space="preserve">  </w:t>
      </w:r>
      <w:r w:rsidR="00187BA4">
        <w:t>These</w:t>
      </w:r>
      <w:r w:rsidR="00886191">
        <w:t xml:space="preserve"> characteristics </w:t>
      </w:r>
      <w:r w:rsidR="00F845E9" w:rsidRPr="005364D1">
        <w:t>should be representative of the future WBHF system</w:t>
      </w:r>
      <w:r w:rsidR="00F845E9">
        <w:t>s</w:t>
      </w:r>
      <w:r w:rsidR="00F845E9" w:rsidRPr="005364D1">
        <w:t xml:space="preserve"> </w:t>
      </w:r>
      <w:r w:rsidR="00F845E9">
        <w:t xml:space="preserve">that </w:t>
      </w:r>
      <w:r w:rsidR="00886191">
        <w:t xml:space="preserve">will be </w:t>
      </w:r>
      <w:r w:rsidR="00787EF2">
        <w:t>submitted into</w:t>
      </w:r>
      <w:r w:rsidR="00886191">
        <w:t xml:space="preserve"> </w:t>
      </w:r>
      <w:r w:rsidR="0020711F" w:rsidRPr="005364D1">
        <w:t>ICAO</w:t>
      </w:r>
      <w:r w:rsidR="00886191">
        <w:t>’s</w:t>
      </w:r>
      <w:r w:rsidR="0023767D">
        <w:t xml:space="preserve"> own</w:t>
      </w:r>
      <w:r w:rsidR="0020711F" w:rsidRPr="005364D1">
        <w:t> Standards</w:t>
      </w:r>
      <w:r>
        <w:t xml:space="preserve"> </w:t>
      </w:r>
      <w:r w:rsidR="0020711F" w:rsidRPr="005364D1">
        <w:t>and</w:t>
      </w:r>
      <w:r>
        <w:t xml:space="preserve"> </w:t>
      </w:r>
      <w:r w:rsidR="0020711F" w:rsidRPr="005364D1">
        <w:t>Recommended</w:t>
      </w:r>
      <w:r>
        <w:t xml:space="preserve"> </w:t>
      </w:r>
      <w:r w:rsidR="0020711F" w:rsidRPr="005364D1">
        <w:t>Practices (SARPs)</w:t>
      </w:r>
      <w:r w:rsidR="006F1C75">
        <w:t xml:space="preserve"> </w:t>
      </w:r>
      <w:r w:rsidR="00787EF2">
        <w:t>process</w:t>
      </w:r>
      <w:r w:rsidR="0020711F" w:rsidRPr="005364D1">
        <w:t xml:space="preserve">. </w:t>
      </w:r>
      <w:r w:rsidR="0023767D">
        <w:t xml:space="preserve"> </w:t>
      </w:r>
      <w:r w:rsidR="00974973">
        <w:t>However, t</w:t>
      </w:r>
      <w:r w:rsidR="0020711F" w:rsidRPr="005364D1">
        <w:t>his</w:t>
      </w:r>
      <w:r>
        <w:t xml:space="preserve"> </w:t>
      </w:r>
      <w:r w:rsidR="0020711F" w:rsidRPr="005364D1">
        <w:t>process has been formally delayed</w:t>
      </w:r>
      <w:r>
        <w:t xml:space="preserve"> </w:t>
      </w:r>
      <w:r w:rsidR="0020711F" w:rsidRPr="005364D1">
        <w:t>by</w:t>
      </w:r>
      <w:r>
        <w:t xml:space="preserve"> </w:t>
      </w:r>
      <w:r w:rsidR="0020711F" w:rsidRPr="005364D1">
        <w:t>COVID-19 until 2021, and therefore the below preliminary information is</w:t>
      </w:r>
      <w:r>
        <w:t xml:space="preserve"> </w:t>
      </w:r>
      <w:r w:rsidR="0020711F" w:rsidRPr="005364D1">
        <w:t>intended</w:t>
      </w:r>
      <w:r>
        <w:t xml:space="preserve"> </w:t>
      </w:r>
      <w:r w:rsidR="0020711F" w:rsidRPr="005364D1">
        <w:t>to provide the ITU-R with a starting point in the development of its work</w:t>
      </w:r>
      <w:r w:rsidR="00BF1031">
        <w:t xml:space="preserve"> </w:t>
      </w:r>
      <w:r w:rsidR="0020711F" w:rsidRPr="005364D1">
        <w:t>towards completing WRC-23 Agenda Item 1.9.</w:t>
      </w:r>
      <w:r>
        <w:t xml:space="preserve">  </w:t>
      </w:r>
      <w:r w:rsidR="00DE3A85" w:rsidRPr="005364D1">
        <w:t xml:space="preserve">If these characteristics should change, or if additional characteristics are identified, ICAO will inform </w:t>
      </w:r>
      <w:r w:rsidR="00DE3A85" w:rsidRPr="006F1C75">
        <w:t>WP</w:t>
      </w:r>
      <w:r w:rsidR="00740778">
        <w:t> </w:t>
      </w:r>
      <w:r w:rsidR="00DE3A85" w:rsidRPr="006F1C75">
        <w:t>5B</w:t>
      </w:r>
      <w:r w:rsidR="00DE3A85" w:rsidRPr="005364D1">
        <w:t>.</w:t>
      </w:r>
      <w:r w:rsidR="004F052D" w:rsidRPr="006F1C75">
        <w:t xml:space="preserve"> </w:t>
      </w:r>
    </w:p>
    <w:p w14:paraId="3D503E12" w14:textId="7EF108A9" w:rsidR="00DE3A85" w:rsidRDefault="00DE3A85" w:rsidP="0020711F"/>
    <w:p w14:paraId="2C38E814" w14:textId="2E4A9B2F" w:rsidR="0020711F" w:rsidRPr="00F05476" w:rsidRDefault="0020711F" w:rsidP="0020711F">
      <w:r w:rsidRPr="00F05476">
        <w:t>Considerations in the design of wideband HF systems using contiguous 3 kHz channels</w:t>
      </w:r>
      <w:r w:rsidR="00717DDC">
        <w:t>:</w:t>
      </w:r>
      <w:r w:rsidRPr="00F05476">
        <w:t> </w:t>
      </w:r>
    </w:p>
    <w:p w14:paraId="1FA639CE" w14:textId="1EDA566C" w:rsidR="000E757B" w:rsidRPr="00F05476" w:rsidRDefault="000E757B" w:rsidP="0020711F">
      <w:pPr>
        <w:numPr>
          <w:ilvl w:val="0"/>
          <w:numId w:val="24"/>
        </w:numPr>
        <w:spacing w:after="160" w:line="259" w:lineRule="auto"/>
        <w:jc w:val="left"/>
      </w:pPr>
      <w:r>
        <w:t>T</w:t>
      </w:r>
      <w:r w:rsidRPr="00BA0DC6">
        <w:t xml:space="preserve">he </w:t>
      </w:r>
      <w:r>
        <w:t>WB</w:t>
      </w:r>
      <w:r w:rsidRPr="00BA0DC6">
        <w:t xml:space="preserve">HF signal will </w:t>
      </w:r>
      <w:r w:rsidR="00D11899">
        <w:t>c</w:t>
      </w:r>
      <w:r w:rsidRPr="00BA0DC6">
        <w:t xml:space="preserve">omply with the legacy HFDL spectral mask regarding adjacent channel power </w:t>
      </w:r>
      <w:r w:rsidR="0041092A" w:rsidRPr="00F05476">
        <w:t>as defined in</w:t>
      </w:r>
      <w:r w:rsidR="0041092A">
        <w:t xml:space="preserve"> </w:t>
      </w:r>
      <w:r w:rsidR="0041092A" w:rsidRPr="00F05476">
        <w:t>ITU-R Rec</w:t>
      </w:r>
      <w:r w:rsidR="0041092A">
        <w:t xml:space="preserve"> </w:t>
      </w:r>
      <w:r w:rsidR="0041092A" w:rsidRPr="00F05476">
        <w:t>M.1458-0</w:t>
      </w:r>
      <w:r w:rsidR="0041092A">
        <w:t xml:space="preserve"> </w:t>
      </w:r>
      <w:r w:rsidR="0041092A" w:rsidRPr="00F05476">
        <w:t>(see table 1 and figure 1 below)</w:t>
      </w:r>
      <w:r w:rsidR="00D11899">
        <w:t xml:space="preserve">.  </w:t>
      </w:r>
      <w:r w:rsidR="0028634A">
        <w:t>Therefore,</w:t>
      </w:r>
      <w:r w:rsidR="00D11899">
        <w:t xml:space="preserve"> </w:t>
      </w:r>
      <w:r w:rsidRPr="00BA0DC6">
        <w:t xml:space="preserve">it will </w:t>
      </w:r>
      <w:r w:rsidR="00244BE7">
        <w:t>coexist without conflict</w:t>
      </w:r>
      <w:r w:rsidRPr="00BA0DC6">
        <w:t xml:space="preserve"> with legacy HF voice and HFDL, as well as </w:t>
      </w:r>
      <w:r w:rsidR="0028634A">
        <w:t xml:space="preserve">existing systems in </w:t>
      </w:r>
      <w:r w:rsidR="00AB19DD" w:rsidRPr="00F05476">
        <w:t>adjacent</w:t>
      </w:r>
      <w:r w:rsidR="0028634A">
        <w:t xml:space="preserve"> HF</w:t>
      </w:r>
      <w:r w:rsidR="00AB19DD" w:rsidRPr="00F05476">
        <w:t xml:space="preserve"> allocations to AM(R)S bands</w:t>
      </w:r>
      <w:r w:rsidRPr="00BA0DC6">
        <w:t xml:space="preserve">.  </w:t>
      </w:r>
    </w:p>
    <w:p w14:paraId="22886AA7" w14:textId="28FF03FD" w:rsidR="00835B8A" w:rsidRPr="00F05476" w:rsidRDefault="00835B8A" w:rsidP="00835B8A">
      <w:pPr>
        <w:numPr>
          <w:ilvl w:val="0"/>
          <w:numId w:val="24"/>
        </w:numPr>
        <w:spacing w:after="160" w:line="259" w:lineRule="auto"/>
        <w:jc w:val="left"/>
      </w:pPr>
      <w:r w:rsidRPr="00F05476">
        <w:t xml:space="preserve">The </w:t>
      </w:r>
      <w:r w:rsidR="00000DAA" w:rsidRPr="00F05476">
        <w:t xml:space="preserve">WBHF </w:t>
      </w:r>
      <w:r w:rsidRPr="00F05476">
        <w:t>channels will be</w:t>
      </w:r>
      <w:r w:rsidR="00B917D5">
        <w:t xml:space="preserve"> </w:t>
      </w:r>
      <w:r w:rsidRPr="00F05476">
        <w:t xml:space="preserve">defined around the </w:t>
      </w:r>
      <w:r w:rsidR="009456EC">
        <w:t>reference</w:t>
      </w:r>
      <w:r w:rsidRPr="00F05476">
        <w:t xml:space="preserve"> frequency and bandwidth of the wideband channel (see Wideband Spectral Mask diagram).</w:t>
      </w:r>
      <w:r w:rsidR="00B917D5">
        <w:t xml:space="preserve">  </w:t>
      </w:r>
      <w:r w:rsidRPr="00F05476">
        <w:t>Reference frequency and assigned frequency of individual 3 kHz channels comprising a bonded wideband utilization would remain unchanged</w:t>
      </w:r>
      <w:r w:rsidR="00B917D5">
        <w:t>.</w:t>
      </w:r>
    </w:p>
    <w:p w14:paraId="3753D9B0" w14:textId="42012F81" w:rsidR="00B917D5" w:rsidRPr="00740778" w:rsidRDefault="00230DAF" w:rsidP="000C2BB0">
      <w:pPr>
        <w:numPr>
          <w:ilvl w:val="0"/>
          <w:numId w:val="24"/>
        </w:numPr>
        <w:spacing w:after="160" w:line="259" w:lineRule="auto"/>
        <w:jc w:val="left"/>
        <w:rPr>
          <w:i/>
          <w:iCs/>
          <w:color w:val="1F497D" w:themeColor="text2"/>
          <w:sz w:val="18"/>
          <w:szCs w:val="18"/>
        </w:rPr>
      </w:pPr>
      <w:r w:rsidRPr="00F05476">
        <w:t>The W</w:t>
      </w:r>
      <w:r w:rsidR="00244BE7">
        <w:t>B</w:t>
      </w:r>
      <w:r w:rsidRPr="00F05476">
        <w:t>HF modulation waveforms will fall under the same</w:t>
      </w:r>
      <w:r w:rsidR="00B917D5">
        <w:t xml:space="preserve"> </w:t>
      </w:r>
      <w:r w:rsidRPr="00F05476">
        <w:t>J2D</w:t>
      </w:r>
      <w:r w:rsidR="00B917D5">
        <w:t xml:space="preserve"> </w:t>
      </w:r>
      <w:r w:rsidRPr="00F05476">
        <w:t>emission designator as the existing</w:t>
      </w:r>
      <w:r w:rsidR="00B917D5">
        <w:t xml:space="preserve"> </w:t>
      </w:r>
      <w:r w:rsidRPr="00F05476">
        <w:t>HF Datalink (HFDL) as defined in</w:t>
      </w:r>
      <w:r w:rsidR="00B917D5">
        <w:t xml:space="preserve"> </w:t>
      </w:r>
      <w:r w:rsidRPr="00F05476">
        <w:t>ITU-R Rec</w:t>
      </w:r>
      <w:r w:rsidR="00B917D5">
        <w:t xml:space="preserve"> </w:t>
      </w:r>
      <w:r w:rsidRPr="00F05476">
        <w:t>M.1458-0</w:t>
      </w:r>
      <w:r w:rsidR="00570985">
        <w:t>.</w:t>
      </w:r>
    </w:p>
    <w:p w14:paraId="09C053A0" w14:textId="13968230" w:rsidR="00570985" w:rsidRPr="00C14DB0" w:rsidRDefault="00570985" w:rsidP="00C14DB0">
      <w:r w:rsidRPr="007B0B81">
        <w:rPr>
          <w:noProof/>
        </w:rPr>
        <w:drawing>
          <wp:inline distT="0" distB="0" distL="0" distR="0" wp14:anchorId="7CD9F930" wp14:editId="5139B3E7">
            <wp:extent cx="5669025" cy="2703509"/>
            <wp:effectExtent l="19050" t="19050" r="27305" b="20955"/>
            <wp:docPr id="129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00000000-0008-0000-0000-00000B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3"/>
                    <a:stretch/>
                  </pic:blipFill>
                  <pic:spPr bwMode="auto">
                    <a:xfrm>
                      <a:off x="0" y="0"/>
                      <a:ext cx="5679509" cy="27085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5DDCC" w14:textId="1F6EECC8" w:rsidR="0020711F" w:rsidRPr="00215185" w:rsidRDefault="00570985" w:rsidP="0020711F">
      <w:pPr>
        <w:jc w:val="center"/>
        <w:rPr>
          <w:i/>
          <w:sz w:val="18"/>
          <w:szCs w:val="18"/>
        </w:rPr>
      </w:pPr>
      <w:r w:rsidRPr="00215185">
        <w:rPr>
          <w:i/>
          <w:sz w:val="18"/>
          <w:szCs w:val="18"/>
        </w:rPr>
        <w:t>Table 1: Proposed Wideband HF Spectral Emission Mask Table</w:t>
      </w:r>
    </w:p>
    <w:p w14:paraId="3990E2AB" w14:textId="77777777" w:rsidR="0020711F" w:rsidRDefault="0020711F" w:rsidP="0020711F">
      <w:r>
        <w:rPr>
          <w:noProof/>
          <w:color w:val="0070C0"/>
        </w:rPr>
        <w:lastRenderedPageBreak/>
        <w:drawing>
          <wp:inline distT="0" distB="0" distL="0" distR="0" wp14:anchorId="46845BB4" wp14:editId="5EBED843">
            <wp:extent cx="5943600" cy="3210366"/>
            <wp:effectExtent l="19050" t="19050" r="19050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03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54928A" w14:textId="77777777" w:rsidR="0020711F" w:rsidRDefault="0020711F" w:rsidP="0020711F">
      <w:pPr>
        <w:jc w:val="right"/>
      </w:pPr>
      <w:r>
        <w:rPr>
          <w:noProof/>
          <w:color w:val="0070C0"/>
        </w:rPr>
        <w:drawing>
          <wp:inline distT="0" distB="0" distL="0" distR="0" wp14:anchorId="5A7B744E" wp14:editId="4D29B8BD">
            <wp:extent cx="2520373" cy="1123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43" cy="1135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0A0C4" w14:textId="77777777" w:rsidR="00DB4196" w:rsidRPr="00215185" w:rsidRDefault="00570985" w:rsidP="00DB4196">
      <w:pPr>
        <w:pStyle w:val="Caption"/>
        <w:jc w:val="center"/>
        <w:rPr>
          <w:color w:val="auto"/>
        </w:rPr>
      </w:pPr>
      <w:r w:rsidRPr="00215185">
        <w:rPr>
          <w:color w:val="auto"/>
        </w:rPr>
        <w:t xml:space="preserve">Figure </w:t>
      </w:r>
      <w:r w:rsidRPr="00215185">
        <w:rPr>
          <w:color w:val="auto"/>
        </w:rPr>
        <w:fldChar w:fldCharType="begin"/>
      </w:r>
      <w:r w:rsidRPr="00215185">
        <w:rPr>
          <w:color w:val="auto"/>
        </w:rPr>
        <w:instrText xml:space="preserve"> SEQ Figure \* ARABIC </w:instrText>
      </w:r>
      <w:r w:rsidRPr="00215185">
        <w:rPr>
          <w:color w:val="auto"/>
        </w:rPr>
        <w:fldChar w:fldCharType="separate"/>
      </w:r>
      <w:r w:rsidRPr="00215185">
        <w:rPr>
          <w:noProof/>
          <w:color w:val="auto"/>
        </w:rPr>
        <w:t>1</w:t>
      </w:r>
      <w:r w:rsidRPr="00215185">
        <w:rPr>
          <w:color w:val="auto"/>
        </w:rPr>
        <w:fldChar w:fldCharType="end"/>
      </w:r>
      <w:r w:rsidRPr="00215185">
        <w:rPr>
          <w:color w:val="auto"/>
        </w:rPr>
        <w:t xml:space="preserve"> - Proposed Wideband HF Spectral Mask. Note: N is the number of bonded conti</w:t>
      </w:r>
      <w:r w:rsidR="00717DDC" w:rsidRPr="00215185">
        <w:rPr>
          <w:color w:val="auto"/>
        </w:rPr>
        <w:t>g</w:t>
      </w:r>
      <w:r w:rsidRPr="00215185">
        <w:rPr>
          <w:color w:val="auto"/>
        </w:rPr>
        <w:t>uous channels</w:t>
      </w:r>
    </w:p>
    <w:p w14:paraId="1BA10FC5" w14:textId="7F4B7070" w:rsidR="003E28F7" w:rsidRPr="00DB4196" w:rsidRDefault="00DB4196" w:rsidP="00DB4196">
      <w:pPr>
        <w:pStyle w:val="Caption"/>
        <w:jc w:val="left"/>
        <w:rPr>
          <w:bCs/>
          <w:i w:val="0"/>
          <w:color w:val="auto"/>
          <w:sz w:val="22"/>
          <w:szCs w:val="22"/>
        </w:rPr>
      </w:pPr>
      <w:r w:rsidRPr="00DB4196">
        <w:rPr>
          <w:bCs/>
          <w:i w:val="0"/>
          <w:color w:val="auto"/>
          <w:sz w:val="22"/>
          <w:szCs w:val="22"/>
        </w:rPr>
        <w:t xml:space="preserve">Note: </w:t>
      </w:r>
      <w:bookmarkStart w:id="4" w:name="OLE_LINK1"/>
      <w:bookmarkStart w:id="5" w:name="OLE_LINK2"/>
      <w:r w:rsidRPr="00DB4196">
        <w:rPr>
          <w:bCs/>
          <w:i w:val="0"/>
          <w:color w:val="auto"/>
          <w:sz w:val="22"/>
          <w:szCs w:val="22"/>
        </w:rPr>
        <w:t>Assigned frequency is offset by BW/2 - 100 Hz above SSB carrier reference frequency, as with legacy HFDL.</w:t>
      </w:r>
      <w:bookmarkEnd w:id="4"/>
      <w:bookmarkEnd w:id="5"/>
    </w:p>
    <w:sectPr w:rsidR="003E28F7" w:rsidRPr="00DB4196" w:rsidSect="00296A1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748DA" w14:textId="77777777" w:rsidR="00B075A1" w:rsidRDefault="00B075A1">
      <w:r>
        <w:separator/>
      </w:r>
    </w:p>
  </w:endnote>
  <w:endnote w:type="continuationSeparator" w:id="0">
    <w:p w14:paraId="4257F45E" w14:textId="77777777" w:rsidR="00B075A1" w:rsidRDefault="00B075A1">
      <w:r>
        <w:continuationSeparator/>
      </w:r>
    </w:p>
  </w:endnote>
  <w:endnote w:type="continuationNotice" w:id="1">
    <w:p w14:paraId="0388DB07" w14:textId="77777777" w:rsidR="00B075A1" w:rsidRDefault="00B07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5F6B0" w14:textId="77777777" w:rsidR="00587558" w:rsidRDefault="00587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AB2D0" w14:textId="77777777" w:rsidR="00587558" w:rsidRDefault="005875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71D8D" w14:textId="77777777" w:rsidR="00587558" w:rsidRDefault="00587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091D5" w14:textId="77777777" w:rsidR="00B075A1" w:rsidRDefault="00B075A1">
      <w:r>
        <w:separator/>
      </w:r>
    </w:p>
  </w:footnote>
  <w:footnote w:type="continuationSeparator" w:id="0">
    <w:p w14:paraId="450A98A9" w14:textId="77777777" w:rsidR="00B075A1" w:rsidRDefault="00B075A1">
      <w:r>
        <w:continuationSeparator/>
      </w:r>
    </w:p>
  </w:footnote>
  <w:footnote w:type="continuationNotice" w:id="1">
    <w:p w14:paraId="141CCA19" w14:textId="77777777" w:rsidR="00B075A1" w:rsidRDefault="00B075A1"/>
  </w:footnote>
  <w:footnote w:id="2">
    <w:p w14:paraId="7B390218" w14:textId="032A376A" w:rsidR="00A85EB8" w:rsidRDefault="00A85EB8">
      <w:pPr>
        <w:pStyle w:val="FootnoteText"/>
      </w:pPr>
      <w:r>
        <w:rPr>
          <w:rStyle w:val="FootnoteReference"/>
        </w:rPr>
        <w:footnoteRef/>
      </w:r>
      <w:r>
        <w:t xml:space="preserve"> Please see 27/25 and 27/28</w:t>
      </w:r>
    </w:p>
  </w:footnote>
  <w:footnote w:id="3">
    <w:p w14:paraId="2A7D85E1" w14:textId="75DBB955" w:rsidR="00CC083E" w:rsidRDefault="00CC083E">
      <w:pPr>
        <w:pStyle w:val="FootnoteText"/>
      </w:pPr>
      <w:r>
        <w:rPr>
          <w:rStyle w:val="FootnoteReference"/>
        </w:rPr>
        <w:footnoteRef/>
      </w:r>
      <w:r>
        <w:t xml:space="preserve"> Please see 27/60 for authorized power per 3 kHz channel. (</w:t>
      </w:r>
      <w:r w:rsidR="00A870C3">
        <w:t>6</w:t>
      </w:r>
      <w:r>
        <w:t xml:space="preserve"> kW for Aeronautical station and </w:t>
      </w:r>
      <w:r w:rsidR="00A870C3">
        <w:t>4</w:t>
      </w:r>
      <w:r>
        <w:t>00 W for aircraft)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A1F6F" w14:textId="118ACFD4" w:rsidR="002779EA" w:rsidRDefault="00F0516C" w:rsidP="006828EF">
    <w:pPr>
      <w:tabs>
        <w:tab w:val="center" w:pos="4876"/>
      </w:tabs>
      <w:spacing w:after="600"/>
    </w:pPr>
    <w:r w:rsidRPr="009851A4">
      <w:t>FSMP</w:t>
    </w:r>
    <w:r w:rsidR="009851A4" w:rsidRPr="009851A4">
      <w:t xml:space="preserve"> </w:t>
    </w:r>
    <w:r w:rsidRPr="009851A4">
      <w:t>WG</w:t>
    </w:r>
    <w:r w:rsidR="009851A4" w:rsidRPr="009851A4">
      <w:t>/</w:t>
    </w:r>
    <w:r w:rsidR="00587558">
      <w:t>10</w:t>
    </w:r>
    <w:r w:rsidR="009851A4" w:rsidRPr="009851A4">
      <w:t xml:space="preserve"> WP/</w:t>
    </w:r>
    <w:r w:rsidR="00587558">
      <w:t>05r1</w:t>
    </w:r>
    <w:r w:rsidR="009851A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566F" w14:textId="41BDA72F" w:rsidR="002779EA" w:rsidRPr="009851A4" w:rsidRDefault="009851A4" w:rsidP="006828EF">
    <w:pPr>
      <w:tabs>
        <w:tab w:val="center" w:pos="4876"/>
      </w:tabs>
      <w:spacing w:after="600"/>
    </w:pPr>
    <w:r w:rsidRPr="009851A4">
      <w:t>FSMP WG/</w:t>
    </w:r>
    <w:r w:rsidR="00587558">
      <w:t>10</w:t>
    </w:r>
    <w:r w:rsidRPr="009851A4">
      <w:t xml:space="preserve"> </w:t>
    </w:r>
    <w:r w:rsidRPr="009851A4">
      <w:t>WP/</w:t>
    </w:r>
    <w:r w:rsidR="00587558">
      <w:t>05r1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6" w:name="logo"/>
          <w:r>
            <w:rPr>
              <w:noProof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506993C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77777777" w:rsidR="009851A4" w:rsidRPr="00066AB7" w:rsidRDefault="009851A4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349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03383D05" w14:textId="694030FD" w:rsidR="009851A4" w:rsidRPr="00066AB7" w:rsidRDefault="009851A4" w:rsidP="00587558">
                <w:pPr>
                  <w:framePr w:hSpace="180" w:wrap="around" w:vAnchor="text" w:hAnchor="text" w:y="1"/>
                  <w:suppressOverlap/>
                  <w:jc w:val="left"/>
                </w:pPr>
                <w:bookmarkStart w:id="7" w:name="document_no"/>
                <w:r>
                  <w:t>FSMP-WG</w:t>
                </w:r>
                <w:r w:rsidRPr="00066AB7">
                  <w:t>/</w:t>
                </w:r>
                <w:r w:rsidR="00C41DFA">
                  <w:t xml:space="preserve">10 </w:t>
                </w:r>
                <w:r w:rsidRPr="00066AB7">
                  <w:t>WP/</w:t>
                </w:r>
                <w:bookmarkEnd w:id="7"/>
                <w:r w:rsidR="00587558">
                  <w:t>05r1</w:t>
                </w:r>
              </w:p>
              <w:p w14:paraId="1F89A177" w14:textId="3077CDDB" w:rsidR="009851A4" w:rsidRPr="00066AB7" w:rsidRDefault="00C41DFA" w:rsidP="00587558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8" w:name="restricted"/>
                <w:bookmarkStart w:id="9" w:name="addendum_corrigendum_appendix"/>
                <w:bookmarkStart w:id="10" w:name="revision_no"/>
                <w:bookmarkStart w:id="11" w:name="revision_date"/>
                <w:bookmarkStart w:id="12" w:name="related_to"/>
                <w:bookmarkEnd w:id="8"/>
                <w:bookmarkEnd w:id="9"/>
                <w:bookmarkEnd w:id="10"/>
                <w:bookmarkEnd w:id="11"/>
                <w:bookmarkEnd w:id="12"/>
                <w:r>
                  <w:rPr>
                    <w:sz w:val="18"/>
                    <w:szCs w:val="18"/>
                  </w:rPr>
                  <w:t>2020</w:t>
                </w:r>
                <w:r w:rsidR="009851A4">
                  <w:rPr>
                    <w:sz w:val="18"/>
                    <w:szCs w:val="18"/>
                  </w:rPr>
                  <w:t>-0</w:t>
                </w:r>
                <w:r w:rsidR="00EE72E2">
                  <w:rPr>
                    <w:sz w:val="18"/>
                    <w:szCs w:val="18"/>
                  </w:rPr>
                  <w:t>8-</w:t>
                </w:r>
                <w:bookmarkStart w:id="13" w:name="info_paper"/>
                <w:bookmarkEnd w:id="13"/>
                <w:r w:rsidR="00587558">
                  <w:rPr>
                    <w:sz w:val="18"/>
                    <w:szCs w:val="18"/>
                  </w:rPr>
                  <w:t>20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587558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5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23"/>
  </w:num>
  <w:num w:numId="2">
    <w:abstractNumId w:val="14"/>
  </w:num>
  <w:num w:numId="3">
    <w:abstractNumId w:val="0"/>
  </w:num>
  <w:num w:numId="4">
    <w:abstractNumId w:val="18"/>
  </w:num>
  <w:num w:numId="5">
    <w:abstractNumId w:val="5"/>
  </w:num>
  <w:num w:numId="6">
    <w:abstractNumId w:val="22"/>
  </w:num>
  <w:num w:numId="7">
    <w:abstractNumId w:val="3"/>
  </w:num>
  <w:num w:numId="8">
    <w:abstractNumId w:val="17"/>
  </w:num>
  <w:num w:numId="9">
    <w:abstractNumId w:val="21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15"/>
  </w:num>
  <w:num w:numId="15">
    <w:abstractNumId w:val="19"/>
  </w:num>
  <w:num w:numId="16">
    <w:abstractNumId w:val="9"/>
  </w:num>
  <w:num w:numId="17">
    <w:abstractNumId w:val="13"/>
  </w:num>
  <w:num w:numId="18">
    <w:abstractNumId w:val="16"/>
  </w:num>
  <w:num w:numId="19">
    <w:abstractNumId w:val="20"/>
  </w:num>
  <w:num w:numId="20">
    <w:abstractNumId w:val="2"/>
  </w:num>
  <w:num w:numId="21">
    <w:abstractNumId w:val="11"/>
  </w:num>
  <w:num w:numId="22">
    <w:abstractNumId w:val="4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105D3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9655A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29CD"/>
    <w:rsid w:val="001473A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F65"/>
    <w:rsid w:val="001E57D7"/>
    <w:rsid w:val="001E6577"/>
    <w:rsid w:val="001F4CC8"/>
    <w:rsid w:val="001F69AA"/>
    <w:rsid w:val="002037A3"/>
    <w:rsid w:val="0020711F"/>
    <w:rsid w:val="00215185"/>
    <w:rsid w:val="00216484"/>
    <w:rsid w:val="00220E09"/>
    <w:rsid w:val="00230DAF"/>
    <w:rsid w:val="00231533"/>
    <w:rsid w:val="0023767D"/>
    <w:rsid w:val="00241AE1"/>
    <w:rsid w:val="00244BE7"/>
    <w:rsid w:val="00251322"/>
    <w:rsid w:val="00256168"/>
    <w:rsid w:val="002633EF"/>
    <w:rsid w:val="00265569"/>
    <w:rsid w:val="002658FD"/>
    <w:rsid w:val="002726FD"/>
    <w:rsid w:val="00275885"/>
    <w:rsid w:val="002774B3"/>
    <w:rsid w:val="002779EA"/>
    <w:rsid w:val="00281862"/>
    <w:rsid w:val="0028634A"/>
    <w:rsid w:val="0029192F"/>
    <w:rsid w:val="00296A17"/>
    <w:rsid w:val="002A1EEB"/>
    <w:rsid w:val="002A7AE4"/>
    <w:rsid w:val="002B10A6"/>
    <w:rsid w:val="002B6613"/>
    <w:rsid w:val="002B723E"/>
    <w:rsid w:val="002E099E"/>
    <w:rsid w:val="00306A0C"/>
    <w:rsid w:val="00314639"/>
    <w:rsid w:val="00323348"/>
    <w:rsid w:val="00324EE5"/>
    <w:rsid w:val="00328718"/>
    <w:rsid w:val="0033130E"/>
    <w:rsid w:val="00333A96"/>
    <w:rsid w:val="00343CAC"/>
    <w:rsid w:val="0035250B"/>
    <w:rsid w:val="00353F36"/>
    <w:rsid w:val="00354AFE"/>
    <w:rsid w:val="00371C5F"/>
    <w:rsid w:val="00377D67"/>
    <w:rsid w:val="003805D9"/>
    <w:rsid w:val="003839E3"/>
    <w:rsid w:val="00397FBA"/>
    <w:rsid w:val="003A2643"/>
    <w:rsid w:val="003B0895"/>
    <w:rsid w:val="003B14B6"/>
    <w:rsid w:val="003B2015"/>
    <w:rsid w:val="003B3CF5"/>
    <w:rsid w:val="003B63CA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57C4"/>
    <w:rsid w:val="00435945"/>
    <w:rsid w:val="00444530"/>
    <w:rsid w:val="00444C52"/>
    <w:rsid w:val="004465D3"/>
    <w:rsid w:val="00453196"/>
    <w:rsid w:val="00475E16"/>
    <w:rsid w:val="00483A78"/>
    <w:rsid w:val="00496CA6"/>
    <w:rsid w:val="004B2ADA"/>
    <w:rsid w:val="004C7F3F"/>
    <w:rsid w:val="004D2515"/>
    <w:rsid w:val="004D2E3A"/>
    <w:rsid w:val="004D3619"/>
    <w:rsid w:val="004E59DD"/>
    <w:rsid w:val="004E7DA1"/>
    <w:rsid w:val="004F052D"/>
    <w:rsid w:val="004F0C1D"/>
    <w:rsid w:val="004F0CA2"/>
    <w:rsid w:val="004F6055"/>
    <w:rsid w:val="005039D9"/>
    <w:rsid w:val="00530F59"/>
    <w:rsid w:val="005318C0"/>
    <w:rsid w:val="00532404"/>
    <w:rsid w:val="00535141"/>
    <w:rsid w:val="005364D1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87558"/>
    <w:rsid w:val="00587A5B"/>
    <w:rsid w:val="0059049B"/>
    <w:rsid w:val="005A0D6E"/>
    <w:rsid w:val="005A0DCF"/>
    <w:rsid w:val="005A45E1"/>
    <w:rsid w:val="005B1D10"/>
    <w:rsid w:val="005C0F00"/>
    <w:rsid w:val="005C391D"/>
    <w:rsid w:val="005C55E4"/>
    <w:rsid w:val="005D6DC2"/>
    <w:rsid w:val="005E7881"/>
    <w:rsid w:val="005F685D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17DDC"/>
    <w:rsid w:val="00722303"/>
    <w:rsid w:val="00722418"/>
    <w:rsid w:val="007267CA"/>
    <w:rsid w:val="00735714"/>
    <w:rsid w:val="00740778"/>
    <w:rsid w:val="00740F7F"/>
    <w:rsid w:val="0074384E"/>
    <w:rsid w:val="00743E8B"/>
    <w:rsid w:val="00745973"/>
    <w:rsid w:val="00747E70"/>
    <w:rsid w:val="00754760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D3959"/>
    <w:rsid w:val="007E7079"/>
    <w:rsid w:val="007F43E7"/>
    <w:rsid w:val="007F6562"/>
    <w:rsid w:val="008036D7"/>
    <w:rsid w:val="0080619C"/>
    <w:rsid w:val="00835B8A"/>
    <w:rsid w:val="008465B8"/>
    <w:rsid w:val="0085086E"/>
    <w:rsid w:val="00873E6A"/>
    <w:rsid w:val="0088122B"/>
    <w:rsid w:val="00886191"/>
    <w:rsid w:val="008A764B"/>
    <w:rsid w:val="008B17E8"/>
    <w:rsid w:val="008B534B"/>
    <w:rsid w:val="008C0731"/>
    <w:rsid w:val="008C189D"/>
    <w:rsid w:val="008C5CA3"/>
    <w:rsid w:val="008C7AEA"/>
    <w:rsid w:val="008D1AEE"/>
    <w:rsid w:val="008F454A"/>
    <w:rsid w:val="008F57DE"/>
    <w:rsid w:val="0090063F"/>
    <w:rsid w:val="00900D5E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B4B75"/>
    <w:rsid w:val="009D1D2A"/>
    <w:rsid w:val="009D710A"/>
    <w:rsid w:val="009E4A05"/>
    <w:rsid w:val="009F0404"/>
    <w:rsid w:val="009F18ED"/>
    <w:rsid w:val="00A0403F"/>
    <w:rsid w:val="00A06D16"/>
    <w:rsid w:val="00A2546C"/>
    <w:rsid w:val="00A27939"/>
    <w:rsid w:val="00A30E2D"/>
    <w:rsid w:val="00A326BC"/>
    <w:rsid w:val="00A35292"/>
    <w:rsid w:val="00A35ABA"/>
    <w:rsid w:val="00A436B8"/>
    <w:rsid w:val="00A52525"/>
    <w:rsid w:val="00A55504"/>
    <w:rsid w:val="00A608C6"/>
    <w:rsid w:val="00A6324B"/>
    <w:rsid w:val="00A8135F"/>
    <w:rsid w:val="00A85EB8"/>
    <w:rsid w:val="00A86D41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740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075A1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D1947"/>
    <w:rsid w:val="00BD6305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417A3"/>
    <w:rsid w:val="00C41DFA"/>
    <w:rsid w:val="00C42D47"/>
    <w:rsid w:val="00C579D4"/>
    <w:rsid w:val="00C60743"/>
    <w:rsid w:val="00C713DD"/>
    <w:rsid w:val="00C72EA1"/>
    <w:rsid w:val="00C740DE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D1D46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3310D"/>
    <w:rsid w:val="00D33461"/>
    <w:rsid w:val="00D410FE"/>
    <w:rsid w:val="00D43C0D"/>
    <w:rsid w:val="00D550D7"/>
    <w:rsid w:val="00D63871"/>
    <w:rsid w:val="00D721E4"/>
    <w:rsid w:val="00D7673B"/>
    <w:rsid w:val="00D87B4D"/>
    <w:rsid w:val="00D9084C"/>
    <w:rsid w:val="00DA150E"/>
    <w:rsid w:val="00DA2FF0"/>
    <w:rsid w:val="00DA4895"/>
    <w:rsid w:val="00DB4196"/>
    <w:rsid w:val="00DB518B"/>
    <w:rsid w:val="00DC77A7"/>
    <w:rsid w:val="00DC7E9B"/>
    <w:rsid w:val="00DD0CBE"/>
    <w:rsid w:val="00DE3A85"/>
    <w:rsid w:val="00DE6416"/>
    <w:rsid w:val="00DF1C04"/>
    <w:rsid w:val="00DF6197"/>
    <w:rsid w:val="00E159E3"/>
    <w:rsid w:val="00E2252E"/>
    <w:rsid w:val="00E33F01"/>
    <w:rsid w:val="00E432EC"/>
    <w:rsid w:val="00E44B04"/>
    <w:rsid w:val="00E500CB"/>
    <w:rsid w:val="00E510E0"/>
    <w:rsid w:val="00E511EF"/>
    <w:rsid w:val="00E571BE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E97"/>
    <w:rsid w:val="00EE2FC2"/>
    <w:rsid w:val="00EE5547"/>
    <w:rsid w:val="00EE5784"/>
    <w:rsid w:val="00EE72E2"/>
    <w:rsid w:val="00EF6583"/>
    <w:rsid w:val="00F0516C"/>
    <w:rsid w:val="00F05476"/>
    <w:rsid w:val="00F06851"/>
    <w:rsid w:val="00F1231E"/>
    <w:rsid w:val="00F7219F"/>
    <w:rsid w:val="00F845E9"/>
    <w:rsid w:val="00F964F7"/>
    <w:rsid w:val="00FA0267"/>
    <w:rsid w:val="00FB1643"/>
    <w:rsid w:val="00FC2DA6"/>
    <w:rsid w:val="00FC5AC9"/>
    <w:rsid w:val="00FD6EE3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uiPriority w:val="39"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26725-9A5C-4246-9DB7-8FADFBFBF908}"/>
</file>

<file path=customXml/itemProps2.xml><?xml version="1.0" encoding="utf-8"?>
<ds:datastoreItem xmlns:ds="http://schemas.openxmlformats.org/officeDocument/2006/customXml" ds:itemID="{DD437434-09D7-4687-95E7-23963C1BF1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2020-08-20T14:42:00Z</dcterms:created>
  <dcterms:modified xsi:type="dcterms:W3CDTF">2020-08-20T18:46:00Z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