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653" w:rsidRPr="005A13D7" w:rsidRDefault="001449D6" w:rsidP="001449D6">
      <w:pPr>
        <w:jc w:val="center"/>
        <w:rPr>
          <w:b/>
          <w:sz w:val="24"/>
          <w:szCs w:val="24"/>
        </w:rPr>
      </w:pPr>
      <w:r w:rsidRPr="005A13D7">
        <w:rPr>
          <w:b/>
          <w:sz w:val="24"/>
          <w:szCs w:val="24"/>
          <w:lang w:val="en-US"/>
        </w:rPr>
        <w:t>FREQUENCY SPECTRUM</w:t>
      </w:r>
      <w:r w:rsidRPr="005A13D7">
        <w:rPr>
          <w:b/>
          <w:sz w:val="24"/>
          <w:szCs w:val="24"/>
        </w:rPr>
        <w:t xml:space="preserve"> MAN</w:t>
      </w:r>
      <w:r w:rsidR="005A13D7" w:rsidRPr="005A13D7">
        <w:rPr>
          <w:b/>
          <w:sz w:val="24"/>
          <w:szCs w:val="24"/>
        </w:rPr>
        <w:t>AGEMENT</w:t>
      </w:r>
      <w:r w:rsidRPr="005A13D7">
        <w:rPr>
          <w:b/>
          <w:sz w:val="24"/>
          <w:szCs w:val="24"/>
        </w:rPr>
        <w:t xml:space="preserve"> PANEL (FS</w:t>
      </w:r>
      <w:r w:rsidR="00C62653" w:rsidRPr="005A13D7">
        <w:rPr>
          <w:b/>
          <w:sz w:val="24"/>
          <w:szCs w:val="24"/>
        </w:rPr>
        <w:t>MP)</w:t>
      </w:r>
    </w:p>
    <w:p w:rsidR="0071789F" w:rsidRDefault="0071789F" w:rsidP="0071789F">
      <w:pPr>
        <w:tabs>
          <w:tab w:val="left" w:pos="6972"/>
        </w:tabs>
        <w:jc w:val="center"/>
        <w:rPr>
          <w:b/>
        </w:rPr>
      </w:pPr>
    </w:p>
    <w:p w:rsidR="008826F2" w:rsidRDefault="008826F2" w:rsidP="008826F2">
      <w:pPr>
        <w:pStyle w:val="Maintitle"/>
      </w:pPr>
      <w:r>
        <w:t>Tenth Working Group meeting</w:t>
      </w:r>
    </w:p>
    <w:p w:rsidR="008826F2" w:rsidRDefault="008826F2" w:rsidP="008826F2"/>
    <w:p w:rsidR="008826F2" w:rsidRDefault="008826F2" w:rsidP="008826F2">
      <w:pPr>
        <w:jc w:val="center"/>
        <w:rPr>
          <w:b/>
          <w:bCs/>
          <w:szCs w:val="22"/>
        </w:rPr>
      </w:pPr>
      <w:bookmarkStart w:id="0" w:name="agenda_item"/>
      <w:bookmarkEnd w:id="0"/>
      <w:r>
        <w:rPr>
          <w:b/>
          <w:bCs/>
          <w:szCs w:val="22"/>
        </w:rPr>
        <w:t>Virtual Meeting</w:t>
      </w:r>
      <w:r>
        <w:rPr>
          <w:b/>
          <w:bCs/>
          <w:szCs w:val="22"/>
        </w:rPr>
        <w:t>, 17</w:t>
      </w:r>
      <w:r w:rsidRPr="00D03055">
        <w:rPr>
          <w:b/>
          <w:bCs/>
          <w:szCs w:val="22"/>
        </w:rPr>
        <w:t xml:space="preserve"> - </w:t>
      </w:r>
      <w:r>
        <w:rPr>
          <w:b/>
          <w:bCs/>
          <w:szCs w:val="22"/>
        </w:rPr>
        <w:t>26</w:t>
      </w:r>
      <w:r w:rsidRPr="00D03055">
        <w:rPr>
          <w:b/>
          <w:bCs/>
          <w:szCs w:val="22"/>
        </w:rPr>
        <w:t xml:space="preserve"> A</w:t>
      </w:r>
      <w:r>
        <w:rPr>
          <w:b/>
          <w:bCs/>
          <w:szCs w:val="22"/>
        </w:rPr>
        <w:t>ugust</w:t>
      </w:r>
      <w:r w:rsidRPr="00D03055">
        <w:rPr>
          <w:b/>
          <w:bCs/>
          <w:szCs w:val="22"/>
        </w:rPr>
        <w:t xml:space="preserve"> 2020</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112A76">
        <w:rPr>
          <w:lang w:val="sv-SE"/>
        </w:rPr>
        <w:t>10:</w:t>
      </w:r>
      <w:r w:rsidR="002F3286">
        <w:rPr>
          <w:lang w:val="sv-SE"/>
        </w:rPr>
        <w:tab/>
      </w:r>
      <w:r w:rsidR="00112A76">
        <w:rPr>
          <w:lang w:val="sv-SE"/>
        </w:rPr>
        <w:t>Any other business</w:t>
      </w:r>
    </w:p>
    <w:p w:rsidR="00112A76" w:rsidRPr="002F1C58" w:rsidRDefault="00112A76" w:rsidP="00112A76">
      <w:pPr>
        <w:pStyle w:val="Agendaitemtitle"/>
        <w:rPr>
          <w:b w:val="0"/>
          <w:bCs/>
          <w:lang w:val="sv-SE"/>
        </w:rPr>
      </w:pPr>
      <w:r w:rsidRPr="002F1C58">
        <w:rPr>
          <w:b w:val="0"/>
          <w:bCs/>
          <w:lang w:val="sv-SE"/>
        </w:rPr>
        <w:t>Agenda Item 9</w:t>
      </w:r>
      <w:r w:rsidR="000C4303" w:rsidRPr="002F1C58">
        <w:rPr>
          <w:b w:val="0"/>
          <w:bCs/>
          <w:lang w:val="sv-SE"/>
        </w:rPr>
        <w:t>c</w:t>
      </w:r>
      <w:r w:rsidRPr="002F1C58">
        <w:rPr>
          <w:b w:val="0"/>
          <w:bCs/>
          <w:lang w:val="sv-SE"/>
        </w:rPr>
        <w:t>:</w:t>
      </w:r>
      <w:r w:rsidR="002F3286">
        <w:rPr>
          <w:b w:val="0"/>
          <w:bCs/>
          <w:lang w:val="sv-SE"/>
        </w:rPr>
        <w:tab/>
      </w:r>
      <w:r w:rsidR="000C4303" w:rsidRPr="002F1C58">
        <w:rPr>
          <w:b w:val="0"/>
          <w:bCs/>
          <w:lang w:val="sv-SE"/>
        </w:rPr>
        <w:t>Revision of ICAO Frequency Spectrum Handbook (Doc 9718) – update of Vol. II</w:t>
      </w:r>
    </w:p>
    <w:p w:rsidR="000C4303" w:rsidRPr="002F1C58" w:rsidRDefault="000C4303" w:rsidP="000C4303">
      <w:pPr>
        <w:pStyle w:val="Agendaitemtitle"/>
        <w:rPr>
          <w:b w:val="0"/>
          <w:bCs/>
          <w:lang w:val="sv-SE"/>
        </w:rPr>
      </w:pPr>
      <w:r w:rsidRPr="002F1C58">
        <w:rPr>
          <w:b w:val="0"/>
          <w:bCs/>
          <w:lang w:val="sv-SE"/>
        </w:rPr>
        <w:t>Agenda Item 7a:</w:t>
      </w:r>
      <w:r w:rsidR="002F3286">
        <w:rPr>
          <w:b w:val="0"/>
          <w:bCs/>
          <w:lang w:val="sv-SE"/>
        </w:rPr>
        <w:tab/>
      </w:r>
      <w:r w:rsidRPr="002F1C58">
        <w:rPr>
          <w:b w:val="0"/>
          <w:bCs/>
          <w:lang w:val="sv-SE"/>
        </w:rPr>
        <w:t>New Provisions to Support Aeronautical Radiocommunications</w:t>
      </w:r>
      <w:r w:rsidR="001708FD" w:rsidRPr="002F1C58">
        <w:rPr>
          <w:b w:val="0"/>
          <w:bCs/>
          <w:lang w:val="sv-SE"/>
        </w:rPr>
        <w:t xml:space="preserve"> –</w:t>
      </w:r>
      <w:r w:rsidR="001708FD">
        <w:rPr>
          <w:b w:val="0"/>
          <w:bCs/>
          <w:lang w:val="sv-SE"/>
        </w:rPr>
        <w:t xml:space="preserve"> </w:t>
      </w:r>
      <w:r w:rsidRPr="002F1C58">
        <w:rPr>
          <w:b w:val="0"/>
          <w:bCs/>
          <w:lang w:val="sv-SE"/>
        </w:rPr>
        <w:t>LDACS</w:t>
      </w:r>
    </w:p>
    <w:p w:rsidR="000C4303" w:rsidRPr="00112A76" w:rsidRDefault="000C4303" w:rsidP="00112A76">
      <w:pPr>
        <w:pStyle w:val="Agendaitemtitle"/>
        <w:rPr>
          <w:lang w:val="sv-SE"/>
        </w:rPr>
      </w:pPr>
    </w:p>
    <w:p w:rsidR="00770160" w:rsidRDefault="00770160">
      <w:pPr>
        <w:pStyle w:val="Agendaitemtitle"/>
        <w:rPr>
          <w:b w:val="0"/>
          <w:lang w:val="sv-SE"/>
        </w:rPr>
      </w:pPr>
    </w:p>
    <w:p w:rsidR="00770160" w:rsidRDefault="00770160">
      <w:pPr>
        <w:tabs>
          <w:tab w:val="left" w:pos="6972"/>
        </w:tabs>
        <w:rPr>
          <w:b/>
          <w:lang w:val="sv-SE"/>
        </w:rPr>
      </w:pPr>
    </w:p>
    <w:p w:rsidR="00442CB3" w:rsidRDefault="00442CB3" w:rsidP="00442CB3">
      <w:pPr>
        <w:pStyle w:val="Maintitle"/>
      </w:pPr>
      <w:r>
        <w:t xml:space="preserve">REPORT OF THE </w:t>
      </w:r>
      <w:r w:rsidR="001A24FD">
        <w:t>9</w:t>
      </w:r>
      <w:r>
        <w:t>th MEETING</w:t>
      </w:r>
    </w:p>
    <w:p w:rsidR="00442CB3" w:rsidRDefault="00442CB3" w:rsidP="00442CB3">
      <w:pPr>
        <w:pStyle w:val="Maintitle"/>
      </w:pPr>
      <w:r>
        <w:tab/>
        <w:t xml:space="preserve">OF THE </w:t>
      </w:r>
      <w:r>
        <w:tab/>
      </w:r>
    </w:p>
    <w:p w:rsidR="00442CB3" w:rsidRDefault="00442CB3" w:rsidP="00442CB3">
      <w:pPr>
        <w:pStyle w:val="Maintitle"/>
      </w:pPr>
      <w:r>
        <w:t>ICAO NSP SPECTRUM WORKING GROUP</w:t>
      </w:r>
    </w:p>
    <w:p w:rsidR="00770160" w:rsidRDefault="002F3286" w:rsidP="00442CB3">
      <w:pPr>
        <w:pStyle w:val="Maintitle"/>
      </w:pPr>
      <w:r w:rsidRPr="002F3286">
        <w:t>15</w:t>
      </w:r>
      <w:r w:rsidRPr="002F3286">
        <w:rPr>
          <w:vertAlign w:val="superscript"/>
        </w:rPr>
        <w:t>th</w:t>
      </w:r>
      <w:r w:rsidRPr="002F3286">
        <w:t xml:space="preserve"> to 18</w:t>
      </w:r>
      <w:r w:rsidRPr="002F3286">
        <w:rPr>
          <w:vertAlign w:val="superscript"/>
        </w:rPr>
        <w:t>th</w:t>
      </w:r>
      <w:r w:rsidRPr="002F3286">
        <w:t xml:space="preserve"> October 2019</w:t>
      </w:r>
      <w:r w:rsidR="00442CB3">
        <w:t>, ICAO Headquarters, Montreal, Canada</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1" w:name="presented_by"/>
      <w:bookmarkEnd w:id="1"/>
      <w:r>
        <w:t xml:space="preserve"> </w:t>
      </w:r>
      <w:r w:rsidR="00442CB3">
        <w:t>SWG rapporteur, Felix Butsch</w:t>
      </w:r>
      <w:r>
        <w:t>)</w:t>
      </w:r>
    </w:p>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5C4DB7" w:rsidRPr="004C2F06" w:rsidRDefault="005C4DB7" w:rsidP="005C4DB7">
            <w:pPr>
              <w:rPr>
                <w:lang w:val="en-US"/>
              </w:rPr>
            </w:pPr>
            <w:r w:rsidRPr="004C2F06">
              <w:rPr>
                <w:lang w:val="en-US"/>
              </w:rPr>
              <w:t>Attached to this paper is the report of the October 2019 meeting of the ICAO NSP Spectrum Working Group (SWG). The</w:t>
            </w:r>
            <w:r w:rsidR="00CC2EBF">
              <w:rPr>
                <w:lang w:val="en-US"/>
              </w:rPr>
              <w:t xml:space="preserve"> following</w:t>
            </w:r>
            <w:r w:rsidRPr="004C2F06">
              <w:rPr>
                <w:lang w:val="en-US"/>
              </w:rPr>
              <w:t xml:space="preserve"> topics</w:t>
            </w:r>
            <w:r w:rsidR="00CC2EBF">
              <w:rPr>
                <w:lang w:val="en-US"/>
              </w:rPr>
              <w:t>, which were</w:t>
            </w:r>
            <w:r w:rsidRPr="004C2F06">
              <w:rPr>
                <w:lang w:val="en-US"/>
              </w:rPr>
              <w:t xml:space="preserve"> </w:t>
            </w:r>
            <w:r w:rsidR="00D26EEB">
              <w:rPr>
                <w:lang w:val="en-US"/>
              </w:rPr>
              <w:t>discussed</w:t>
            </w:r>
            <w:r w:rsidR="00CC2EBF">
              <w:rPr>
                <w:lang w:val="en-US"/>
              </w:rPr>
              <w:t xml:space="preserve"> by the SWG </w:t>
            </w:r>
            <w:r w:rsidR="006301C3">
              <w:rPr>
                <w:lang w:val="en-US"/>
              </w:rPr>
              <w:t xml:space="preserve">are relevant </w:t>
            </w:r>
            <w:r w:rsidRPr="004C2F06">
              <w:rPr>
                <w:lang w:val="en-US"/>
              </w:rPr>
              <w:t>for the ICAO FSMP WG:</w:t>
            </w:r>
          </w:p>
          <w:p w:rsidR="005C4DB7" w:rsidRPr="004C2F06" w:rsidRDefault="005C4DB7" w:rsidP="005C4DB7">
            <w:pPr>
              <w:rPr>
                <w:lang w:val="en-US"/>
              </w:rPr>
            </w:pPr>
          </w:p>
          <w:p w:rsidR="005C4DB7" w:rsidRPr="004C2F06" w:rsidRDefault="005C4DB7" w:rsidP="005C4DB7">
            <w:pPr>
              <w:pStyle w:val="ListParagraph"/>
              <w:numPr>
                <w:ilvl w:val="0"/>
                <w:numId w:val="43"/>
              </w:numPr>
              <w:rPr>
                <w:lang w:val="en-US"/>
              </w:rPr>
            </w:pPr>
            <w:r w:rsidRPr="004C2F06">
              <w:rPr>
                <w:lang w:val="en-US"/>
              </w:rPr>
              <w:t xml:space="preserve">Preparation of guidance material on </w:t>
            </w:r>
            <w:r w:rsidRPr="005C53EC">
              <w:rPr>
                <w:b/>
                <w:bCs/>
                <w:lang w:val="en-US"/>
              </w:rPr>
              <w:t>compatibility analysis and frequency assignment planning of terrestrial navigation aids</w:t>
            </w:r>
            <w:r w:rsidRPr="004C2F06">
              <w:rPr>
                <w:lang w:val="en-US"/>
              </w:rPr>
              <w:t xml:space="preserve"> for incorporation into Volume II of the “Handbook on radio frequency spectrum requirements for civil aviation”, Doc. 9718. </w:t>
            </w:r>
            <w:r w:rsidR="004A4498" w:rsidRPr="004C2F06">
              <w:rPr>
                <w:lang w:val="en-US"/>
              </w:rPr>
              <w:t>Concerning</w:t>
            </w:r>
            <w:r w:rsidRPr="004C2F06">
              <w:rPr>
                <w:lang w:val="en-US"/>
              </w:rPr>
              <w:t xml:space="preserve"> the </w:t>
            </w:r>
            <w:r w:rsidR="00CC2EBF">
              <w:rPr>
                <w:lang w:val="en-US"/>
              </w:rPr>
              <w:t xml:space="preserve">latest drafts of various </w:t>
            </w:r>
            <w:r w:rsidRPr="004C2F06">
              <w:rPr>
                <w:lang w:val="en-US"/>
              </w:rPr>
              <w:t>chapter</w:t>
            </w:r>
            <w:r w:rsidR="00CC2EBF">
              <w:rPr>
                <w:lang w:val="en-US"/>
              </w:rPr>
              <w:t>s</w:t>
            </w:r>
            <w:r w:rsidRPr="004C2F06">
              <w:rPr>
                <w:lang w:val="en-US"/>
              </w:rPr>
              <w:t xml:space="preserve"> of Vol</w:t>
            </w:r>
            <w:r w:rsidR="00CC2EBF">
              <w:rPr>
                <w:lang w:val="en-US"/>
              </w:rPr>
              <w:t>. II</w:t>
            </w:r>
            <w:r w:rsidRPr="004C2F06">
              <w:rPr>
                <w:lang w:val="en-US"/>
              </w:rPr>
              <w:t xml:space="preserve">, the following was observed by the SWG: </w:t>
            </w:r>
          </w:p>
          <w:p w:rsidR="005C53EC" w:rsidRDefault="005C53EC" w:rsidP="005C4DB7">
            <w:pPr>
              <w:ind w:left="360"/>
              <w:rPr>
                <w:lang w:val="en-US"/>
              </w:rPr>
            </w:pPr>
          </w:p>
          <w:p w:rsidR="005C4DB7" w:rsidRPr="004C2F06" w:rsidRDefault="005C4DB7" w:rsidP="005C4DB7">
            <w:pPr>
              <w:ind w:left="360"/>
              <w:rPr>
                <w:lang w:val="en-US"/>
              </w:rPr>
            </w:pPr>
            <w:r w:rsidRPr="004C2F06">
              <w:rPr>
                <w:lang w:val="en-US"/>
              </w:rPr>
              <w:t xml:space="preserve">The draft revision of the existing chapter 1 </w:t>
            </w:r>
            <w:r w:rsidR="004A4498" w:rsidRPr="004C2F06">
              <w:rPr>
                <w:lang w:val="en-US"/>
              </w:rPr>
              <w:t>on “</w:t>
            </w:r>
            <w:r w:rsidRPr="00C83305">
              <w:rPr>
                <w:b/>
                <w:bCs/>
                <w:lang w:val="en-US"/>
              </w:rPr>
              <w:t>G</w:t>
            </w:r>
            <w:r w:rsidRPr="005C53EC">
              <w:rPr>
                <w:b/>
                <w:bCs/>
                <w:lang w:val="en-US"/>
              </w:rPr>
              <w:t xml:space="preserve">eneral Methodology for compatibility </w:t>
            </w:r>
            <w:r w:rsidR="004A4498" w:rsidRPr="005C53EC">
              <w:rPr>
                <w:b/>
                <w:bCs/>
                <w:lang w:val="en-US"/>
              </w:rPr>
              <w:t>analysis</w:t>
            </w:r>
            <w:r w:rsidR="004A4498" w:rsidRPr="004C2F06">
              <w:rPr>
                <w:lang w:val="en-US"/>
              </w:rPr>
              <w:t xml:space="preserve"> “as</w:t>
            </w:r>
            <w:r w:rsidRPr="004C2F06">
              <w:rPr>
                <w:lang w:val="en-US"/>
              </w:rPr>
              <w:t xml:space="preserve"> well as </w:t>
            </w:r>
            <w:r w:rsidR="004C2F06" w:rsidRPr="004C2F06">
              <w:rPr>
                <w:lang w:val="en-US"/>
              </w:rPr>
              <w:t xml:space="preserve">the drafts of </w:t>
            </w:r>
            <w:r w:rsidRPr="004C2F06">
              <w:rPr>
                <w:lang w:val="en-US"/>
              </w:rPr>
              <w:t xml:space="preserve">chapter 3 on </w:t>
            </w:r>
            <w:r w:rsidRPr="005C53EC">
              <w:rPr>
                <w:b/>
                <w:bCs/>
                <w:lang w:val="en-US"/>
              </w:rPr>
              <w:t>ILS</w:t>
            </w:r>
            <w:r w:rsidRPr="004C2F06">
              <w:rPr>
                <w:lang w:val="en-US"/>
              </w:rPr>
              <w:t xml:space="preserve">, chapter 4 on </w:t>
            </w:r>
            <w:r w:rsidRPr="005C53EC">
              <w:rPr>
                <w:b/>
                <w:bCs/>
                <w:lang w:val="en-US"/>
              </w:rPr>
              <w:t>VOR</w:t>
            </w:r>
            <w:r w:rsidRPr="004C2F06">
              <w:rPr>
                <w:lang w:val="en-US"/>
              </w:rPr>
              <w:t xml:space="preserve"> and chapter 5 on </w:t>
            </w:r>
            <w:r w:rsidRPr="005C53EC">
              <w:rPr>
                <w:b/>
                <w:bCs/>
                <w:lang w:val="en-US"/>
              </w:rPr>
              <w:t>DME</w:t>
            </w:r>
            <w:r w:rsidRPr="004C2F06">
              <w:rPr>
                <w:lang w:val="en-US"/>
              </w:rPr>
              <w:t xml:space="preserve">, reached a considerable level of maturity, </w:t>
            </w:r>
            <w:r w:rsidR="004A4498" w:rsidRPr="004C2F06">
              <w:rPr>
                <w:lang w:val="en-US"/>
              </w:rPr>
              <w:t>however,</w:t>
            </w:r>
            <w:r w:rsidRPr="004C2F06">
              <w:rPr>
                <w:lang w:val="en-US"/>
              </w:rPr>
              <w:t xml:space="preserve"> were not finally agreed.  The draft of Chapter 6 on </w:t>
            </w:r>
            <w:r w:rsidRPr="005C53EC">
              <w:rPr>
                <w:b/>
                <w:bCs/>
                <w:lang w:val="en-US"/>
              </w:rPr>
              <w:t>GBAS/VDB</w:t>
            </w:r>
            <w:r w:rsidRPr="004C2F06">
              <w:rPr>
                <w:lang w:val="en-US"/>
              </w:rPr>
              <w:t xml:space="preserve"> still needs some further work</w:t>
            </w:r>
            <w:r w:rsidR="004A4498">
              <w:rPr>
                <w:lang w:val="en-US"/>
              </w:rPr>
              <w:t xml:space="preserve"> due to open issues concerning</w:t>
            </w:r>
            <w:r w:rsidRPr="004C2F06">
              <w:rPr>
                <w:lang w:val="en-US"/>
              </w:rPr>
              <w:t xml:space="preserve"> “guidance material for GBAS/VDB siting and same-airport compatibility”</w:t>
            </w:r>
            <w:r w:rsidR="004A4498">
              <w:rPr>
                <w:lang w:val="en-US"/>
              </w:rPr>
              <w:t xml:space="preserve"> and GBAS VDB versus VHF COM compatibility</w:t>
            </w:r>
            <w:r w:rsidRPr="004C2F06">
              <w:rPr>
                <w:lang w:val="en-US"/>
              </w:rPr>
              <w:t xml:space="preserve">. The April 2020 meeting of ICAO NSP SWG will try to reach a considerable progress on this issue. </w:t>
            </w:r>
          </w:p>
          <w:p w:rsidR="005C4DB7" w:rsidRPr="004C2F06" w:rsidRDefault="005C4DB7" w:rsidP="005C4DB7">
            <w:pPr>
              <w:ind w:left="360"/>
              <w:rPr>
                <w:lang w:val="en-US"/>
              </w:rPr>
            </w:pPr>
          </w:p>
          <w:p w:rsidR="00381B3D" w:rsidRPr="004C2F06" w:rsidRDefault="005C4DB7" w:rsidP="005C4DB7">
            <w:pPr>
              <w:ind w:left="360"/>
              <w:rPr>
                <w:lang w:val="en-US"/>
              </w:rPr>
            </w:pPr>
            <w:r w:rsidRPr="004C2F06">
              <w:rPr>
                <w:lang w:val="en-US"/>
              </w:rPr>
              <w:t xml:space="preserve"> </w:t>
            </w:r>
          </w:p>
        </w:tc>
      </w:tr>
      <w:tr w:rsidR="005C4DB7" w:rsidTr="004E1001">
        <w:trPr>
          <w:cantSplit/>
          <w:trHeight w:hRule="exact" w:val="480"/>
          <w:jc w:val="center"/>
        </w:trPr>
        <w:tc>
          <w:tcPr>
            <w:tcW w:w="7200" w:type="dxa"/>
            <w:vAlign w:val="center"/>
          </w:tcPr>
          <w:p w:rsidR="005C4DB7" w:rsidRPr="004C2F06" w:rsidRDefault="00442CB3" w:rsidP="004E1001">
            <w:pPr>
              <w:jc w:val="center"/>
              <w:rPr>
                <w:sz w:val="24"/>
                <w:lang w:val="en-US"/>
              </w:rPr>
            </w:pPr>
            <w:r w:rsidRPr="004C2F06">
              <w:lastRenderedPageBreak/>
              <w:br w:type="page"/>
            </w:r>
            <w:r w:rsidR="005C4DB7" w:rsidRPr="004C2F06">
              <w:rPr>
                <w:b/>
              </w:rPr>
              <w:t>SUMMARY- continued</w:t>
            </w:r>
          </w:p>
        </w:tc>
      </w:tr>
      <w:tr w:rsidR="005C4DB7" w:rsidTr="004E1001">
        <w:trPr>
          <w:cantSplit/>
          <w:jc w:val="center"/>
        </w:trPr>
        <w:tc>
          <w:tcPr>
            <w:tcW w:w="7200" w:type="dxa"/>
          </w:tcPr>
          <w:p w:rsidR="005C4DB7" w:rsidRPr="004C2F06" w:rsidRDefault="005C4DB7" w:rsidP="004E1001">
            <w:pPr>
              <w:ind w:left="360"/>
              <w:rPr>
                <w:lang w:val="en-US"/>
              </w:rPr>
            </w:pPr>
          </w:p>
          <w:p w:rsidR="005C4DB7" w:rsidRPr="004C2F06" w:rsidRDefault="005C4DB7" w:rsidP="004E1001">
            <w:pPr>
              <w:ind w:left="360"/>
              <w:rPr>
                <w:lang w:val="en-US"/>
              </w:rPr>
            </w:pPr>
            <w:r w:rsidRPr="004C2F06">
              <w:rPr>
                <w:lang w:val="en-US"/>
              </w:rPr>
              <w:t xml:space="preserve">In the context of reviewing </w:t>
            </w:r>
            <w:r w:rsidR="004C2F06" w:rsidRPr="004C2F06">
              <w:rPr>
                <w:lang w:val="en-US"/>
              </w:rPr>
              <w:t>draft revision of the existing chapter 1</w:t>
            </w:r>
            <w:r w:rsidRPr="004C2F06">
              <w:rPr>
                <w:lang w:val="en-US"/>
              </w:rPr>
              <w:t xml:space="preserve">, </w:t>
            </w:r>
            <w:r w:rsidRPr="005C53EC">
              <w:rPr>
                <w:b/>
                <w:bCs/>
                <w:lang w:val="en-US"/>
              </w:rPr>
              <w:t>ITU-R Recommen</w:t>
            </w:r>
            <w:r w:rsidRPr="005C53EC">
              <w:rPr>
                <w:b/>
                <w:bCs/>
                <w:lang w:val="en-US"/>
              </w:rPr>
              <w:softHyphen/>
              <w:t>dation P.528</w:t>
            </w:r>
            <w:r w:rsidRPr="005C53EC">
              <w:rPr>
                <w:b/>
                <w:bCs/>
                <w:lang w:val="en-US"/>
              </w:rPr>
              <w:noBreakHyphen/>
              <w:t>4</w:t>
            </w:r>
            <w:r w:rsidR="00CC2EBF">
              <w:rPr>
                <w:lang w:val="en-US"/>
              </w:rPr>
              <w:t xml:space="preserve"> </w:t>
            </w:r>
            <w:r w:rsidRPr="004C2F06">
              <w:rPr>
                <w:lang w:val="en-US"/>
              </w:rPr>
              <w:t>(“A</w:t>
            </w:r>
            <w:r w:rsidR="00CC2EBF">
              <w:rPr>
                <w:lang w:val="en-US"/>
              </w:rPr>
              <w:t xml:space="preserve"> </w:t>
            </w:r>
            <w:r w:rsidRPr="004C2F06">
              <w:rPr>
                <w:lang w:val="en-US"/>
              </w:rPr>
              <w:t>propagation prediction method for aeronauti</w:t>
            </w:r>
            <w:r w:rsidR="00CC2EBF">
              <w:rPr>
                <w:lang w:val="en-US"/>
              </w:rPr>
              <w:softHyphen/>
            </w:r>
            <w:r w:rsidRPr="004C2F06">
              <w:rPr>
                <w:lang w:val="en-US"/>
              </w:rPr>
              <w:t>cal mobile and radionavigation services using the VHF, UHF and SHF bands”</w:t>
            </w:r>
            <w:r w:rsidR="00CC2EBF">
              <w:rPr>
                <w:lang w:val="en-US"/>
              </w:rPr>
              <w:t>)</w:t>
            </w:r>
            <w:r w:rsidRPr="004C2F06">
              <w:rPr>
                <w:lang w:val="en-US"/>
              </w:rPr>
              <w:t xml:space="preserve"> was </w:t>
            </w:r>
            <w:r w:rsidR="00926BEB" w:rsidRPr="004C2F06">
              <w:rPr>
                <w:lang w:val="en-US"/>
              </w:rPr>
              <w:t>also</w:t>
            </w:r>
            <w:r w:rsidR="004C2F06" w:rsidRPr="004C2F06">
              <w:rPr>
                <w:lang w:val="en-US"/>
              </w:rPr>
              <w:t xml:space="preserve"> </w:t>
            </w:r>
            <w:r w:rsidRPr="004C2F06">
              <w:rPr>
                <w:lang w:val="en-US"/>
              </w:rPr>
              <w:t>reviewed by the SWG. The following issues with the applicability of ITU-R Recommendation P.528-</w:t>
            </w:r>
            <w:r w:rsidR="00926BEB" w:rsidRPr="004C2F06">
              <w:rPr>
                <w:lang w:val="en-US"/>
              </w:rPr>
              <w:t>4 were</w:t>
            </w:r>
            <w:r w:rsidRPr="004C2F06">
              <w:rPr>
                <w:lang w:val="en-US"/>
              </w:rPr>
              <w:t xml:space="preserve"> identified: </w:t>
            </w:r>
          </w:p>
          <w:p w:rsidR="005C4DB7" w:rsidRPr="004C2F06" w:rsidRDefault="005C4DB7" w:rsidP="004E1001">
            <w:pPr>
              <w:pStyle w:val="ListParagraph"/>
              <w:numPr>
                <w:ilvl w:val="1"/>
                <w:numId w:val="43"/>
              </w:numPr>
              <w:rPr>
                <w:lang w:val="en-US"/>
              </w:rPr>
            </w:pPr>
            <w:r w:rsidRPr="004C2F06">
              <w:rPr>
                <w:lang w:val="en-US"/>
              </w:rPr>
              <w:t xml:space="preserve">the frequency range of applicability of the Recommendation only extends </w:t>
            </w:r>
            <w:r w:rsidR="00473F0D">
              <w:rPr>
                <w:lang w:val="en-US"/>
              </w:rPr>
              <w:t xml:space="preserve">only </w:t>
            </w:r>
            <w:r w:rsidRPr="004C2F06">
              <w:rPr>
                <w:lang w:val="en-US"/>
              </w:rPr>
              <w:t>down to</w:t>
            </w:r>
            <w:r w:rsidRPr="005C53EC">
              <w:rPr>
                <w:b/>
                <w:bCs/>
                <w:lang w:val="en-US"/>
              </w:rPr>
              <w:t xml:space="preserve"> 125 MHz</w:t>
            </w:r>
            <w:r w:rsidRPr="004C2F06">
              <w:rPr>
                <w:lang w:val="en-US"/>
              </w:rPr>
              <w:t>, whereas several aeronautical systems standardized by ICAO operate in the bands 108 – 117.975 MHz and 117.975 – 137 MHz.</w:t>
            </w:r>
          </w:p>
          <w:p w:rsidR="005C4DB7" w:rsidRPr="004C2F06" w:rsidRDefault="005C4DB7" w:rsidP="004E1001">
            <w:pPr>
              <w:pStyle w:val="ListParagraph"/>
              <w:numPr>
                <w:ilvl w:val="1"/>
                <w:numId w:val="43"/>
              </w:numPr>
              <w:rPr>
                <w:lang w:val="en-US"/>
              </w:rPr>
            </w:pPr>
            <w:r w:rsidRPr="004C2F06">
              <w:rPr>
                <w:lang w:val="en-US"/>
              </w:rPr>
              <w:t xml:space="preserve">the Recommendation assumes </w:t>
            </w:r>
            <w:r w:rsidRPr="005C53EC">
              <w:rPr>
                <w:b/>
                <w:bCs/>
                <w:lang w:val="en-US"/>
              </w:rPr>
              <w:t>horizontal</w:t>
            </w:r>
            <w:r w:rsidRPr="004C2F06">
              <w:rPr>
                <w:lang w:val="en-US"/>
              </w:rPr>
              <w:t xml:space="preserve"> polarization, whereas several aeronautical systems standardized by ICAO use vertical polarization</w:t>
            </w:r>
          </w:p>
          <w:p w:rsidR="005C4DB7" w:rsidRPr="004C2F06" w:rsidRDefault="00926BEB" w:rsidP="004E1001">
            <w:pPr>
              <w:ind w:left="360"/>
              <w:rPr>
                <w:lang w:val="en-US"/>
              </w:rPr>
            </w:pPr>
            <w:r w:rsidRPr="004C2F06">
              <w:rPr>
                <w:lang w:val="en-US"/>
              </w:rPr>
              <w:t>Consequently,</w:t>
            </w:r>
            <w:r w:rsidR="005C4DB7" w:rsidRPr="004C2F06">
              <w:rPr>
                <w:lang w:val="en-US"/>
              </w:rPr>
              <w:t xml:space="preserve"> the ICAO-secretariat developed a Liaison Statement to ITU</w:t>
            </w:r>
            <w:r w:rsidR="005C4DB7" w:rsidRPr="004C2F06">
              <w:rPr>
                <w:lang w:val="en-US"/>
              </w:rPr>
              <w:noBreakHyphen/>
              <w:t>R WP3K (</w:t>
            </w:r>
            <w:r w:rsidR="004C2F06" w:rsidRPr="004C2F06">
              <w:rPr>
                <w:lang w:val="en-US"/>
              </w:rPr>
              <w:t xml:space="preserve">the </w:t>
            </w:r>
            <w:r w:rsidR="005C4DB7" w:rsidRPr="004C2F06">
              <w:rPr>
                <w:lang w:val="en-US"/>
              </w:rPr>
              <w:t xml:space="preserve">draft was circulated within ICAO FSMP), suggesting that the aforementioned observations be noted by Working Party 3K and be </w:t>
            </w:r>
            <w:r w:rsidRPr="004C2F06">
              <w:rPr>
                <w:lang w:val="en-US"/>
              </w:rPr>
              <w:t>considered</w:t>
            </w:r>
            <w:r w:rsidR="005C4DB7" w:rsidRPr="004C2F06">
              <w:rPr>
                <w:lang w:val="en-US"/>
              </w:rPr>
              <w:t xml:space="preserve"> when the next revision of the Recommendation is undertaken.”</w:t>
            </w:r>
          </w:p>
          <w:p w:rsidR="005C4DB7" w:rsidRPr="004C2F06" w:rsidRDefault="005C4DB7" w:rsidP="004E1001">
            <w:pPr>
              <w:ind w:left="360"/>
              <w:rPr>
                <w:lang w:val="en-US"/>
              </w:rPr>
            </w:pPr>
          </w:p>
          <w:p w:rsidR="005C4DB7" w:rsidRPr="004C2F06" w:rsidRDefault="005C4DB7" w:rsidP="004E1001">
            <w:pPr>
              <w:ind w:left="360"/>
              <w:rPr>
                <w:lang w:val="en-US"/>
              </w:rPr>
            </w:pPr>
            <w:r w:rsidRPr="004C2F06">
              <w:rPr>
                <w:lang w:val="en-US"/>
              </w:rPr>
              <w:t xml:space="preserve">ICAO NSP meeting in June 2020 </w:t>
            </w:r>
            <w:r w:rsidR="006301C3">
              <w:rPr>
                <w:lang w:val="en-US"/>
              </w:rPr>
              <w:t xml:space="preserve">in </w:t>
            </w:r>
            <w:r w:rsidRPr="004C2F06">
              <w:rPr>
                <w:lang w:val="en-US"/>
              </w:rPr>
              <w:t xml:space="preserve">Dakar </w:t>
            </w:r>
            <w:r w:rsidR="004C2F06" w:rsidRPr="004C2F06">
              <w:rPr>
                <w:lang w:val="en-US"/>
              </w:rPr>
              <w:t xml:space="preserve">will </w:t>
            </w:r>
            <w:r w:rsidR="00926BEB" w:rsidRPr="004C2F06">
              <w:rPr>
                <w:lang w:val="en-US"/>
              </w:rPr>
              <w:t>have</w:t>
            </w:r>
            <w:r w:rsidR="004C2F06" w:rsidRPr="004C2F06">
              <w:rPr>
                <w:lang w:val="en-US"/>
              </w:rPr>
              <w:t xml:space="preserve"> the opportunity </w:t>
            </w:r>
            <w:r w:rsidRPr="004C2F06">
              <w:rPr>
                <w:lang w:val="en-US"/>
              </w:rPr>
              <w:t xml:space="preserve">to finalize the frequency assignment planning of terrestrial navigation aids </w:t>
            </w:r>
            <w:r w:rsidR="004C2F06" w:rsidRPr="004C2F06">
              <w:rPr>
                <w:lang w:val="en-US"/>
              </w:rPr>
              <w:t xml:space="preserve">and GBAS </w:t>
            </w:r>
            <w:r w:rsidRPr="004C2F06">
              <w:rPr>
                <w:lang w:val="en-US"/>
              </w:rPr>
              <w:t xml:space="preserve">for incorporation into Volume II and to </w:t>
            </w:r>
            <w:r w:rsidR="00926BEB" w:rsidRPr="004C2F06">
              <w:rPr>
                <w:lang w:val="en-US"/>
              </w:rPr>
              <w:t>adopt</w:t>
            </w:r>
            <w:r w:rsidRPr="004C2F06">
              <w:rPr>
                <w:lang w:val="en-US"/>
              </w:rPr>
              <w:t xml:space="preserve"> the material for submission to the ICAO FSMP. FSMP may the</w:t>
            </w:r>
            <w:r w:rsidR="004C2F06" w:rsidRPr="004C2F06">
              <w:rPr>
                <w:lang w:val="en-US"/>
              </w:rPr>
              <w:t>n</w:t>
            </w:r>
            <w:r w:rsidRPr="004C2F06">
              <w:rPr>
                <w:lang w:val="en-US"/>
              </w:rPr>
              <w:t xml:space="preserve"> decide on the inclusion into DOC 9718, Vol. II. </w:t>
            </w:r>
          </w:p>
          <w:p w:rsidR="005C4DB7" w:rsidRPr="004C2F06" w:rsidRDefault="005C4DB7" w:rsidP="004E1001">
            <w:pPr>
              <w:ind w:left="720"/>
              <w:rPr>
                <w:lang w:val="en-US"/>
              </w:rPr>
            </w:pPr>
          </w:p>
          <w:p w:rsidR="00926BEB" w:rsidRPr="006301C3" w:rsidRDefault="00926BEB" w:rsidP="006F1E85">
            <w:pPr>
              <w:pStyle w:val="ListParagraph"/>
              <w:numPr>
                <w:ilvl w:val="0"/>
                <w:numId w:val="43"/>
              </w:numPr>
              <w:rPr>
                <w:lang w:val="en-US"/>
              </w:rPr>
            </w:pPr>
            <w:r w:rsidRPr="006301C3">
              <w:rPr>
                <w:lang w:val="en-US"/>
              </w:rPr>
              <w:t>SWG revi</w:t>
            </w:r>
            <w:r w:rsidR="00D05561" w:rsidRPr="006301C3">
              <w:rPr>
                <w:lang w:val="en-US"/>
              </w:rPr>
              <w:t>e</w:t>
            </w:r>
            <w:r w:rsidRPr="006301C3">
              <w:rPr>
                <w:lang w:val="en-US"/>
              </w:rPr>
              <w:t xml:space="preserve">wed and </w:t>
            </w:r>
            <w:r w:rsidR="00E208E9" w:rsidRPr="006301C3">
              <w:rPr>
                <w:lang w:val="en-US"/>
              </w:rPr>
              <w:t>discussed</w:t>
            </w:r>
            <w:r w:rsidRPr="006301C3">
              <w:rPr>
                <w:lang w:val="en-US"/>
              </w:rPr>
              <w:t xml:space="preserve"> also ICAO State letter 19/52 (S/L-19/52) titled “</w:t>
            </w:r>
            <w:r w:rsidRPr="005C53EC">
              <w:rPr>
                <w:b/>
                <w:bCs/>
                <w:lang w:val="en-US"/>
              </w:rPr>
              <w:t>Introduction of RPAS C2 links into NAV bands</w:t>
            </w:r>
            <w:r w:rsidRPr="006301C3">
              <w:rPr>
                <w:lang w:val="en-US"/>
              </w:rPr>
              <w:t>”.</w:t>
            </w:r>
            <w:r w:rsidR="00473F0D" w:rsidRPr="006301C3">
              <w:rPr>
                <w:lang w:val="en-US"/>
              </w:rPr>
              <w:t xml:space="preserve"> T</w:t>
            </w:r>
            <w:r w:rsidR="00D05561" w:rsidRPr="006301C3">
              <w:rPr>
                <w:lang w:val="en-US"/>
              </w:rPr>
              <w:t xml:space="preserve">he </w:t>
            </w:r>
            <w:r w:rsidR="00473F0D" w:rsidRPr="006301C3">
              <w:rPr>
                <w:lang w:val="en-US"/>
              </w:rPr>
              <w:t>SWG e</w:t>
            </w:r>
            <w:r w:rsidR="00D05561" w:rsidRPr="006301C3">
              <w:rPr>
                <w:lang w:val="en-US"/>
              </w:rPr>
              <w:t xml:space="preserve">xpressed in particular concerns on the new section 5.2 of ICAO Annex 10, Volume V, proposed by the State letter, which </w:t>
            </w:r>
            <w:r w:rsidR="00473F0D" w:rsidRPr="006301C3">
              <w:rPr>
                <w:lang w:val="en-US"/>
              </w:rPr>
              <w:t>mentions that</w:t>
            </w:r>
            <w:r w:rsidR="00D05561" w:rsidRPr="006301C3">
              <w:rPr>
                <w:lang w:val="en-US"/>
              </w:rPr>
              <w:t xml:space="preserve">: "Suitable frequencies or frequency bands with such allocations include 113.250 MHz and 136.925 MHz (common </w:t>
            </w:r>
            <w:r w:rsidR="00E208E9" w:rsidRPr="006301C3">
              <w:rPr>
                <w:lang w:val="en-US"/>
              </w:rPr>
              <w:t>signaling</w:t>
            </w:r>
            <w:r w:rsidR="00D05561" w:rsidRPr="006301C3">
              <w:rPr>
                <w:lang w:val="en-US"/>
              </w:rPr>
              <w:t xml:space="preserve"> frequencies for VDL Mode 4), 960-1164 MHz and 5030-5091 MHz." The meeting agreed that RPAS C2 links could only be introduced into aeronautical frequency bands after the development of international frequency assignment planning rules, based on compatibility studies with incumbent aeronautical radionavigation services. For this purpose, the radiofrequency characteristics of the RPAS C2 links in aeronautical radio frequency bands needed to be </w:t>
            </w:r>
            <w:r w:rsidR="00D05561" w:rsidRPr="006301C3">
              <w:t>standardised</w:t>
            </w:r>
            <w:r w:rsidR="00D05561" w:rsidRPr="006301C3">
              <w:rPr>
                <w:lang w:val="en-US"/>
              </w:rPr>
              <w:t xml:space="preserve"> in ICAO Annex 10.</w:t>
            </w:r>
          </w:p>
          <w:p w:rsidR="005C4DB7" w:rsidRPr="004C2F06" w:rsidRDefault="005C4DB7" w:rsidP="004E1001">
            <w:pPr>
              <w:pStyle w:val="ListParagraph"/>
              <w:numPr>
                <w:ilvl w:val="0"/>
                <w:numId w:val="43"/>
              </w:numPr>
              <w:rPr>
                <w:lang w:val="en-US"/>
              </w:rPr>
            </w:pPr>
            <w:r w:rsidRPr="004C2F06">
              <w:rPr>
                <w:lang w:val="en-US"/>
              </w:rPr>
              <w:t xml:space="preserve">Concerning the L-band Digital Aeronautical Communications System (LDACS), </w:t>
            </w:r>
            <w:r w:rsidR="004C2F06" w:rsidRPr="004C2F06">
              <w:rPr>
                <w:lang w:val="en-US"/>
              </w:rPr>
              <w:t>i</w:t>
            </w:r>
            <w:r w:rsidRPr="004C2F06">
              <w:rPr>
                <w:lang w:val="en-US"/>
              </w:rPr>
              <w:t xml:space="preserve">nitial results of </w:t>
            </w:r>
            <w:r w:rsidRPr="005C53EC">
              <w:rPr>
                <w:b/>
                <w:bCs/>
                <w:lang w:val="en-US"/>
              </w:rPr>
              <w:t xml:space="preserve">LDACS versus DME/TACAN </w:t>
            </w:r>
            <w:r w:rsidR="004C2F06" w:rsidRPr="005C53EC">
              <w:rPr>
                <w:b/>
                <w:bCs/>
                <w:lang w:val="en-US"/>
              </w:rPr>
              <w:t>c</w:t>
            </w:r>
            <w:r w:rsidRPr="005C53EC">
              <w:rPr>
                <w:b/>
                <w:bCs/>
                <w:lang w:val="en-US"/>
              </w:rPr>
              <w:t>ompatibility</w:t>
            </w:r>
            <w:r w:rsidR="004C2F06" w:rsidRPr="005C53EC">
              <w:rPr>
                <w:b/>
                <w:bCs/>
                <w:lang w:val="en-US"/>
              </w:rPr>
              <w:t>-</w:t>
            </w:r>
            <w:r w:rsidRPr="005C53EC">
              <w:rPr>
                <w:b/>
                <w:bCs/>
                <w:lang w:val="en-US"/>
              </w:rPr>
              <w:t xml:space="preserve"> </w:t>
            </w:r>
            <w:r w:rsidR="004C2F06" w:rsidRPr="005C53EC">
              <w:rPr>
                <w:b/>
                <w:bCs/>
                <w:lang w:val="en-US"/>
              </w:rPr>
              <w:t>t</w:t>
            </w:r>
            <w:r w:rsidRPr="005C53EC">
              <w:rPr>
                <w:b/>
                <w:bCs/>
                <w:lang w:val="en-US"/>
              </w:rPr>
              <w:t xml:space="preserve">esting </w:t>
            </w:r>
            <w:r w:rsidRPr="004C2F06">
              <w:rPr>
                <w:lang w:val="en-US"/>
              </w:rPr>
              <w:t>were presented. The SWG provided feed-back and guidance for the second ph</w:t>
            </w:r>
            <w:r w:rsidR="004C2F06" w:rsidRPr="004C2F06">
              <w:rPr>
                <w:lang w:val="en-US"/>
              </w:rPr>
              <w:t>a</w:t>
            </w:r>
            <w:r w:rsidRPr="004C2F06">
              <w:rPr>
                <w:lang w:val="en-US"/>
              </w:rPr>
              <w:t>se of the testing-project</w:t>
            </w:r>
            <w:r w:rsidR="004C2F06" w:rsidRPr="004C2F06">
              <w:rPr>
                <w:lang w:val="en-US"/>
              </w:rPr>
              <w:t>. The project was</w:t>
            </w:r>
            <w:r w:rsidRPr="004C2F06">
              <w:rPr>
                <w:lang w:val="en-US"/>
              </w:rPr>
              <w:t xml:space="preserve"> conclude</w:t>
            </w:r>
            <w:r w:rsidR="00926BEB">
              <w:rPr>
                <w:lang w:val="en-US"/>
              </w:rPr>
              <w:t>d</w:t>
            </w:r>
            <w:r w:rsidRPr="004C2F06">
              <w:rPr>
                <w:lang w:val="en-US"/>
              </w:rPr>
              <w:t xml:space="preserve"> </w:t>
            </w:r>
            <w:r w:rsidR="00473F0D">
              <w:rPr>
                <w:lang w:val="en-US"/>
              </w:rPr>
              <w:t>end of</w:t>
            </w:r>
            <w:r w:rsidRPr="004C2F06">
              <w:rPr>
                <w:lang w:val="en-US"/>
              </w:rPr>
              <w:t xml:space="preserve"> January 2020. The final test-report is expected to be presented </w:t>
            </w:r>
            <w:r w:rsidR="006301C3">
              <w:rPr>
                <w:lang w:val="en-US"/>
              </w:rPr>
              <w:t xml:space="preserve">to </w:t>
            </w:r>
            <w:r w:rsidRPr="004C2F06">
              <w:rPr>
                <w:lang w:val="en-US"/>
              </w:rPr>
              <w:t>the ICAO NSP meeting in June 2020.</w:t>
            </w:r>
          </w:p>
          <w:p w:rsidR="005C4DB7" w:rsidRPr="004C2F06" w:rsidRDefault="005C4DB7" w:rsidP="004E1001">
            <w:pPr>
              <w:rPr>
                <w:lang w:val="en-US"/>
              </w:rPr>
            </w:pPr>
          </w:p>
        </w:tc>
      </w:tr>
    </w:tbl>
    <w:p w:rsidR="00473F0D" w:rsidRDefault="00473F0D" w:rsidP="00CC1EC4">
      <w:pPr>
        <w:pStyle w:val="Maintitle"/>
        <w:ind w:hanging="1080"/>
        <w:jc w:val="left"/>
        <w:rPr>
          <w:sz w:val="24"/>
          <w:szCs w:val="24"/>
        </w:rPr>
      </w:pPr>
    </w:p>
    <w:p w:rsidR="00473F0D" w:rsidRDefault="00473F0D">
      <w:pPr>
        <w:jc w:val="left"/>
        <w:rPr>
          <w:b/>
          <w:snapToGrid w:val="0"/>
          <w:sz w:val="24"/>
          <w:szCs w:val="24"/>
        </w:rPr>
      </w:pPr>
      <w:r>
        <w:rPr>
          <w:sz w:val="24"/>
          <w:szCs w:val="24"/>
        </w:rPr>
        <w:br w:type="page"/>
      </w:r>
    </w:p>
    <w:p w:rsidR="004354F1" w:rsidRDefault="00442CB3" w:rsidP="00CC1EC4">
      <w:pPr>
        <w:pStyle w:val="Maintitle"/>
        <w:ind w:hanging="1080"/>
        <w:jc w:val="left"/>
        <w:rPr>
          <w:sz w:val="24"/>
          <w:szCs w:val="24"/>
        </w:rPr>
      </w:pPr>
      <w:r w:rsidRPr="00D46138">
        <w:rPr>
          <w:sz w:val="24"/>
          <w:szCs w:val="24"/>
        </w:rPr>
        <w:lastRenderedPageBreak/>
        <w:t xml:space="preserve">Attachment: </w:t>
      </w:r>
    </w:p>
    <w:p w:rsidR="000C4303" w:rsidRPr="00D721A6" w:rsidRDefault="000C4303" w:rsidP="000C4303">
      <w:pPr>
        <w:pStyle w:val="Title"/>
        <w:rPr>
          <w:sz w:val="28"/>
        </w:rPr>
      </w:pPr>
      <w:r w:rsidRPr="00D721A6">
        <w:rPr>
          <w:sz w:val="28"/>
        </w:rPr>
        <w:t>REPORT</w:t>
      </w:r>
    </w:p>
    <w:p w:rsidR="000C4303" w:rsidRPr="00D721A6" w:rsidRDefault="000C4303" w:rsidP="000C4303">
      <w:pPr>
        <w:pStyle w:val="Title"/>
        <w:rPr>
          <w:sz w:val="28"/>
        </w:rPr>
      </w:pPr>
      <w:r w:rsidRPr="00D721A6">
        <w:rPr>
          <w:sz w:val="28"/>
        </w:rPr>
        <w:t>OF THE 9</w:t>
      </w:r>
      <w:r w:rsidRPr="00D721A6">
        <w:rPr>
          <w:sz w:val="28"/>
          <w:vertAlign w:val="superscript"/>
        </w:rPr>
        <w:t>th</w:t>
      </w:r>
      <w:r w:rsidRPr="00D721A6">
        <w:rPr>
          <w:sz w:val="28"/>
        </w:rPr>
        <w:t xml:space="preserve"> MEETING</w:t>
      </w:r>
    </w:p>
    <w:p w:rsidR="000C4303" w:rsidRPr="00D721A6" w:rsidRDefault="000C4303" w:rsidP="000C4303">
      <w:pPr>
        <w:pStyle w:val="Title"/>
        <w:tabs>
          <w:tab w:val="center" w:pos="4535"/>
          <w:tab w:val="left" w:pos="5843"/>
        </w:tabs>
        <w:jc w:val="left"/>
        <w:rPr>
          <w:sz w:val="28"/>
        </w:rPr>
      </w:pPr>
      <w:r w:rsidRPr="00D721A6">
        <w:rPr>
          <w:sz w:val="28"/>
        </w:rPr>
        <w:tab/>
        <w:t xml:space="preserve">OF THE </w:t>
      </w:r>
      <w:r w:rsidRPr="00D721A6">
        <w:rPr>
          <w:sz w:val="28"/>
        </w:rPr>
        <w:tab/>
      </w:r>
    </w:p>
    <w:p w:rsidR="000C4303" w:rsidRPr="00D721A6" w:rsidRDefault="000C4303" w:rsidP="000C4303">
      <w:pPr>
        <w:pStyle w:val="Title"/>
        <w:rPr>
          <w:sz w:val="28"/>
        </w:rPr>
      </w:pPr>
      <w:r w:rsidRPr="00D721A6">
        <w:rPr>
          <w:sz w:val="28"/>
        </w:rPr>
        <w:t>ICAO NSP SPECTRUM WORKING GROUP</w:t>
      </w:r>
    </w:p>
    <w:p w:rsidR="000C4303" w:rsidRPr="00D721A6" w:rsidRDefault="000C4303" w:rsidP="000C4303">
      <w:pPr>
        <w:ind w:firstLine="142"/>
        <w:jc w:val="center"/>
        <w:rPr>
          <w:b/>
        </w:rPr>
      </w:pPr>
      <w:r w:rsidRPr="00D721A6">
        <w:rPr>
          <w:b/>
        </w:rPr>
        <w:t>15</w:t>
      </w:r>
      <w:r w:rsidRPr="00D721A6">
        <w:rPr>
          <w:b/>
          <w:vertAlign w:val="superscript"/>
        </w:rPr>
        <w:t>th</w:t>
      </w:r>
      <w:r w:rsidRPr="00D721A6">
        <w:rPr>
          <w:b/>
        </w:rPr>
        <w:t xml:space="preserve"> to 18</w:t>
      </w:r>
      <w:r w:rsidRPr="00D721A6">
        <w:rPr>
          <w:b/>
          <w:vertAlign w:val="superscript"/>
        </w:rPr>
        <w:t>th</w:t>
      </w:r>
      <w:r w:rsidRPr="00D721A6">
        <w:rPr>
          <w:b/>
        </w:rPr>
        <w:t xml:space="preserve"> October 2019, ICAO Headquarters, Montreal, Canada</w:t>
      </w:r>
    </w:p>
    <w:p w:rsidR="000C4303" w:rsidRPr="00D721A6" w:rsidRDefault="000C4303" w:rsidP="000C4303">
      <w:pPr>
        <w:ind w:firstLine="142"/>
        <w:jc w:val="center"/>
        <w:rPr>
          <w:highlight w:val="yellow"/>
        </w:rPr>
      </w:pPr>
    </w:p>
    <w:p w:rsidR="000C4303" w:rsidRPr="00D721A6" w:rsidRDefault="000C4303" w:rsidP="000C4303">
      <w:pPr>
        <w:pStyle w:val="1Heading"/>
        <w:numPr>
          <w:ilvl w:val="0"/>
          <w:numId w:val="0"/>
        </w:numPr>
      </w:pPr>
      <w:r w:rsidRPr="00D721A6">
        <w:t>I. Introduction</w:t>
      </w:r>
    </w:p>
    <w:p w:rsidR="000C4303" w:rsidRPr="00D721A6" w:rsidRDefault="000C4303" w:rsidP="000C4303">
      <w:pPr>
        <w:rPr>
          <w:highlight w:val="yellow"/>
        </w:rPr>
      </w:pPr>
      <w:r w:rsidRPr="00D721A6">
        <w:t>The 9</w:t>
      </w:r>
      <w:r w:rsidRPr="00D721A6">
        <w:rPr>
          <w:vertAlign w:val="superscript"/>
        </w:rPr>
        <w:t>th</w:t>
      </w:r>
      <w:r w:rsidRPr="00D721A6">
        <w:t xml:space="preserve"> meeting of the ICAO NSP Spectrum Working Group (SWG) was held from 15</w:t>
      </w:r>
      <w:r w:rsidRPr="00D721A6">
        <w:rPr>
          <w:vertAlign w:val="superscript"/>
        </w:rPr>
        <w:t>th</w:t>
      </w:r>
      <w:r w:rsidRPr="00D721A6">
        <w:t xml:space="preserve"> to 18</w:t>
      </w:r>
      <w:r w:rsidRPr="00D721A6">
        <w:rPr>
          <w:vertAlign w:val="superscript"/>
        </w:rPr>
        <w:t>th</w:t>
      </w:r>
      <w:r w:rsidRPr="00D721A6">
        <w:t xml:space="preserve"> Oct</w:t>
      </w:r>
      <w:r>
        <w:t>.</w:t>
      </w:r>
      <w:r w:rsidRPr="00D721A6">
        <w:t xml:space="preserve"> 2019</w:t>
      </w:r>
      <w:r w:rsidRPr="00363B87">
        <w:t xml:space="preserve"> </w:t>
      </w:r>
      <w:r w:rsidRPr="00D721A6">
        <w:t xml:space="preserve">at </w:t>
      </w:r>
      <w:r>
        <w:t xml:space="preserve">the </w:t>
      </w:r>
      <w:r w:rsidRPr="00D721A6">
        <w:t>ICAO Head</w:t>
      </w:r>
      <w:r w:rsidRPr="00D721A6">
        <w:softHyphen/>
        <w:t>quarters</w:t>
      </w:r>
      <w:r>
        <w:t xml:space="preserve"> in</w:t>
      </w:r>
      <w:r w:rsidRPr="00D721A6">
        <w:t xml:space="preserve"> Montreal. Mr. Felix Butsch, the rapporteur of the SWG, chaired the meeting. In addition to the normal meeting of the SWG, the SWG discussed various papers of mutual interest in joint sessions with the GBAS Working Group (GWG) and/or the Conventional Navigation-aids and testing Working Group (CNTWG).</w:t>
      </w:r>
    </w:p>
    <w:p w:rsidR="000C4303" w:rsidRPr="00D721A6" w:rsidRDefault="000C4303" w:rsidP="000C4303">
      <w:pPr>
        <w:rPr>
          <w:highlight w:val="yellow"/>
        </w:rPr>
      </w:pPr>
    </w:p>
    <w:p w:rsidR="000C4303" w:rsidRDefault="000C4303" w:rsidP="000C4303">
      <w:r w:rsidRPr="00D721A6">
        <w:t>A</w:t>
      </w:r>
      <w:r>
        <w:t>ppendix</w:t>
      </w:r>
      <w:r w:rsidRPr="00D721A6">
        <w:t xml:space="preserve"> A of this report contains a</w:t>
      </w:r>
      <w:r>
        <w:t>n updated</w:t>
      </w:r>
      <w:r w:rsidRPr="00D721A6">
        <w:t xml:space="preserve"> list of action items. A</w:t>
      </w:r>
      <w:r>
        <w:t>ppendix</w:t>
      </w:r>
      <w:r w:rsidRPr="00D721A6">
        <w:t xml:space="preserve"> B provides a list of SWG participants. The table </w:t>
      </w:r>
      <w:r>
        <w:t xml:space="preserve">below </w:t>
      </w:r>
      <w:r w:rsidRPr="00D721A6">
        <w:t>contains an overview of agenda items with corresponding working and informa</w:t>
      </w:r>
      <w:r w:rsidRPr="00D721A6">
        <w:softHyphen/>
        <w:t>tion papers, which were discussed:</w:t>
      </w:r>
    </w:p>
    <w:p w:rsidR="000C4303" w:rsidRDefault="000C4303" w:rsidP="000C4303">
      <w:pPr>
        <w:rPr>
          <w:i/>
          <w:highlight w:val="yellow"/>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4394"/>
        <w:gridCol w:w="2745"/>
      </w:tblGrid>
      <w:tr w:rsidR="000C4303" w:rsidRPr="00D721A6" w:rsidTr="00E06430">
        <w:tc>
          <w:tcPr>
            <w:tcW w:w="1926" w:type="dxa"/>
          </w:tcPr>
          <w:p w:rsidR="000C4303" w:rsidRPr="00D721A6" w:rsidRDefault="000C4303" w:rsidP="00E06430">
            <w:pPr>
              <w:rPr>
                <w:b/>
                <w:bCs/>
                <w:sz w:val="20"/>
              </w:rPr>
            </w:pPr>
            <w:r w:rsidRPr="00D721A6">
              <w:rPr>
                <w:b/>
                <w:bCs/>
                <w:sz w:val="20"/>
              </w:rPr>
              <w:t xml:space="preserve">WP/IP No. </w:t>
            </w:r>
          </w:p>
        </w:tc>
        <w:tc>
          <w:tcPr>
            <w:tcW w:w="4394" w:type="dxa"/>
          </w:tcPr>
          <w:p w:rsidR="000C4303" w:rsidRPr="00D721A6" w:rsidRDefault="000C4303" w:rsidP="00E06430">
            <w:pPr>
              <w:rPr>
                <w:b/>
                <w:bCs/>
                <w:sz w:val="20"/>
              </w:rPr>
            </w:pPr>
            <w:r w:rsidRPr="00D721A6">
              <w:rPr>
                <w:b/>
                <w:bCs/>
                <w:sz w:val="20"/>
              </w:rPr>
              <w:t xml:space="preserve">Title </w:t>
            </w:r>
          </w:p>
        </w:tc>
        <w:tc>
          <w:tcPr>
            <w:tcW w:w="2745" w:type="dxa"/>
          </w:tcPr>
          <w:p w:rsidR="000C4303" w:rsidRPr="00D721A6" w:rsidRDefault="000C4303" w:rsidP="00A206DF">
            <w:pPr>
              <w:jc w:val="left"/>
              <w:rPr>
                <w:b/>
                <w:bCs/>
                <w:sz w:val="20"/>
              </w:rPr>
            </w:pPr>
            <w:r w:rsidRPr="00D721A6">
              <w:rPr>
                <w:b/>
                <w:bCs/>
                <w:sz w:val="20"/>
              </w:rPr>
              <w:t>Presented to NSP by (Presented to SWG by)</w:t>
            </w:r>
          </w:p>
        </w:tc>
      </w:tr>
      <w:tr w:rsidR="000C4303" w:rsidRPr="00D721A6" w:rsidTr="00E06430">
        <w:tc>
          <w:tcPr>
            <w:tcW w:w="9065" w:type="dxa"/>
            <w:gridSpan w:val="3"/>
          </w:tcPr>
          <w:p w:rsidR="000C4303" w:rsidRPr="00D721A6" w:rsidRDefault="000C4303" w:rsidP="003259B2">
            <w:pPr>
              <w:jc w:val="left"/>
              <w:rPr>
                <w:b/>
              </w:rPr>
            </w:pPr>
            <w:r w:rsidRPr="00D721A6">
              <w:rPr>
                <w:b/>
                <w:highlight w:val="green"/>
              </w:rPr>
              <w:t>Agenda Item 6a): Signal and compatibility issues in the in the band 108 to 117.975 MHz</w:t>
            </w:r>
          </w:p>
        </w:tc>
      </w:tr>
      <w:tr w:rsidR="000C4303" w:rsidRPr="00D721A6" w:rsidTr="00E06430">
        <w:tc>
          <w:tcPr>
            <w:tcW w:w="9065" w:type="dxa"/>
            <w:gridSpan w:val="3"/>
          </w:tcPr>
          <w:p w:rsidR="000C4303" w:rsidRPr="00D721A6" w:rsidRDefault="000C4303" w:rsidP="003259B2">
            <w:pPr>
              <w:jc w:val="left"/>
              <w:rPr>
                <w:sz w:val="18"/>
                <w:szCs w:val="18"/>
              </w:rPr>
            </w:pPr>
            <w:r w:rsidRPr="00D721A6">
              <w:rPr>
                <w:i/>
                <w:sz w:val="18"/>
                <w:szCs w:val="18"/>
              </w:rPr>
              <w:t>Note: The papers below, which are covered by this agenda item, were discussed by the SWG alone.</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WP06</w:t>
            </w:r>
          </w:p>
        </w:tc>
        <w:tc>
          <w:tcPr>
            <w:tcW w:w="4394" w:type="dxa"/>
          </w:tcPr>
          <w:p w:rsidR="000C4303" w:rsidRPr="00D721A6" w:rsidRDefault="000C4303" w:rsidP="003259B2">
            <w:pPr>
              <w:jc w:val="left"/>
              <w:rPr>
                <w:sz w:val="18"/>
                <w:szCs w:val="18"/>
                <w:highlight w:val="cyan"/>
              </w:rPr>
            </w:pPr>
            <w:r w:rsidRPr="00D721A6">
              <w:rPr>
                <w:sz w:val="18"/>
                <w:szCs w:val="18"/>
                <w:highlight w:val="cyan"/>
              </w:rPr>
              <w:t>Handbook on radio frequency spectrum requirements for civil av</w:t>
            </w:r>
            <w:r>
              <w:rPr>
                <w:sz w:val="18"/>
                <w:szCs w:val="18"/>
                <w:highlight w:val="cyan"/>
              </w:rPr>
              <w:t xml:space="preserve">iation, Volume II (Doc. 9718), </w:t>
            </w:r>
            <w:r w:rsidRPr="00D721A6">
              <w:rPr>
                <w:sz w:val="18"/>
                <w:szCs w:val="18"/>
                <w:highlight w:val="cyan"/>
              </w:rPr>
              <w:t>Chapter 1 – General Methodology for compatibility Analysis</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(Robert Witzen)</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IP01</w:t>
            </w:r>
          </w:p>
        </w:tc>
        <w:tc>
          <w:tcPr>
            <w:tcW w:w="4394" w:type="dxa"/>
          </w:tcPr>
          <w:p w:rsidR="000C4303" w:rsidRPr="00D721A6" w:rsidRDefault="000C4303" w:rsidP="003259B2">
            <w:pPr>
              <w:jc w:val="left"/>
              <w:rPr>
                <w:sz w:val="18"/>
                <w:szCs w:val="18"/>
                <w:highlight w:val="cyan"/>
              </w:rPr>
            </w:pPr>
            <w:r w:rsidRPr="00D721A6">
              <w:rPr>
                <w:sz w:val="18"/>
                <w:szCs w:val="18"/>
                <w:highlight w:val="cyan"/>
              </w:rPr>
              <w:t>ITU-R Recommendation P.528-4, “A propagation prediction method for aeronautical mobile and radionavigation services using the VHF, UHF and SHF bands”</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(Robert Witzen)</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WP08, rev. 1</w:t>
            </w:r>
          </w:p>
          <w:p w:rsidR="000C4303" w:rsidRPr="00D721A6" w:rsidRDefault="000C4303" w:rsidP="003259B2">
            <w:pPr>
              <w:jc w:val="left"/>
              <w:rPr>
                <w:sz w:val="18"/>
                <w:szCs w:val="18"/>
                <w:highlight w:val="cyan"/>
              </w:rPr>
            </w:pPr>
          </w:p>
        </w:tc>
        <w:tc>
          <w:tcPr>
            <w:tcW w:w="4394" w:type="dxa"/>
          </w:tcPr>
          <w:p w:rsidR="000C4303" w:rsidRPr="00D721A6" w:rsidRDefault="000C4303" w:rsidP="003259B2">
            <w:pPr>
              <w:jc w:val="left"/>
              <w:rPr>
                <w:sz w:val="18"/>
                <w:szCs w:val="18"/>
                <w:highlight w:val="cyan"/>
              </w:rPr>
            </w:pPr>
            <w:r w:rsidRPr="00D721A6">
              <w:rPr>
                <w:sz w:val="18"/>
                <w:szCs w:val="18"/>
                <w:highlight w:val="cyan"/>
              </w:rPr>
              <w:t>Handbook on radio frequency spectrum requirements for civil aviation, Volume II (Doc. 9718)</w:t>
            </w:r>
            <w:r>
              <w:rPr>
                <w:sz w:val="18"/>
                <w:szCs w:val="18"/>
                <w:highlight w:val="cyan"/>
              </w:rPr>
              <w:t>,</w:t>
            </w:r>
            <w:r w:rsidRPr="00D721A6">
              <w:rPr>
                <w:sz w:val="18"/>
                <w:szCs w:val="18"/>
                <w:highlight w:val="cyan"/>
              </w:rPr>
              <w:t xml:space="preserve"> Chapter 4 - VOR</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(Robert Witzen</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WP07, rev.1</w:t>
            </w:r>
          </w:p>
        </w:tc>
        <w:tc>
          <w:tcPr>
            <w:tcW w:w="4394" w:type="dxa"/>
          </w:tcPr>
          <w:p w:rsidR="000C4303" w:rsidRPr="00D721A6" w:rsidRDefault="000C4303" w:rsidP="003259B2">
            <w:pPr>
              <w:jc w:val="left"/>
              <w:rPr>
                <w:sz w:val="18"/>
                <w:szCs w:val="18"/>
                <w:highlight w:val="cyan"/>
              </w:rPr>
            </w:pPr>
            <w:r w:rsidRPr="00D721A6">
              <w:rPr>
                <w:sz w:val="18"/>
                <w:szCs w:val="18"/>
                <w:highlight w:val="cyan"/>
              </w:rPr>
              <w:t>Handbook on radio frequency spectrum requirements for civil aviation, Volume II (Doc. 9718)</w:t>
            </w:r>
            <w:r>
              <w:rPr>
                <w:sz w:val="18"/>
                <w:szCs w:val="18"/>
                <w:highlight w:val="cyan"/>
              </w:rPr>
              <w:t>,</w:t>
            </w:r>
            <w:r w:rsidRPr="00D721A6">
              <w:rPr>
                <w:sz w:val="18"/>
                <w:szCs w:val="18"/>
                <w:highlight w:val="cyan"/>
              </w:rPr>
              <w:t xml:space="preserve"> Chapter 3 – ILS</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(Robert Witzen</w:t>
            </w:r>
          </w:p>
        </w:tc>
      </w:tr>
      <w:tr w:rsidR="000C4303" w:rsidRPr="00D721A6" w:rsidTr="00E06430">
        <w:tc>
          <w:tcPr>
            <w:tcW w:w="9065" w:type="dxa"/>
            <w:gridSpan w:val="3"/>
          </w:tcPr>
          <w:p w:rsidR="000C4303" w:rsidRPr="00D721A6" w:rsidRDefault="000C4303" w:rsidP="003259B2">
            <w:pPr>
              <w:jc w:val="left"/>
              <w:rPr>
                <w:i/>
                <w:sz w:val="18"/>
                <w:szCs w:val="18"/>
              </w:rPr>
            </w:pPr>
            <w:r w:rsidRPr="00D721A6">
              <w:rPr>
                <w:i/>
                <w:sz w:val="18"/>
                <w:szCs w:val="18"/>
              </w:rPr>
              <w:t>Note: The papers below, which are covered by this agenda item, were discussed by a joint meeting of SWG and GWG</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WP10, rev.2</w:t>
            </w:r>
          </w:p>
        </w:tc>
        <w:tc>
          <w:tcPr>
            <w:tcW w:w="4394" w:type="dxa"/>
          </w:tcPr>
          <w:p w:rsidR="000C4303" w:rsidRPr="00D721A6" w:rsidRDefault="000C4303" w:rsidP="003259B2">
            <w:pPr>
              <w:jc w:val="left"/>
              <w:rPr>
                <w:i/>
                <w:sz w:val="18"/>
                <w:szCs w:val="18"/>
                <w:highlight w:val="cyan"/>
              </w:rPr>
            </w:pPr>
            <w:r w:rsidRPr="00D721A6">
              <w:rPr>
                <w:sz w:val="18"/>
                <w:szCs w:val="18"/>
                <w:highlight w:val="cyan"/>
              </w:rPr>
              <w:t>Handbook on radio frequency spectrum requirements for civil aviation, Volume II (Doc. 9718), Chapter 6 – GBAS/VDB</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(Robert Witzen)</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WP24,</w:t>
            </w:r>
            <w:r>
              <w:rPr>
                <w:sz w:val="18"/>
                <w:szCs w:val="18"/>
                <w:highlight w:val="cyan"/>
              </w:rPr>
              <w:t xml:space="preserve"> </w:t>
            </w:r>
            <w:r w:rsidRPr="00D721A6">
              <w:rPr>
                <w:sz w:val="18"/>
                <w:szCs w:val="18"/>
                <w:highlight w:val="cyan"/>
              </w:rPr>
              <w:t>rev.1</w:t>
            </w:r>
          </w:p>
        </w:tc>
        <w:tc>
          <w:tcPr>
            <w:tcW w:w="4394" w:type="dxa"/>
          </w:tcPr>
          <w:p w:rsidR="000C4303" w:rsidRPr="00D721A6" w:rsidRDefault="000C4303" w:rsidP="003259B2">
            <w:pPr>
              <w:jc w:val="left"/>
              <w:rPr>
                <w:sz w:val="18"/>
                <w:szCs w:val="18"/>
                <w:highlight w:val="cyan"/>
              </w:rPr>
            </w:pPr>
            <w:r w:rsidRPr="00D721A6">
              <w:rPr>
                <w:sz w:val="18"/>
                <w:szCs w:val="18"/>
                <w:highlight w:val="cyan"/>
              </w:rPr>
              <w:t xml:space="preserve">Proposed ICAO guidance on ‘GBAS/VDB siting’ </w:t>
            </w:r>
          </w:p>
          <w:p w:rsidR="000C4303" w:rsidRPr="00D721A6" w:rsidRDefault="000C4303" w:rsidP="003259B2">
            <w:pPr>
              <w:jc w:val="left"/>
              <w:rPr>
                <w:sz w:val="18"/>
                <w:szCs w:val="18"/>
                <w:highlight w:val="cyan"/>
              </w:rPr>
            </w:pPr>
            <w:r w:rsidRPr="00D721A6">
              <w:rPr>
                <w:sz w:val="18"/>
                <w:szCs w:val="18"/>
                <w:highlight w:val="cyan"/>
              </w:rPr>
              <w:t>and ‘same-airport frequency compatibility’</w:t>
            </w:r>
          </w:p>
        </w:tc>
        <w:tc>
          <w:tcPr>
            <w:tcW w:w="2745" w:type="dxa"/>
          </w:tcPr>
          <w:p w:rsidR="000C4303" w:rsidRPr="00D721A6" w:rsidRDefault="000C4303" w:rsidP="003259B2">
            <w:pPr>
              <w:jc w:val="left"/>
              <w:rPr>
                <w:sz w:val="18"/>
                <w:szCs w:val="18"/>
                <w:highlight w:val="cyan"/>
              </w:rPr>
            </w:pPr>
            <w:r w:rsidRPr="00D721A6">
              <w:rPr>
                <w:sz w:val="18"/>
                <w:szCs w:val="18"/>
                <w:highlight w:val="cyan"/>
              </w:rPr>
              <w:t>SWG rapporteur</w:t>
            </w:r>
          </w:p>
          <w:p w:rsidR="000C4303" w:rsidRPr="00D721A6" w:rsidRDefault="000C4303" w:rsidP="003259B2">
            <w:pPr>
              <w:jc w:val="left"/>
              <w:rPr>
                <w:sz w:val="18"/>
                <w:szCs w:val="18"/>
                <w:highlight w:val="cyan"/>
              </w:rPr>
            </w:pPr>
            <w:r w:rsidRPr="00D721A6">
              <w:rPr>
                <w:sz w:val="18"/>
                <w:szCs w:val="18"/>
                <w:highlight w:val="cyan"/>
              </w:rPr>
              <w:t>(Felix Butsch)</w:t>
            </w:r>
          </w:p>
        </w:tc>
      </w:tr>
      <w:tr w:rsidR="000C4303" w:rsidRPr="00D721A6" w:rsidTr="00E06430">
        <w:tc>
          <w:tcPr>
            <w:tcW w:w="9065" w:type="dxa"/>
            <w:gridSpan w:val="3"/>
          </w:tcPr>
          <w:p w:rsidR="000C4303" w:rsidRPr="00B31B00" w:rsidRDefault="000C4303" w:rsidP="003259B2">
            <w:pPr>
              <w:jc w:val="left"/>
              <w:rPr>
                <w:i/>
                <w:sz w:val="18"/>
                <w:szCs w:val="18"/>
                <w:highlight w:val="cyan"/>
              </w:rPr>
            </w:pPr>
            <w:r w:rsidRPr="00B31B00">
              <w:rPr>
                <w:i/>
                <w:sz w:val="18"/>
                <w:szCs w:val="18"/>
              </w:rPr>
              <w:t>Note: The papers topics below, which are covered by this agenda item, were discussed by a Joint meeting of the SWG, the GWG and the CNTWG</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WP37</w:t>
            </w:r>
          </w:p>
        </w:tc>
        <w:tc>
          <w:tcPr>
            <w:tcW w:w="4394" w:type="dxa"/>
          </w:tcPr>
          <w:p w:rsidR="000C4303" w:rsidRPr="00D721A6" w:rsidRDefault="000C4303" w:rsidP="003259B2">
            <w:pPr>
              <w:jc w:val="left"/>
              <w:rPr>
                <w:sz w:val="18"/>
                <w:szCs w:val="18"/>
                <w:highlight w:val="cyan"/>
              </w:rPr>
            </w:pPr>
            <w:r w:rsidRPr="00D721A6">
              <w:rPr>
                <w:sz w:val="18"/>
                <w:szCs w:val="18"/>
                <w:highlight w:val="cyan"/>
              </w:rPr>
              <w:t>Ideas for GBAS Expanded Service Volume (ESV) at Frankfurt Airport</w:t>
            </w:r>
          </w:p>
        </w:tc>
        <w:tc>
          <w:tcPr>
            <w:tcW w:w="2745" w:type="dxa"/>
          </w:tcPr>
          <w:p w:rsidR="000C4303" w:rsidRPr="00D721A6" w:rsidRDefault="000C4303" w:rsidP="003259B2">
            <w:pPr>
              <w:jc w:val="left"/>
              <w:rPr>
                <w:sz w:val="18"/>
                <w:szCs w:val="18"/>
                <w:highlight w:val="cyan"/>
              </w:rPr>
            </w:pPr>
            <w:r w:rsidRPr="00D721A6">
              <w:rPr>
                <w:sz w:val="18"/>
                <w:szCs w:val="18"/>
                <w:highlight w:val="cyan"/>
              </w:rPr>
              <w:t>Stefan Naerlich</w:t>
            </w:r>
          </w:p>
          <w:p w:rsidR="000C4303" w:rsidRPr="00D721A6" w:rsidRDefault="000C4303" w:rsidP="003259B2">
            <w:pPr>
              <w:jc w:val="left"/>
              <w:rPr>
                <w:sz w:val="18"/>
                <w:szCs w:val="18"/>
                <w:highlight w:val="cyan"/>
              </w:rPr>
            </w:pPr>
            <w:r w:rsidRPr="00D721A6">
              <w:rPr>
                <w:sz w:val="18"/>
                <w:szCs w:val="18"/>
                <w:highlight w:val="cyan"/>
              </w:rPr>
              <w:t>(Winfried Dunkel)</w:t>
            </w:r>
          </w:p>
        </w:tc>
      </w:tr>
      <w:tr w:rsidR="000C4303" w:rsidRPr="00D721A6" w:rsidTr="00E06430">
        <w:trPr>
          <w:trHeight w:val="420"/>
        </w:trPr>
        <w:tc>
          <w:tcPr>
            <w:tcW w:w="1926" w:type="dxa"/>
          </w:tcPr>
          <w:p w:rsidR="000C4303" w:rsidRPr="00D721A6" w:rsidRDefault="000C4303" w:rsidP="003259B2">
            <w:pPr>
              <w:jc w:val="left"/>
              <w:rPr>
                <w:sz w:val="18"/>
                <w:szCs w:val="18"/>
                <w:highlight w:val="cyan"/>
              </w:rPr>
            </w:pPr>
            <w:r w:rsidRPr="00D721A6">
              <w:rPr>
                <w:sz w:val="18"/>
                <w:szCs w:val="18"/>
                <w:highlight w:val="cyan"/>
              </w:rPr>
              <w:t>IP10</w:t>
            </w:r>
          </w:p>
        </w:tc>
        <w:tc>
          <w:tcPr>
            <w:tcW w:w="4394" w:type="dxa"/>
          </w:tcPr>
          <w:p w:rsidR="000C4303" w:rsidRPr="00D721A6" w:rsidRDefault="000C4303" w:rsidP="003259B2">
            <w:pPr>
              <w:jc w:val="left"/>
              <w:rPr>
                <w:sz w:val="18"/>
                <w:szCs w:val="18"/>
                <w:highlight w:val="cyan"/>
              </w:rPr>
            </w:pPr>
            <w:r w:rsidRPr="00D721A6">
              <w:rPr>
                <w:sz w:val="18"/>
                <w:szCs w:val="18"/>
                <w:highlight w:val="cyan"/>
              </w:rPr>
              <w:t>Advanced VHF Data Broadcast (A-VDB) and Advanced VHF Data Link (A-VDL)</w:t>
            </w:r>
          </w:p>
        </w:tc>
        <w:tc>
          <w:tcPr>
            <w:tcW w:w="2745" w:type="dxa"/>
          </w:tcPr>
          <w:p w:rsidR="000C4303" w:rsidRPr="00D721A6" w:rsidRDefault="000C4303" w:rsidP="003259B2">
            <w:pPr>
              <w:jc w:val="left"/>
              <w:rPr>
                <w:sz w:val="18"/>
                <w:szCs w:val="18"/>
                <w:highlight w:val="cyan"/>
              </w:rPr>
            </w:pPr>
            <w:r w:rsidRPr="00D721A6">
              <w:rPr>
                <w:sz w:val="18"/>
                <w:szCs w:val="18"/>
                <w:highlight w:val="cyan"/>
              </w:rPr>
              <w:t>(Joel Wichgers, via teleconference)</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IP15</w:t>
            </w:r>
          </w:p>
        </w:tc>
        <w:tc>
          <w:tcPr>
            <w:tcW w:w="4394" w:type="dxa"/>
          </w:tcPr>
          <w:p w:rsidR="000C4303" w:rsidRPr="00D721A6" w:rsidRDefault="000C4303" w:rsidP="003259B2">
            <w:pPr>
              <w:jc w:val="left"/>
              <w:rPr>
                <w:sz w:val="18"/>
                <w:szCs w:val="18"/>
                <w:highlight w:val="cyan"/>
              </w:rPr>
            </w:pPr>
            <w:r w:rsidRPr="00D721A6">
              <w:rPr>
                <w:sz w:val="18"/>
                <w:szCs w:val="18"/>
                <w:highlight w:val="cyan"/>
              </w:rPr>
              <w:t>Anomalous propagation of VOR/ILS LOC signals by the sporadic E layer</w:t>
            </w:r>
          </w:p>
        </w:tc>
        <w:tc>
          <w:tcPr>
            <w:tcW w:w="2745" w:type="dxa"/>
          </w:tcPr>
          <w:p w:rsidR="000C4303" w:rsidRPr="00D721A6" w:rsidRDefault="000C4303" w:rsidP="003259B2">
            <w:pPr>
              <w:jc w:val="left"/>
              <w:rPr>
                <w:sz w:val="18"/>
                <w:szCs w:val="18"/>
                <w:highlight w:val="cyan"/>
              </w:rPr>
            </w:pPr>
            <w:r w:rsidRPr="00D721A6">
              <w:rPr>
                <w:sz w:val="18"/>
                <w:szCs w:val="18"/>
                <w:highlight w:val="cyan"/>
              </w:rPr>
              <w:t>Tetsuya Jo</w:t>
            </w:r>
          </w:p>
          <w:p w:rsidR="000C4303" w:rsidRPr="00D721A6" w:rsidRDefault="000C4303" w:rsidP="003259B2">
            <w:pPr>
              <w:jc w:val="left"/>
              <w:rPr>
                <w:sz w:val="18"/>
                <w:szCs w:val="18"/>
                <w:highlight w:val="cyan"/>
              </w:rPr>
            </w:pPr>
            <w:r w:rsidRPr="00DD4595">
              <w:rPr>
                <w:sz w:val="18"/>
                <w:szCs w:val="18"/>
                <w:highlight w:val="cyan"/>
              </w:rPr>
              <w:t>(Susumu Saito)</w:t>
            </w:r>
          </w:p>
        </w:tc>
      </w:tr>
      <w:tr w:rsidR="000C4303" w:rsidRPr="00D721A6" w:rsidTr="00E06430">
        <w:tc>
          <w:tcPr>
            <w:tcW w:w="1926" w:type="dxa"/>
          </w:tcPr>
          <w:p w:rsidR="000C4303" w:rsidRPr="00B91980" w:rsidRDefault="000C4303" w:rsidP="003259B2">
            <w:pPr>
              <w:jc w:val="left"/>
              <w:rPr>
                <w:sz w:val="18"/>
                <w:szCs w:val="18"/>
                <w:highlight w:val="cyan"/>
              </w:rPr>
            </w:pPr>
            <w:r w:rsidRPr="00B91980">
              <w:rPr>
                <w:sz w:val="18"/>
                <w:szCs w:val="18"/>
                <w:highlight w:val="cyan"/>
              </w:rPr>
              <w:t>WP12</w:t>
            </w:r>
          </w:p>
        </w:tc>
        <w:tc>
          <w:tcPr>
            <w:tcW w:w="4394" w:type="dxa"/>
          </w:tcPr>
          <w:p w:rsidR="000C4303" w:rsidRPr="00B91980" w:rsidRDefault="000C4303" w:rsidP="003259B2">
            <w:pPr>
              <w:jc w:val="left"/>
              <w:rPr>
                <w:sz w:val="18"/>
                <w:szCs w:val="18"/>
                <w:highlight w:val="cyan"/>
              </w:rPr>
            </w:pPr>
            <w:r w:rsidRPr="00B91980">
              <w:rPr>
                <w:sz w:val="18"/>
                <w:szCs w:val="18"/>
                <w:highlight w:val="cyan"/>
              </w:rPr>
              <w:t>GBAS/VDB compatibility when the interfering facility is inside the DOC of the GBAS/VDB</w:t>
            </w:r>
          </w:p>
        </w:tc>
        <w:tc>
          <w:tcPr>
            <w:tcW w:w="2745" w:type="dxa"/>
          </w:tcPr>
          <w:p w:rsidR="000C4303" w:rsidRPr="00B91980" w:rsidRDefault="000C4303" w:rsidP="003259B2">
            <w:pPr>
              <w:jc w:val="left"/>
              <w:rPr>
                <w:sz w:val="18"/>
                <w:szCs w:val="18"/>
                <w:highlight w:val="cyan"/>
              </w:rPr>
            </w:pPr>
            <w:r w:rsidRPr="00B91980">
              <w:rPr>
                <w:sz w:val="18"/>
                <w:szCs w:val="18"/>
                <w:highlight w:val="cyan"/>
              </w:rPr>
              <w:t>NSP Secretary</w:t>
            </w:r>
          </w:p>
          <w:p w:rsidR="000C4303" w:rsidRPr="00B91980" w:rsidRDefault="000C4303" w:rsidP="003259B2">
            <w:pPr>
              <w:jc w:val="left"/>
              <w:rPr>
                <w:sz w:val="18"/>
                <w:szCs w:val="18"/>
                <w:highlight w:val="cyan"/>
              </w:rPr>
            </w:pPr>
            <w:r w:rsidRPr="00B91980">
              <w:rPr>
                <w:sz w:val="18"/>
                <w:szCs w:val="18"/>
                <w:highlight w:val="cyan"/>
              </w:rPr>
              <w:t>(Robert Witzen)</w:t>
            </w:r>
          </w:p>
        </w:tc>
      </w:tr>
      <w:tr w:rsidR="000C4303" w:rsidRPr="00D721A6" w:rsidTr="00E06430">
        <w:trPr>
          <w:cantSplit/>
        </w:trPr>
        <w:tc>
          <w:tcPr>
            <w:tcW w:w="9065" w:type="dxa"/>
            <w:gridSpan w:val="3"/>
          </w:tcPr>
          <w:p w:rsidR="000C4303" w:rsidRDefault="000C4303" w:rsidP="003259B2">
            <w:pPr>
              <w:jc w:val="left"/>
              <w:rPr>
                <w:sz w:val="20"/>
              </w:rPr>
            </w:pPr>
          </w:p>
          <w:p w:rsidR="003259B2" w:rsidRPr="00D721A6" w:rsidRDefault="003259B2" w:rsidP="003259B2">
            <w:pPr>
              <w:jc w:val="left"/>
              <w:rPr>
                <w:sz w:val="20"/>
              </w:rPr>
            </w:pPr>
          </w:p>
        </w:tc>
      </w:tr>
      <w:tr w:rsidR="000C4303" w:rsidRPr="00D721A6" w:rsidTr="00E06430">
        <w:tc>
          <w:tcPr>
            <w:tcW w:w="9065" w:type="dxa"/>
            <w:gridSpan w:val="3"/>
          </w:tcPr>
          <w:p w:rsidR="000C4303" w:rsidRPr="00D721A6" w:rsidRDefault="000C4303" w:rsidP="003259B2">
            <w:pPr>
              <w:jc w:val="left"/>
              <w:rPr>
                <w:sz w:val="20"/>
              </w:rPr>
            </w:pPr>
            <w:r w:rsidRPr="00D721A6">
              <w:rPr>
                <w:b/>
                <w:highlight w:val="green"/>
              </w:rPr>
              <w:lastRenderedPageBreak/>
              <w:t>Agenda Item 6b): Signal and compatibility issues in the band 960 to 1215 MHz</w:t>
            </w:r>
          </w:p>
        </w:tc>
      </w:tr>
      <w:tr w:rsidR="000C4303" w:rsidRPr="00D721A6" w:rsidTr="00E06430">
        <w:tc>
          <w:tcPr>
            <w:tcW w:w="9065" w:type="dxa"/>
            <w:gridSpan w:val="3"/>
          </w:tcPr>
          <w:p w:rsidR="000C4303" w:rsidRPr="00D721A6" w:rsidRDefault="000C4303" w:rsidP="003259B2">
            <w:pPr>
              <w:jc w:val="left"/>
              <w:rPr>
                <w:sz w:val="20"/>
              </w:rPr>
            </w:pPr>
          </w:p>
        </w:tc>
      </w:tr>
      <w:tr w:rsidR="000C4303" w:rsidRPr="00D721A6" w:rsidTr="00E06430">
        <w:tc>
          <w:tcPr>
            <w:tcW w:w="9065" w:type="dxa"/>
            <w:gridSpan w:val="3"/>
          </w:tcPr>
          <w:p w:rsidR="000C4303" w:rsidRPr="00D721A6" w:rsidRDefault="000C4303" w:rsidP="003259B2">
            <w:pPr>
              <w:jc w:val="left"/>
              <w:rPr>
                <w:sz w:val="18"/>
                <w:szCs w:val="18"/>
                <w:highlight w:val="cyan"/>
              </w:rPr>
            </w:pPr>
            <w:r w:rsidRPr="00D721A6">
              <w:rPr>
                <w:i/>
                <w:sz w:val="18"/>
                <w:szCs w:val="18"/>
              </w:rPr>
              <w:t>Note: The papers below, which are covered by this ag</w:t>
            </w:r>
            <w:r>
              <w:rPr>
                <w:i/>
                <w:sz w:val="18"/>
                <w:szCs w:val="18"/>
              </w:rPr>
              <w:t>enda item, were discussed by a j</w:t>
            </w:r>
            <w:r w:rsidRPr="00D721A6">
              <w:rPr>
                <w:i/>
                <w:sz w:val="18"/>
                <w:szCs w:val="18"/>
              </w:rPr>
              <w:t>oint meeting of the SWG and the CNTWG</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WP49</w:t>
            </w:r>
          </w:p>
        </w:tc>
        <w:tc>
          <w:tcPr>
            <w:tcW w:w="4394" w:type="dxa"/>
          </w:tcPr>
          <w:p w:rsidR="000C4303" w:rsidRPr="00D721A6" w:rsidRDefault="000C4303" w:rsidP="003259B2">
            <w:pPr>
              <w:jc w:val="left"/>
              <w:rPr>
                <w:sz w:val="18"/>
                <w:szCs w:val="18"/>
                <w:highlight w:val="cyan"/>
              </w:rPr>
            </w:pPr>
            <w:r w:rsidRPr="00D721A6">
              <w:rPr>
                <w:sz w:val="18"/>
                <w:szCs w:val="18"/>
                <w:highlight w:val="cyan"/>
              </w:rPr>
              <w:t>LDACS (L-band Digital Aeronautical Communications System) versus DME/TACAN Compatibility Testing - Initial Results</w:t>
            </w:r>
          </w:p>
        </w:tc>
        <w:tc>
          <w:tcPr>
            <w:tcW w:w="2745" w:type="dxa"/>
          </w:tcPr>
          <w:p w:rsidR="000C4303" w:rsidRPr="00D721A6" w:rsidRDefault="000C4303" w:rsidP="003259B2">
            <w:pPr>
              <w:jc w:val="left"/>
              <w:rPr>
                <w:sz w:val="18"/>
                <w:szCs w:val="18"/>
                <w:highlight w:val="cyan"/>
              </w:rPr>
            </w:pPr>
            <w:r w:rsidRPr="00D721A6">
              <w:rPr>
                <w:sz w:val="18"/>
                <w:szCs w:val="18"/>
                <w:highlight w:val="cyan"/>
              </w:rPr>
              <w:t>Stefan Naerlich</w:t>
            </w:r>
          </w:p>
          <w:p w:rsidR="000C4303" w:rsidRPr="00D721A6" w:rsidRDefault="000C4303" w:rsidP="003259B2">
            <w:pPr>
              <w:jc w:val="left"/>
              <w:rPr>
                <w:sz w:val="18"/>
                <w:szCs w:val="18"/>
                <w:highlight w:val="cyan"/>
              </w:rPr>
            </w:pPr>
            <w:r w:rsidRPr="00D721A6">
              <w:rPr>
                <w:sz w:val="18"/>
                <w:szCs w:val="18"/>
                <w:highlight w:val="cyan"/>
              </w:rPr>
              <w:t>(Stefan Müller)</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Flimsy11</w:t>
            </w:r>
          </w:p>
        </w:tc>
        <w:tc>
          <w:tcPr>
            <w:tcW w:w="4394" w:type="dxa"/>
          </w:tcPr>
          <w:p w:rsidR="000C4303" w:rsidRPr="00D721A6" w:rsidRDefault="000C4303" w:rsidP="003259B2">
            <w:pPr>
              <w:jc w:val="left"/>
              <w:rPr>
                <w:sz w:val="18"/>
                <w:szCs w:val="18"/>
                <w:highlight w:val="cyan"/>
              </w:rPr>
            </w:pPr>
            <w:r w:rsidRPr="00D721A6">
              <w:rPr>
                <w:sz w:val="18"/>
                <w:szCs w:val="18"/>
                <w:highlight w:val="cyan"/>
              </w:rPr>
              <w:t>JTIDS characteristics to be applied for LDACS compatibility tests</w:t>
            </w:r>
          </w:p>
        </w:tc>
        <w:tc>
          <w:tcPr>
            <w:tcW w:w="2745" w:type="dxa"/>
          </w:tcPr>
          <w:p w:rsidR="000C4303" w:rsidRPr="00D721A6" w:rsidRDefault="000C4303" w:rsidP="003259B2">
            <w:pPr>
              <w:jc w:val="left"/>
              <w:rPr>
                <w:sz w:val="18"/>
                <w:szCs w:val="18"/>
                <w:highlight w:val="cyan"/>
              </w:rPr>
            </w:pPr>
            <w:r w:rsidRPr="00D721A6">
              <w:rPr>
                <w:sz w:val="18"/>
                <w:szCs w:val="18"/>
                <w:highlight w:val="cyan"/>
              </w:rPr>
              <w:t>(</w:t>
            </w:r>
            <w:r>
              <w:rPr>
                <w:sz w:val="18"/>
                <w:szCs w:val="18"/>
                <w:highlight w:val="cyan"/>
              </w:rPr>
              <w:t>P</w:t>
            </w:r>
            <w:r w:rsidRPr="00D721A6">
              <w:rPr>
                <w:sz w:val="18"/>
                <w:szCs w:val="18"/>
                <w:highlight w:val="cyan"/>
              </w:rPr>
              <w:t>rovided by M</w:t>
            </w:r>
            <w:r>
              <w:rPr>
                <w:sz w:val="18"/>
                <w:szCs w:val="18"/>
                <w:highlight w:val="cyan"/>
              </w:rPr>
              <w:t>ike</w:t>
            </w:r>
            <w:r w:rsidRPr="00D721A6">
              <w:rPr>
                <w:sz w:val="18"/>
                <w:szCs w:val="18"/>
                <w:highlight w:val="cyan"/>
              </w:rPr>
              <w:t xml:space="preserve"> Biggs after the discussion)</w:t>
            </w:r>
          </w:p>
        </w:tc>
      </w:tr>
      <w:tr w:rsidR="000C4303" w:rsidRPr="00D721A6" w:rsidTr="00E06430">
        <w:tc>
          <w:tcPr>
            <w:tcW w:w="9065" w:type="dxa"/>
            <w:gridSpan w:val="3"/>
          </w:tcPr>
          <w:p w:rsidR="000C4303" w:rsidRPr="00D721A6" w:rsidRDefault="000C4303" w:rsidP="003259B2">
            <w:pPr>
              <w:jc w:val="left"/>
              <w:rPr>
                <w:sz w:val="18"/>
                <w:szCs w:val="18"/>
                <w:highlight w:val="cyan"/>
              </w:rPr>
            </w:pPr>
          </w:p>
        </w:tc>
      </w:tr>
      <w:tr w:rsidR="000C4303" w:rsidRPr="00D721A6" w:rsidTr="00E06430">
        <w:tc>
          <w:tcPr>
            <w:tcW w:w="9065" w:type="dxa"/>
            <w:gridSpan w:val="3"/>
          </w:tcPr>
          <w:p w:rsidR="000C4303" w:rsidRPr="00D721A6" w:rsidRDefault="000C4303" w:rsidP="003259B2">
            <w:pPr>
              <w:jc w:val="left"/>
              <w:rPr>
                <w:sz w:val="18"/>
                <w:szCs w:val="18"/>
                <w:highlight w:val="cyan"/>
              </w:rPr>
            </w:pPr>
            <w:r w:rsidRPr="00D721A6">
              <w:rPr>
                <w:i/>
                <w:sz w:val="18"/>
                <w:szCs w:val="18"/>
              </w:rPr>
              <w:t>Note: The paper below, which are covered by this agenda item, were discussed by the SWG alone.</w:t>
            </w:r>
          </w:p>
        </w:tc>
      </w:tr>
      <w:tr w:rsidR="000C4303" w:rsidRPr="00D721A6" w:rsidTr="00E06430">
        <w:tc>
          <w:tcPr>
            <w:tcW w:w="1926" w:type="dxa"/>
          </w:tcPr>
          <w:p w:rsidR="000C4303" w:rsidRPr="00B91980" w:rsidRDefault="000C4303" w:rsidP="003259B2">
            <w:pPr>
              <w:jc w:val="left"/>
              <w:rPr>
                <w:sz w:val="18"/>
                <w:szCs w:val="18"/>
                <w:highlight w:val="cyan"/>
              </w:rPr>
            </w:pPr>
            <w:r w:rsidRPr="00B91980">
              <w:rPr>
                <w:sz w:val="18"/>
                <w:szCs w:val="18"/>
                <w:highlight w:val="cyan"/>
              </w:rPr>
              <w:t>WP09, rev.1</w:t>
            </w:r>
          </w:p>
        </w:tc>
        <w:tc>
          <w:tcPr>
            <w:tcW w:w="4394" w:type="dxa"/>
          </w:tcPr>
          <w:p w:rsidR="000C4303" w:rsidRPr="00B91980" w:rsidRDefault="000C4303" w:rsidP="003259B2">
            <w:pPr>
              <w:jc w:val="left"/>
              <w:rPr>
                <w:sz w:val="18"/>
                <w:szCs w:val="18"/>
                <w:highlight w:val="cyan"/>
              </w:rPr>
            </w:pPr>
            <w:r w:rsidRPr="00B91980">
              <w:rPr>
                <w:sz w:val="18"/>
                <w:szCs w:val="18"/>
                <w:highlight w:val="cyan"/>
              </w:rPr>
              <w:t>Handbook on radio frequency spectrum requirements for civil aviation, Volume II (Doc. 9718) Chapter 5 - DME</w:t>
            </w:r>
          </w:p>
        </w:tc>
        <w:tc>
          <w:tcPr>
            <w:tcW w:w="2745" w:type="dxa"/>
          </w:tcPr>
          <w:p w:rsidR="000C4303" w:rsidRPr="00B91980" w:rsidRDefault="000C4303" w:rsidP="003259B2">
            <w:pPr>
              <w:jc w:val="left"/>
              <w:rPr>
                <w:sz w:val="18"/>
                <w:szCs w:val="18"/>
                <w:highlight w:val="cyan"/>
              </w:rPr>
            </w:pPr>
            <w:r w:rsidRPr="00B91980">
              <w:rPr>
                <w:sz w:val="18"/>
                <w:szCs w:val="18"/>
                <w:highlight w:val="cyan"/>
              </w:rPr>
              <w:t>NSP Secretary</w:t>
            </w:r>
          </w:p>
          <w:p w:rsidR="000C4303" w:rsidRPr="00B91980" w:rsidRDefault="000C4303" w:rsidP="003259B2">
            <w:pPr>
              <w:jc w:val="left"/>
              <w:rPr>
                <w:sz w:val="18"/>
                <w:szCs w:val="18"/>
                <w:highlight w:val="cyan"/>
              </w:rPr>
            </w:pPr>
            <w:r w:rsidRPr="00B91980">
              <w:rPr>
                <w:sz w:val="18"/>
                <w:szCs w:val="18"/>
                <w:highlight w:val="cyan"/>
              </w:rPr>
              <w:t>(Robert Witzen)</w:t>
            </w:r>
          </w:p>
        </w:tc>
      </w:tr>
      <w:tr w:rsidR="000C4303" w:rsidRPr="00D721A6" w:rsidTr="00E06430">
        <w:trPr>
          <w:cantSplit/>
        </w:trPr>
        <w:tc>
          <w:tcPr>
            <w:tcW w:w="9065" w:type="dxa"/>
            <w:gridSpan w:val="3"/>
          </w:tcPr>
          <w:p w:rsidR="000C4303" w:rsidRPr="00D721A6" w:rsidRDefault="000C4303" w:rsidP="003259B2">
            <w:pPr>
              <w:jc w:val="left"/>
              <w:rPr>
                <w:sz w:val="20"/>
              </w:rPr>
            </w:pPr>
          </w:p>
        </w:tc>
      </w:tr>
      <w:tr w:rsidR="000C4303" w:rsidRPr="00D721A6" w:rsidTr="00E06430">
        <w:tc>
          <w:tcPr>
            <w:tcW w:w="9065" w:type="dxa"/>
            <w:gridSpan w:val="3"/>
          </w:tcPr>
          <w:p w:rsidR="000C4303" w:rsidRPr="00D721A6" w:rsidRDefault="000C4303" w:rsidP="003259B2">
            <w:pPr>
              <w:jc w:val="left"/>
              <w:rPr>
                <w:sz w:val="20"/>
              </w:rPr>
            </w:pPr>
            <w:r w:rsidRPr="00D721A6">
              <w:rPr>
                <w:b/>
                <w:highlight w:val="green"/>
              </w:rPr>
              <w:t>Agenda Item 6c): Signal and compatibility issues in the band 5000 to 5150 MHz</w:t>
            </w:r>
          </w:p>
        </w:tc>
      </w:tr>
      <w:tr w:rsidR="000C4303" w:rsidRPr="00D721A6" w:rsidTr="00E06430">
        <w:tc>
          <w:tcPr>
            <w:tcW w:w="9065" w:type="dxa"/>
            <w:gridSpan w:val="3"/>
          </w:tcPr>
          <w:p w:rsidR="000C4303" w:rsidRPr="00D721A6" w:rsidRDefault="000C4303" w:rsidP="003259B2">
            <w:pPr>
              <w:jc w:val="left"/>
              <w:rPr>
                <w:sz w:val="20"/>
                <w:highlight w:val="lightGray"/>
              </w:rPr>
            </w:pPr>
            <w:r w:rsidRPr="00D721A6">
              <w:rPr>
                <w:i/>
                <w:iCs/>
                <w:sz w:val="20"/>
              </w:rPr>
              <w:t>Note: No papers have been presented and no discussion took place under this agenda item.</w:t>
            </w:r>
          </w:p>
        </w:tc>
      </w:tr>
      <w:tr w:rsidR="000C4303" w:rsidRPr="00D721A6" w:rsidTr="00E06430">
        <w:trPr>
          <w:cantSplit/>
        </w:trPr>
        <w:tc>
          <w:tcPr>
            <w:tcW w:w="9065" w:type="dxa"/>
            <w:gridSpan w:val="3"/>
          </w:tcPr>
          <w:p w:rsidR="000C4303" w:rsidRPr="00D721A6" w:rsidRDefault="000C4303" w:rsidP="003259B2">
            <w:pPr>
              <w:jc w:val="left"/>
              <w:rPr>
                <w:b/>
                <w:bCs/>
                <w:sz w:val="20"/>
              </w:rPr>
            </w:pPr>
          </w:p>
        </w:tc>
      </w:tr>
      <w:tr w:rsidR="000C4303" w:rsidRPr="00D721A6" w:rsidTr="00E06430">
        <w:tc>
          <w:tcPr>
            <w:tcW w:w="9065" w:type="dxa"/>
            <w:gridSpan w:val="3"/>
          </w:tcPr>
          <w:p w:rsidR="000C4303" w:rsidRPr="00D721A6" w:rsidRDefault="000C4303" w:rsidP="003259B2">
            <w:pPr>
              <w:jc w:val="left"/>
              <w:rPr>
                <w:sz w:val="20"/>
              </w:rPr>
            </w:pPr>
            <w:r w:rsidRPr="00D721A6">
              <w:rPr>
                <w:b/>
                <w:highlight w:val="green"/>
              </w:rPr>
              <w:t>Agenda Item 6d): GNSS signal and interference issues</w:t>
            </w:r>
          </w:p>
        </w:tc>
      </w:tr>
      <w:tr w:rsidR="000C4303" w:rsidRPr="00D721A6" w:rsidTr="00E06430">
        <w:tc>
          <w:tcPr>
            <w:tcW w:w="9065" w:type="dxa"/>
            <w:gridSpan w:val="3"/>
          </w:tcPr>
          <w:p w:rsidR="000C4303" w:rsidRPr="00D721A6" w:rsidRDefault="000C4303" w:rsidP="003259B2">
            <w:pPr>
              <w:jc w:val="left"/>
              <w:rPr>
                <w:sz w:val="18"/>
                <w:szCs w:val="18"/>
              </w:rPr>
            </w:pPr>
            <w:r w:rsidRPr="00D721A6">
              <w:rPr>
                <w:i/>
                <w:sz w:val="18"/>
                <w:szCs w:val="18"/>
              </w:rPr>
              <w:t>Note: The papers below, which are covered by this agenda item, were discussed by the SWG alone.</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IP05</w:t>
            </w:r>
          </w:p>
        </w:tc>
        <w:tc>
          <w:tcPr>
            <w:tcW w:w="4394" w:type="dxa"/>
          </w:tcPr>
          <w:p w:rsidR="000C4303" w:rsidRPr="00D721A6" w:rsidRDefault="000C4303" w:rsidP="003259B2">
            <w:pPr>
              <w:jc w:val="left"/>
              <w:rPr>
                <w:sz w:val="18"/>
                <w:szCs w:val="18"/>
                <w:highlight w:val="cyan"/>
              </w:rPr>
            </w:pPr>
            <w:r w:rsidRPr="00D721A6">
              <w:rPr>
                <w:sz w:val="18"/>
                <w:szCs w:val="18"/>
                <w:highlight w:val="cyan"/>
              </w:rPr>
              <w:t>Discussion of GNSS interference at 40</w:t>
            </w:r>
            <w:r w:rsidRPr="00FE4162">
              <w:rPr>
                <w:sz w:val="18"/>
                <w:szCs w:val="18"/>
                <w:highlight w:val="cyan"/>
                <w:vertAlign w:val="superscript"/>
              </w:rPr>
              <w:t>th</w:t>
            </w:r>
            <w:r w:rsidRPr="00D721A6">
              <w:rPr>
                <w:sz w:val="18"/>
                <w:szCs w:val="18"/>
                <w:highlight w:val="cyan"/>
              </w:rPr>
              <w:t xml:space="preserve"> Session of the ICAO Assembly</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(Alessandro Capretti)</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IP18</w:t>
            </w:r>
          </w:p>
        </w:tc>
        <w:tc>
          <w:tcPr>
            <w:tcW w:w="4394" w:type="dxa"/>
          </w:tcPr>
          <w:p w:rsidR="000C4303" w:rsidRPr="00D721A6" w:rsidRDefault="000C4303" w:rsidP="003259B2">
            <w:pPr>
              <w:jc w:val="left"/>
              <w:rPr>
                <w:sz w:val="18"/>
                <w:szCs w:val="18"/>
                <w:highlight w:val="cyan"/>
              </w:rPr>
            </w:pPr>
            <w:r w:rsidRPr="00D721A6">
              <w:rPr>
                <w:sz w:val="18"/>
                <w:szCs w:val="18"/>
                <w:highlight w:val="cyan"/>
              </w:rPr>
              <w:t>WP207 of ICAO Assembly, Future Frequency Spectrum Needs in Aviation</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(Alessandro Capretti)</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Flimsy 03</w:t>
            </w:r>
          </w:p>
        </w:tc>
        <w:tc>
          <w:tcPr>
            <w:tcW w:w="4394" w:type="dxa"/>
          </w:tcPr>
          <w:p w:rsidR="000C4303" w:rsidRPr="00D721A6" w:rsidRDefault="000C4303" w:rsidP="003259B2">
            <w:pPr>
              <w:jc w:val="left"/>
              <w:rPr>
                <w:sz w:val="18"/>
                <w:szCs w:val="18"/>
                <w:highlight w:val="cyan"/>
              </w:rPr>
            </w:pPr>
            <w:r w:rsidRPr="00D721A6">
              <w:rPr>
                <w:sz w:val="18"/>
                <w:szCs w:val="18"/>
                <w:highlight w:val="cyan"/>
              </w:rPr>
              <w:t>ICAO Assembly report text on WP207</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(Alessandro Capretti)</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Flimsy 07</w:t>
            </w:r>
          </w:p>
        </w:tc>
        <w:tc>
          <w:tcPr>
            <w:tcW w:w="4394" w:type="dxa"/>
          </w:tcPr>
          <w:p w:rsidR="000C4303" w:rsidRPr="00D721A6" w:rsidRDefault="000C4303" w:rsidP="003259B2">
            <w:pPr>
              <w:jc w:val="left"/>
              <w:rPr>
                <w:sz w:val="18"/>
                <w:szCs w:val="18"/>
                <w:highlight w:val="cyan"/>
              </w:rPr>
            </w:pPr>
            <w:r w:rsidRPr="00D721A6">
              <w:rPr>
                <w:sz w:val="18"/>
                <w:szCs w:val="18"/>
                <w:highlight w:val="cyan"/>
              </w:rPr>
              <w:t>QUESTIONNAIRE ON GPS INTENTIONAL INTERFERENCE CONDUCTED BY STATES</w:t>
            </w:r>
          </w:p>
        </w:tc>
        <w:tc>
          <w:tcPr>
            <w:tcW w:w="2745" w:type="dxa"/>
          </w:tcPr>
          <w:p w:rsidR="000C4303" w:rsidRPr="00D721A6" w:rsidRDefault="000C4303" w:rsidP="003259B2">
            <w:pPr>
              <w:jc w:val="left"/>
              <w:rPr>
                <w:sz w:val="18"/>
                <w:szCs w:val="18"/>
                <w:highlight w:val="cyan"/>
              </w:rPr>
            </w:pPr>
            <w:r w:rsidRPr="00D721A6">
              <w:rPr>
                <w:sz w:val="18"/>
                <w:szCs w:val="18"/>
                <w:highlight w:val="cyan"/>
              </w:rPr>
              <w:t>(Pierre Ladoux)</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IP08</w:t>
            </w:r>
          </w:p>
        </w:tc>
        <w:tc>
          <w:tcPr>
            <w:tcW w:w="4394" w:type="dxa"/>
          </w:tcPr>
          <w:p w:rsidR="000C4303" w:rsidRPr="00D721A6" w:rsidRDefault="000C4303" w:rsidP="003259B2">
            <w:pPr>
              <w:jc w:val="left"/>
              <w:rPr>
                <w:sz w:val="18"/>
                <w:szCs w:val="18"/>
                <w:highlight w:val="cyan"/>
              </w:rPr>
            </w:pPr>
            <w:r w:rsidRPr="00D721A6">
              <w:rPr>
                <w:sz w:val="18"/>
                <w:szCs w:val="18"/>
                <w:highlight w:val="cyan"/>
              </w:rPr>
              <w:t>Interference Mask and Anti-Interference Testing</w:t>
            </w:r>
          </w:p>
          <w:p w:rsidR="000C4303" w:rsidRPr="00D721A6" w:rsidRDefault="000C4303" w:rsidP="003259B2">
            <w:pPr>
              <w:jc w:val="left"/>
              <w:rPr>
                <w:sz w:val="18"/>
                <w:szCs w:val="18"/>
                <w:highlight w:val="cyan"/>
              </w:rPr>
            </w:pPr>
            <w:r w:rsidRPr="00D721A6">
              <w:rPr>
                <w:sz w:val="18"/>
                <w:szCs w:val="18"/>
                <w:highlight w:val="cyan"/>
              </w:rPr>
              <w:t>for BDS B1C and B2a signals</w:t>
            </w:r>
          </w:p>
        </w:tc>
        <w:tc>
          <w:tcPr>
            <w:tcW w:w="2745" w:type="dxa"/>
          </w:tcPr>
          <w:p w:rsidR="000C4303" w:rsidRPr="00D721A6" w:rsidRDefault="000C4303" w:rsidP="003259B2">
            <w:pPr>
              <w:jc w:val="left"/>
              <w:rPr>
                <w:sz w:val="18"/>
                <w:szCs w:val="18"/>
                <w:highlight w:val="cyan"/>
              </w:rPr>
            </w:pPr>
            <w:r w:rsidRPr="00B91980">
              <w:rPr>
                <w:sz w:val="18"/>
                <w:szCs w:val="18"/>
                <w:highlight w:val="cyan"/>
              </w:rPr>
              <w:t>Qin Zhi</w:t>
            </w:r>
          </w:p>
          <w:p w:rsidR="000C4303" w:rsidRPr="00D721A6" w:rsidRDefault="000C4303" w:rsidP="003259B2">
            <w:pPr>
              <w:jc w:val="left"/>
              <w:rPr>
                <w:sz w:val="18"/>
                <w:szCs w:val="18"/>
                <w:highlight w:val="cyan"/>
              </w:rPr>
            </w:pPr>
            <w:r w:rsidRPr="00D721A6">
              <w:rPr>
                <w:sz w:val="18"/>
                <w:szCs w:val="18"/>
                <w:highlight w:val="cyan"/>
              </w:rPr>
              <w:t>(Xiao Li)</w:t>
            </w:r>
          </w:p>
        </w:tc>
      </w:tr>
      <w:tr w:rsidR="000C4303" w:rsidRPr="00D721A6" w:rsidTr="00E06430">
        <w:tc>
          <w:tcPr>
            <w:tcW w:w="1926" w:type="dxa"/>
          </w:tcPr>
          <w:p w:rsidR="000C4303" w:rsidRPr="00F325B8" w:rsidRDefault="000C4303" w:rsidP="003259B2">
            <w:pPr>
              <w:jc w:val="left"/>
              <w:rPr>
                <w:sz w:val="18"/>
                <w:szCs w:val="18"/>
                <w:highlight w:val="cyan"/>
              </w:rPr>
            </w:pPr>
            <w:r w:rsidRPr="00F325B8">
              <w:rPr>
                <w:sz w:val="18"/>
                <w:szCs w:val="18"/>
                <w:highlight w:val="cyan"/>
              </w:rPr>
              <w:t>WP44</w:t>
            </w:r>
          </w:p>
        </w:tc>
        <w:tc>
          <w:tcPr>
            <w:tcW w:w="4394" w:type="dxa"/>
          </w:tcPr>
          <w:p w:rsidR="000C4303" w:rsidRPr="00F325B8" w:rsidRDefault="000C4303" w:rsidP="003259B2">
            <w:pPr>
              <w:jc w:val="left"/>
              <w:rPr>
                <w:sz w:val="18"/>
                <w:szCs w:val="18"/>
                <w:highlight w:val="cyan"/>
              </w:rPr>
            </w:pPr>
            <w:r w:rsidRPr="00F325B8">
              <w:rPr>
                <w:sz w:val="18"/>
                <w:szCs w:val="18"/>
                <w:highlight w:val="cyan"/>
              </w:rPr>
              <w:t>Proposed L5/E5a Aggregate Non-Aeronautical Interference Mask</w:t>
            </w:r>
          </w:p>
        </w:tc>
        <w:tc>
          <w:tcPr>
            <w:tcW w:w="2745" w:type="dxa"/>
          </w:tcPr>
          <w:p w:rsidR="000C4303" w:rsidRPr="00F325B8" w:rsidRDefault="000C4303" w:rsidP="003259B2">
            <w:pPr>
              <w:jc w:val="left"/>
              <w:rPr>
                <w:sz w:val="18"/>
                <w:szCs w:val="18"/>
                <w:highlight w:val="cyan"/>
              </w:rPr>
            </w:pPr>
            <w:r w:rsidRPr="00F325B8">
              <w:rPr>
                <w:sz w:val="18"/>
                <w:szCs w:val="18"/>
                <w:highlight w:val="cyan"/>
              </w:rPr>
              <w:t>Eric Châtre</w:t>
            </w:r>
          </w:p>
          <w:p w:rsidR="000C4303" w:rsidRPr="00F325B8" w:rsidRDefault="000C4303" w:rsidP="003259B2">
            <w:pPr>
              <w:jc w:val="left"/>
              <w:rPr>
                <w:sz w:val="18"/>
                <w:szCs w:val="18"/>
                <w:highlight w:val="cyan"/>
              </w:rPr>
            </w:pPr>
            <w:r w:rsidRPr="00F325B8">
              <w:rPr>
                <w:sz w:val="18"/>
                <w:szCs w:val="18"/>
                <w:highlight w:val="cyan"/>
              </w:rPr>
              <w:t>(</w:t>
            </w:r>
            <w:r>
              <w:rPr>
                <w:sz w:val="18"/>
                <w:szCs w:val="18"/>
                <w:highlight w:val="cyan"/>
              </w:rPr>
              <w:t>Discussed</w:t>
            </w:r>
            <w:r w:rsidRPr="00F325B8">
              <w:rPr>
                <w:sz w:val="18"/>
                <w:szCs w:val="18"/>
                <w:highlight w:val="cyan"/>
              </w:rPr>
              <w:t xml:space="preserve"> without presentation)</w:t>
            </w:r>
          </w:p>
        </w:tc>
      </w:tr>
      <w:tr w:rsidR="000C4303" w:rsidRPr="00D721A6" w:rsidTr="00E06430">
        <w:trPr>
          <w:cantSplit/>
        </w:trPr>
        <w:tc>
          <w:tcPr>
            <w:tcW w:w="9065" w:type="dxa"/>
            <w:gridSpan w:val="3"/>
          </w:tcPr>
          <w:p w:rsidR="000C4303" w:rsidRPr="00D721A6" w:rsidRDefault="000C4303" w:rsidP="003259B2">
            <w:pPr>
              <w:jc w:val="left"/>
              <w:rPr>
                <w:sz w:val="20"/>
              </w:rPr>
            </w:pPr>
          </w:p>
        </w:tc>
      </w:tr>
      <w:tr w:rsidR="000C4303" w:rsidRPr="00D721A6" w:rsidTr="00E06430">
        <w:tc>
          <w:tcPr>
            <w:tcW w:w="9065" w:type="dxa"/>
            <w:gridSpan w:val="3"/>
          </w:tcPr>
          <w:p w:rsidR="000C4303" w:rsidRPr="00D721A6" w:rsidRDefault="000C4303" w:rsidP="003259B2">
            <w:pPr>
              <w:jc w:val="left"/>
              <w:rPr>
                <w:sz w:val="20"/>
              </w:rPr>
            </w:pPr>
            <w:r w:rsidRPr="00D721A6">
              <w:rPr>
                <w:b/>
                <w:highlight w:val="green"/>
              </w:rPr>
              <w:t>Agenda Item 6e): Open actions for the SWG from the ICAO NSP Panel meetings</w:t>
            </w:r>
          </w:p>
        </w:tc>
      </w:tr>
      <w:tr w:rsidR="000C4303" w:rsidRPr="00D721A6" w:rsidTr="00E06430">
        <w:tc>
          <w:tcPr>
            <w:tcW w:w="9065" w:type="dxa"/>
            <w:gridSpan w:val="3"/>
          </w:tcPr>
          <w:p w:rsidR="000C4303" w:rsidRPr="00D721A6" w:rsidRDefault="000C4303" w:rsidP="003259B2">
            <w:pPr>
              <w:jc w:val="left"/>
              <w:rPr>
                <w:sz w:val="20"/>
              </w:rPr>
            </w:pPr>
            <w:r w:rsidRPr="00B91980">
              <w:rPr>
                <w:i/>
                <w:iCs/>
                <w:sz w:val="18"/>
              </w:rPr>
              <w:t>Note: No papers have been presented under this agenda item.</w:t>
            </w:r>
          </w:p>
        </w:tc>
      </w:tr>
      <w:tr w:rsidR="000C4303" w:rsidRPr="00D721A6" w:rsidTr="00E06430">
        <w:trPr>
          <w:cantSplit/>
        </w:trPr>
        <w:tc>
          <w:tcPr>
            <w:tcW w:w="9065" w:type="dxa"/>
            <w:gridSpan w:val="3"/>
          </w:tcPr>
          <w:p w:rsidR="000C4303" w:rsidRPr="00D721A6" w:rsidRDefault="000C4303" w:rsidP="003259B2">
            <w:pPr>
              <w:jc w:val="left"/>
              <w:rPr>
                <w:sz w:val="20"/>
              </w:rPr>
            </w:pPr>
          </w:p>
        </w:tc>
      </w:tr>
      <w:tr w:rsidR="000C4303" w:rsidRPr="00D721A6" w:rsidTr="00E06430">
        <w:tc>
          <w:tcPr>
            <w:tcW w:w="9065" w:type="dxa"/>
            <w:gridSpan w:val="3"/>
          </w:tcPr>
          <w:p w:rsidR="000C4303" w:rsidRPr="00D721A6" w:rsidRDefault="000C4303" w:rsidP="003259B2">
            <w:pPr>
              <w:jc w:val="left"/>
              <w:rPr>
                <w:sz w:val="20"/>
              </w:rPr>
            </w:pPr>
            <w:r w:rsidRPr="00D721A6">
              <w:rPr>
                <w:b/>
                <w:highlight w:val="green"/>
              </w:rPr>
              <w:t>Agenda Item 6f): Spectrum – any other business</w:t>
            </w:r>
          </w:p>
        </w:tc>
      </w:tr>
      <w:tr w:rsidR="000C4303" w:rsidRPr="00D721A6" w:rsidTr="00E06430">
        <w:tc>
          <w:tcPr>
            <w:tcW w:w="9065" w:type="dxa"/>
            <w:gridSpan w:val="3"/>
          </w:tcPr>
          <w:p w:rsidR="000C4303" w:rsidRPr="00D721A6" w:rsidRDefault="000C4303" w:rsidP="003259B2">
            <w:pPr>
              <w:jc w:val="left"/>
              <w:rPr>
                <w:b/>
                <w:sz w:val="18"/>
                <w:szCs w:val="18"/>
                <w:highlight w:val="green"/>
              </w:rPr>
            </w:pPr>
            <w:r w:rsidRPr="00D721A6">
              <w:rPr>
                <w:i/>
                <w:sz w:val="18"/>
                <w:szCs w:val="18"/>
              </w:rPr>
              <w:t>Note: The papers topics below, which are covered by this agenda item, were discussed by a Joint meeting of the SWG, the GWG and the CNTWG</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WP21</w:t>
            </w:r>
          </w:p>
        </w:tc>
        <w:tc>
          <w:tcPr>
            <w:tcW w:w="4394" w:type="dxa"/>
          </w:tcPr>
          <w:p w:rsidR="000C4303" w:rsidRPr="00D721A6" w:rsidRDefault="000C4303" w:rsidP="003259B2">
            <w:pPr>
              <w:jc w:val="left"/>
              <w:rPr>
                <w:sz w:val="18"/>
                <w:szCs w:val="18"/>
                <w:highlight w:val="cyan"/>
              </w:rPr>
            </w:pPr>
            <w:r w:rsidRPr="00D721A6">
              <w:rPr>
                <w:sz w:val="18"/>
                <w:szCs w:val="18"/>
                <w:highlight w:val="cyan"/>
              </w:rPr>
              <w:t>Introduction of RPAS C2 links into NAV bands</w:t>
            </w:r>
          </w:p>
          <w:p w:rsidR="000C4303" w:rsidRPr="00D721A6" w:rsidRDefault="000C4303" w:rsidP="003259B2">
            <w:pPr>
              <w:jc w:val="left"/>
              <w:rPr>
                <w:sz w:val="18"/>
                <w:szCs w:val="18"/>
                <w:highlight w:val="cyan"/>
              </w:rPr>
            </w:pPr>
            <w:r w:rsidRPr="00D721A6">
              <w:rPr>
                <w:sz w:val="18"/>
                <w:szCs w:val="18"/>
                <w:highlight w:val="cyan"/>
              </w:rPr>
              <w:t xml:space="preserve">-Attachment: </w:t>
            </w:r>
            <w:r>
              <w:rPr>
                <w:sz w:val="18"/>
                <w:szCs w:val="18"/>
                <w:highlight w:val="cyan"/>
              </w:rPr>
              <w:t>State letter</w:t>
            </w:r>
            <w:r w:rsidRPr="00D721A6">
              <w:rPr>
                <w:sz w:val="18"/>
                <w:szCs w:val="18"/>
                <w:highlight w:val="cyan"/>
              </w:rPr>
              <w:t xml:space="preserve"> AN 7/67.1.1-19/52 “Proposals for the amendment of Annex 10, Volume V, first edition of Volume VI and consequential amendments to Annexes 1 and 2 arising from the thirteenth meeting of the Remotely Piloted Aircraft Systems Panel (RPASP/13)”</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(Alessandro Capretti)</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WP39</w:t>
            </w:r>
          </w:p>
        </w:tc>
        <w:tc>
          <w:tcPr>
            <w:tcW w:w="4394" w:type="dxa"/>
          </w:tcPr>
          <w:p w:rsidR="000C4303" w:rsidRPr="00D721A6" w:rsidRDefault="000C4303" w:rsidP="003259B2">
            <w:pPr>
              <w:jc w:val="left"/>
              <w:rPr>
                <w:sz w:val="18"/>
                <w:szCs w:val="18"/>
                <w:highlight w:val="cyan"/>
              </w:rPr>
            </w:pPr>
            <w:r w:rsidRPr="00D721A6">
              <w:rPr>
                <w:sz w:val="18"/>
                <w:szCs w:val="18"/>
                <w:highlight w:val="cyan"/>
              </w:rPr>
              <w:t>Introduction of RPAS C2 links into NAV bands</w:t>
            </w:r>
          </w:p>
        </w:tc>
        <w:tc>
          <w:tcPr>
            <w:tcW w:w="2745" w:type="dxa"/>
          </w:tcPr>
          <w:p w:rsidR="000C4303" w:rsidRPr="00D721A6" w:rsidRDefault="000C4303" w:rsidP="003259B2">
            <w:pPr>
              <w:jc w:val="left"/>
              <w:rPr>
                <w:sz w:val="18"/>
                <w:szCs w:val="18"/>
                <w:highlight w:val="cyan"/>
              </w:rPr>
            </w:pPr>
            <w:r w:rsidRPr="00D721A6">
              <w:rPr>
                <w:sz w:val="18"/>
                <w:szCs w:val="18"/>
                <w:highlight w:val="cyan"/>
              </w:rPr>
              <w:t>Jeffrey Bollard</w:t>
            </w:r>
          </w:p>
        </w:tc>
      </w:tr>
      <w:tr w:rsidR="000C4303" w:rsidRPr="00D721A6" w:rsidTr="00E06430">
        <w:tc>
          <w:tcPr>
            <w:tcW w:w="1926" w:type="dxa"/>
          </w:tcPr>
          <w:p w:rsidR="000C4303" w:rsidRPr="00F033DE" w:rsidRDefault="000C4303" w:rsidP="003259B2">
            <w:pPr>
              <w:jc w:val="left"/>
              <w:rPr>
                <w:sz w:val="18"/>
                <w:szCs w:val="18"/>
                <w:highlight w:val="cyan"/>
              </w:rPr>
            </w:pPr>
            <w:r w:rsidRPr="00F033DE">
              <w:rPr>
                <w:sz w:val="18"/>
                <w:szCs w:val="18"/>
                <w:highlight w:val="cyan"/>
              </w:rPr>
              <w:t>Flimsy 9</w:t>
            </w:r>
          </w:p>
        </w:tc>
        <w:tc>
          <w:tcPr>
            <w:tcW w:w="4394" w:type="dxa"/>
          </w:tcPr>
          <w:p w:rsidR="000C4303" w:rsidRPr="00F033DE" w:rsidRDefault="000C4303" w:rsidP="003259B2">
            <w:pPr>
              <w:jc w:val="left"/>
              <w:rPr>
                <w:sz w:val="18"/>
                <w:szCs w:val="18"/>
                <w:highlight w:val="cyan"/>
              </w:rPr>
            </w:pPr>
            <w:r w:rsidRPr="00F033DE">
              <w:rPr>
                <w:sz w:val="18"/>
                <w:szCs w:val="18"/>
                <w:highlight w:val="cyan"/>
              </w:rPr>
              <w:t>Observations of the ICAO NSP secretary on State letter AN 7/67.1.1-19/52</w:t>
            </w:r>
          </w:p>
        </w:tc>
        <w:tc>
          <w:tcPr>
            <w:tcW w:w="2745" w:type="dxa"/>
          </w:tcPr>
          <w:p w:rsidR="000C4303" w:rsidRPr="00F033DE" w:rsidRDefault="000C4303" w:rsidP="003259B2">
            <w:pPr>
              <w:jc w:val="left"/>
              <w:rPr>
                <w:sz w:val="18"/>
                <w:szCs w:val="18"/>
                <w:highlight w:val="cyan"/>
              </w:rPr>
            </w:pPr>
            <w:r w:rsidRPr="00F033DE">
              <w:rPr>
                <w:sz w:val="18"/>
                <w:szCs w:val="18"/>
                <w:highlight w:val="cyan"/>
              </w:rPr>
              <w:t>NSP Secretary</w:t>
            </w:r>
            <w:r>
              <w:rPr>
                <w:sz w:val="18"/>
                <w:szCs w:val="18"/>
                <w:highlight w:val="cyan"/>
              </w:rPr>
              <w:t xml:space="preserve"> </w:t>
            </w:r>
            <w:r w:rsidRPr="00F033DE">
              <w:rPr>
                <w:sz w:val="18"/>
                <w:szCs w:val="18"/>
                <w:highlight w:val="cyan"/>
              </w:rPr>
              <w:t>(</w:t>
            </w:r>
            <w:r>
              <w:rPr>
                <w:sz w:val="18"/>
                <w:szCs w:val="18"/>
                <w:highlight w:val="cyan"/>
              </w:rPr>
              <w:t>P</w:t>
            </w:r>
            <w:r w:rsidRPr="00F033DE">
              <w:rPr>
                <w:sz w:val="18"/>
                <w:szCs w:val="18"/>
                <w:highlight w:val="cyan"/>
              </w:rPr>
              <w:t>rovided after the discussion by Alessandro Capretti for information)</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Flimsy 10</w:t>
            </w:r>
          </w:p>
        </w:tc>
        <w:tc>
          <w:tcPr>
            <w:tcW w:w="4394" w:type="dxa"/>
          </w:tcPr>
          <w:p w:rsidR="000C4303" w:rsidRPr="00D721A6" w:rsidRDefault="000C4303" w:rsidP="003259B2">
            <w:pPr>
              <w:jc w:val="left"/>
              <w:rPr>
                <w:sz w:val="18"/>
                <w:szCs w:val="18"/>
                <w:highlight w:val="cyan"/>
              </w:rPr>
            </w:pPr>
            <w:r w:rsidRPr="00D721A6">
              <w:rPr>
                <w:sz w:val="18"/>
                <w:szCs w:val="18"/>
                <w:highlight w:val="cyan"/>
              </w:rPr>
              <w:t>German response to State letter AN 7/67.1.1-19/52</w:t>
            </w:r>
          </w:p>
        </w:tc>
        <w:tc>
          <w:tcPr>
            <w:tcW w:w="2745" w:type="dxa"/>
          </w:tcPr>
          <w:p w:rsidR="000C4303" w:rsidRPr="00D721A6" w:rsidRDefault="000C4303" w:rsidP="003259B2">
            <w:pPr>
              <w:jc w:val="left"/>
              <w:rPr>
                <w:sz w:val="18"/>
                <w:szCs w:val="18"/>
                <w:highlight w:val="cyan"/>
              </w:rPr>
            </w:pPr>
            <w:r w:rsidRPr="00D721A6">
              <w:rPr>
                <w:sz w:val="18"/>
                <w:szCs w:val="18"/>
                <w:highlight w:val="cyan"/>
              </w:rPr>
              <w:t>(</w:t>
            </w:r>
            <w:r>
              <w:rPr>
                <w:sz w:val="18"/>
                <w:szCs w:val="18"/>
                <w:highlight w:val="cyan"/>
              </w:rPr>
              <w:t>P</w:t>
            </w:r>
            <w:r w:rsidRPr="00D721A6">
              <w:rPr>
                <w:sz w:val="18"/>
                <w:szCs w:val="18"/>
                <w:highlight w:val="cyan"/>
              </w:rPr>
              <w:t>rovided after the discussion by Felix Butsch for information)</w:t>
            </w:r>
          </w:p>
        </w:tc>
      </w:tr>
      <w:tr w:rsidR="000C4303" w:rsidRPr="00D721A6" w:rsidTr="00E06430">
        <w:tc>
          <w:tcPr>
            <w:tcW w:w="1926" w:type="dxa"/>
          </w:tcPr>
          <w:p w:rsidR="000C4303" w:rsidRPr="00D721A6" w:rsidRDefault="000C4303" w:rsidP="003259B2">
            <w:pPr>
              <w:jc w:val="left"/>
              <w:rPr>
                <w:sz w:val="18"/>
                <w:szCs w:val="18"/>
                <w:highlight w:val="cyan"/>
              </w:rPr>
            </w:pPr>
            <w:r w:rsidRPr="00D721A6">
              <w:rPr>
                <w:sz w:val="18"/>
                <w:szCs w:val="18"/>
                <w:highlight w:val="cyan"/>
              </w:rPr>
              <w:t>WP23</w:t>
            </w:r>
          </w:p>
        </w:tc>
        <w:tc>
          <w:tcPr>
            <w:tcW w:w="4394" w:type="dxa"/>
          </w:tcPr>
          <w:p w:rsidR="000C4303" w:rsidRPr="00D721A6" w:rsidRDefault="000C4303" w:rsidP="003259B2">
            <w:pPr>
              <w:jc w:val="left"/>
              <w:rPr>
                <w:sz w:val="18"/>
                <w:szCs w:val="18"/>
                <w:highlight w:val="cyan"/>
              </w:rPr>
            </w:pPr>
            <w:r w:rsidRPr="00D721A6">
              <w:rPr>
                <w:sz w:val="18"/>
                <w:szCs w:val="18"/>
                <w:highlight w:val="cyan"/>
              </w:rPr>
              <w:t>PROPOSAL FOR AMENDMENT TO ANNEX 10, VOLUME I, III, IV and V, TO FACILITATE THE STATES TO MONITOR EFFECTIVE IMPLEMENTATIONS OF RELEVANT ICAO ANNEX 10 PROVISIONS UNDER THE USOAP</w:t>
            </w:r>
          </w:p>
        </w:tc>
        <w:tc>
          <w:tcPr>
            <w:tcW w:w="2745" w:type="dxa"/>
          </w:tcPr>
          <w:p w:rsidR="000C4303" w:rsidRPr="00D721A6" w:rsidRDefault="000C4303" w:rsidP="003259B2">
            <w:pPr>
              <w:jc w:val="left"/>
              <w:rPr>
                <w:sz w:val="18"/>
                <w:szCs w:val="18"/>
                <w:highlight w:val="cyan"/>
              </w:rPr>
            </w:pPr>
            <w:r w:rsidRPr="00D721A6">
              <w:rPr>
                <w:sz w:val="18"/>
                <w:szCs w:val="18"/>
                <w:highlight w:val="cyan"/>
              </w:rPr>
              <w:t>NSP Secretary</w:t>
            </w:r>
          </w:p>
          <w:p w:rsidR="000C4303" w:rsidRPr="00D721A6" w:rsidRDefault="000C4303" w:rsidP="003259B2">
            <w:pPr>
              <w:jc w:val="left"/>
              <w:rPr>
                <w:sz w:val="18"/>
                <w:szCs w:val="18"/>
                <w:highlight w:val="cyan"/>
              </w:rPr>
            </w:pPr>
            <w:r w:rsidRPr="00D721A6">
              <w:rPr>
                <w:sz w:val="18"/>
                <w:szCs w:val="18"/>
                <w:highlight w:val="cyan"/>
              </w:rPr>
              <w:t>(Alessandro Capretti)</w:t>
            </w:r>
          </w:p>
        </w:tc>
      </w:tr>
      <w:tr w:rsidR="000C4303" w:rsidRPr="00D721A6" w:rsidTr="00E06430">
        <w:tc>
          <w:tcPr>
            <w:tcW w:w="9065" w:type="dxa"/>
            <w:gridSpan w:val="3"/>
          </w:tcPr>
          <w:p w:rsidR="000C4303" w:rsidRDefault="000C4303" w:rsidP="003259B2">
            <w:pPr>
              <w:jc w:val="left"/>
              <w:rPr>
                <w:i/>
                <w:sz w:val="18"/>
                <w:szCs w:val="18"/>
                <w:highlight w:val="yellow"/>
              </w:rPr>
            </w:pPr>
          </w:p>
          <w:p w:rsidR="003259B2" w:rsidRDefault="003259B2" w:rsidP="003259B2">
            <w:pPr>
              <w:jc w:val="left"/>
              <w:rPr>
                <w:i/>
                <w:sz w:val="18"/>
                <w:szCs w:val="18"/>
                <w:highlight w:val="yellow"/>
              </w:rPr>
            </w:pPr>
          </w:p>
          <w:p w:rsidR="000C4303" w:rsidRDefault="000C4303" w:rsidP="003259B2">
            <w:pPr>
              <w:jc w:val="left"/>
              <w:rPr>
                <w:i/>
                <w:sz w:val="18"/>
                <w:szCs w:val="18"/>
              </w:rPr>
            </w:pPr>
            <w:r w:rsidRPr="00B91980">
              <w:rPr>
                <w:i/>
                <w:sz w:val="18"/>
                <w:szCs w:val="18"/>
              </w:rPr>
              <w:lastRenderedPageBreak/>
              <w:t>Note: The papers below, which are covered by this agenda item, were discussed by a joint meeting of the SWG and GWG</w:t>
            </w:r>
          </w:p>
          <w:p w:rsidR="000C4303" w:rsidRPr="00D721A6" w:rsidRDefault="000C4303" w:rsidP="003259B2">
            <w:pPr>
              <w:jc w:val="left"/>
              <w:rPr>
                <w:sz w:val="18"/>
                <w:szCs w:val="18"/>
              </w:rPr>
            </w:pPr>
          </w:p>
        </w:tc>
      </w:tr>
      <w:tr w:rsidR="000C4303" w:rsidRPr="00D721A6" w:rsidTr="00E06430">
        <w:tc>
          <w:tcPr>
            <w:tcW w:w="1926" w:type="dxa"/>
          </w:tcPr>
          <w:p w:rsidR="000C4303" w:rsidRPr="00B91980" w:rsidRDefault="000C4303" w:rsidP="003259B2">
            <w:pPr>
              <w:jc w:val="left"/>
              <w:rPr>
                <w:sz w:val="18"/>
                <w:szCs w:val="18"/>
                <w:highlight w:val="cyan"/>
              </w:rPr>
            </w:pPr>
            <w:r w:rsidRPr="00B91980">
              <w:rPr>
                <w:sz w:val="18"/>
                <w:szCs w:val="18"/>
                <w:highlight w:val="cyan"/>
              </w:rPr>
              <w:lastRenderedPageBreak/>
              <w:t>WP11</w:t>
            </w:r>
          </w:p>
        </w:tc>
        <w:tc>
          <w:tcPr>
            <w:tcW w:w="4394" w:type="dxa"/>
          </w:tcPr>
          <w:p w:rsidR="000C4303" w:rsidRPr="00B91980" w:rsidRDefault="000C4303" w:rsidP="003259B2">
            <w:pPr>
              <w:jc w:val="left"/>
              <w:rPr>
                <w:sz w:val="18"/>
                <w:szCs w:val="18"/>
                <w:highlight w:val="cyan"/>
              </w:rPr>
            </w:pPr>
            <w:r w:rsidRPr="00B91980">
              <w:rPr>
                <w:sz w:val="18"/>
                <w:szCs w:val="18"/>
                <w:highlight w:val="cyan"/>
              </w:rPr>
              <w:t>The impact of the site elevation of the desired and the undesired facility on the D/U in the calculation of the minimum separation distance.</w:t>
            </w:r>
          </w:p>
        </w:tc>
        <w:tc>
          <w:tcPr>
            <w:tcW w:w="2745" w:type="dxa"/>
          </w:tcPr>
          <w:p w:rsidR="000C4303" w:rsidRPr="00B91980" w:rsidRDefault="000C4303" w:rsidP="003259B2">
            <w:pPr>
              <w:jc w:val="left"/>
              <w:rPr>
                <w:sz w:val="18"/>
                <w:szCs w:val="18"/>
                <w:highlight w:val="cyan"/>
              </w:rPr>
            </w:pPr>
            <w:r w:rsidRPr="00B91980">
              <w:rPr>
                <w:sz w:val="18"/>
                <w:szCs w:val="18"/>
                <w:highlight w:val="cyan"/>
              </w:rPr>
              <w:t>NSP Secretary</w:t>
            </w:r>
          </w:p>
          <w:p w:rsidR="000C4303" w:rsidRPr="00B91980" w:rsidRDefault="000C4303" w:rsidP="003259B2">
            <w:pPr>
              <w:jc w:val="left"/>
              <w:rPr>
                <w:sz w:val="18"/>
                <w:szCs w:val="18"/>
                <w:highlight w:val="cyan"/>
              </w:rPr>
            </w:pPr>
            <w:r w:rsidRPr="00B91980">
              <w:rPr>
                <w:sz w:val="18"/>
                <w:szCs w:val="18"/>
                <w:highlight w:val="cyan"/>
              </w:rPr>
              <w:t>(Robert Witzen)</w:t>
            </w:r>
          </w:p>
        </w:tc>
      </w:tr>
    </w:tbl>
    <w:p w:rsidR="000C4303" w:rsidRPr="00D721A6" w:rsidRDefault="000C4303" w:rsidP="000C4303">
      <w:pPr>
        <w:pStyle w:val="1Heading"/>
        <w:numPr>
          <w:ilvl w:val="0"/>
          <w:numId w:val="0"/>
        </w:numPr>
      </w:pPr>
    </w:p>
    <w:p w:rsidR="000C4303" w:rsidRPr="00D721A6" w:rsidRDefault="000C4303" w:rsidP="000C4303">
      <w:pPr>
        <w:rPr>
          <w:b/>
          <w:sz w:val="24"/>
        </w:rPr>
      </w:pPr>
      <w:r w:rsidRPr="00D721A6">
        <w:br w:type="page"/>
      </w:r>
    </w:p>
    <w:p w:rsidR="000C4303" w:rsidRPr="00D721A6" w:rsidRDefault="000C4303" w:rsidP="000C4303">
      <w:pPr>
        <w:rPr>
          <w:b/>
          <w:sz w:val="24"/>
        </w:rPr>
      </w:pPr>
      <w:r w:rsidRPr="00D721A6">
        <w:rPr>
          <w:b/>
          <w:sz w:val="24"/>
        </w:rPr>
        <w:lastRenderedPageBreak/>
        <w:t>II. Results of the Discussions</w:t>
      </w:r>
    </w:p>
    <w:p w:rsidR="000C4303" w:rsidRPr="00D721A6" w:rsidRDefault="000C4303" w:rsidP="000C4303">
      <w:pPr>
        <w:ind w:left="426" w:hanging="426"/>
      </w:pPr>
    </w:p>
    <w:p w:rsidR="000C4303" w:rsidRPr="00D721A6" w:rsidRDefault="000C4303" w:rsidP="000C4303">
      <w:pPr>
        <w:rPr>
          <w:b/>
          <w:sz w:val="24"/>
        </w:rPr>
      </w:pPr>
      <w:r w:rsidRPr="000A1C54">
        <w:rPr>
          <w:b/>
          <w:sz w:val="24"/>
          <w:highlight w:val="green"/>
        </w:rPr>
        <w:t>Agenda Item 6a): Signal and compatibility issues in the in the band 108 to 117.975 MHz</w:t>
      </w:r>
    </w:p>
    <w:p w:rsidR="000C4303" w:rsidRPr="00D721A6" w:rsidRDefault="000C4303" w:rsidP="000C4303">
      <w:pPr>
        <w:rPr>
          <w:b/>
          <w:highlight w:val="green"/>
        </w:rPr>
      </w:pPr>
    </w:p>
    <w:p w:rsidR="000C4303" w:rsidRPr="00D721A6" w:rsidRDefault="000C4303" w:rsidP="000C4303">
      <w:pPr>
        <w:rPr>
          <w:i/>
        </w:rPr>
      </w:pPr>
      <w:r w:rsidRPr="00D721A6">
        <w:rPr>
          <w:i/>
        </w:rPr>
        <w:t>Note: The papers below, which are covered by this agenda item, were discussed by the SWG alone.</w:t>
      </w:r>
    </w:p>
    <w:p w:rsidR="000C4303" w:rsidRPr="00D721A6" w:rsidRDefault="000C4303" w:rsidP="000C4303">
      <w:pPr>
        <w:ind w:left="426" w:hanging="426"/>
        <w:rPr>
          <w:b/>
        </w:rPr>
      </w:pPr>
    </w:p>
    <w:p w:rsidR="000C4303" w:rsidRPr="00D721A6" w:rsidRDefault="000C4303" w:rsidP="000C4303">
      <w:pPr>
        <w:ind w:left="426" w:hanging="426"/>
        <w:rPr>
          <w:b/>
          <w:highlight w:val="cyan"/>
        </w:rPr>
      </w:pPr>
      <w:r w:rsidRPr="00D721A6">
        <w:rPr>
          <w:b/>
          <w:highlight w:val="cyan"/>
        </w:rPr>
        <w:t>WP06,</w:t>
      </w:r>
      <w:r w:rsidRPr="00D721A6">
        <w:rPr>
          <w:b/>
          <w:highlight w:val="cyan"/>
        </w:rPr>
        <w:tab/>
        <w:t>Handbook on radio frequency spectrum requirements for civil aviation, Volume II (Doc. 9718)</w:t>
      </w:r>
      <w:r>
        <w:rPr>
          <w:b/>
          <w:highlight w:val="cyan"/>
        </w:rPr>
        <w:t xml:space="preserve">, </w:t>
      </w:r>
      <w:r w:rsidRPr="00D721A6">
        <w:rPr>
          <w:b/>
          <w:highlight w:val="cyan"/>
        </w:rPr>
        <w:t>Chapter 1 – General Methodology for Compatibility Analysis</w:t>
      </w:r>
    </w:p>
    <w:p w:rsidR="000C4303" w:rsidRPr="00DD4595" w:rsidRDefault="000C4303" w:rsidP="000C4303">
      <w:pPr>
        <w:pStyle w:val="SWGreportblock6a"/>
        <w:ind w:left="357" w:hanging="357"/>
      </w:pPr>
      <w:r w:rsidRPr="00DD4595">
        <w:t>This paper presents a proposed revision of the existing Chapter 1 of the current Volume II of the ICAO Handbook on Radio Frequency Spectrum Requirements for Civil Aviation (DOC 9718). The main goal of the revisions is to improve the material on using the ITU-R propagation curves for aeronautical mobile and radionavigation services as contained in the recently updated ITU-R Recommendation P.528-4.</w:t>
      </w:r>
    </w:p>
    <w:p w:rsidR="000C4303" w:rsidRPr="00DD4595" w:rsidRDefault="000C4303" w:rsidP="000C4303">
      <w:pPr>
        <w:pStyle w:val="SWGreportblock6a"/>
        <w:ind w:left="357" w:hanging="357"/>
      </w:pPr>
      <w:r w:rsidRPr="00DD4595">
        <w:t xml:space="preserve"> Members of the SWG observed that in a strict sense the ITU-R Recommendation P.528-4 is only applicable for frequencies above 125 MHz, although its software implementation calculates also values for frequencies below. The SWG was of the opinion, that in this context the following steps should be undertaken:</w:t>
      </w:r>
    </w:p>
    <w:p w:rsidR="000C4303" w:rsidRPr="00DD4595" w:rsidRDefault="000C4303" w:rsidP="000C4303">
      <w:pPr>
        <w:pStyle w:val="SWGreportblock6a"/>
        <w:numPr>
          <w:ilvl w:val="0"/>
          <w:numId w:val="0"/>
        </w:numPr>
        <w:ind w:left="360" w:hanging="360"/>
      </w:pPr>
      <w:r w:rsidRPr="00DD4595">
        <w:rPr>
          <w:b/>
          <w:u w:val="single"/>
        </w:rPr>
        <w:t>Action SWG09/</w:t>
      </w:r>
      <w:r>
        <w:rPr>
          <w:b/>
          <w:u w:val="single"/>
        </w:rPr>
        <w:t>01</w:t>
      </w:r>
      <w:r w:rsidRPr="00DD4595">
        <w:rPr>
          <w:b/>
          <w:u w:val="single"/>
        </w:rPr>
        <w:t>:</w:t>
      </w:r>
      <w:r w:rsidRPr="00230577">
        <w:rPr>
          <w:b/>
        </w:rPr>
        <w:t xml:space="preserve"> </w:t>
      </w:r>
      <w:r w:rsidRPr="00DD4595">
        <w:t>Robert Witzen to analyse the impact of the frequency difference between 108 MHz and 125 MHz on the propagation loss calculated by the software implementation of ITU-R Recommendation P.528-4.</w:t>
      </w:r>
    </w:p>
    <w:p w:rsidR="000C4303" w:rsidRPr="00DD4595" w:rsidRDefault="000C4303" w:rsidP="000C4303">
      <w:pPr>
        <w:pStyle w:val="SWGreportblock6a"/>
        <w:numPr>
          <w:ilvl w:val="0"/>
          <w:numId w:val="0"/>
        </w:numPr>
        <w:ind w:left="360" w:hanging="360"/>
      </w:pPr>
      <w:r w:rsidRPr="00DD4595">
        <w:rPr>
          <w:b/>
          <w:u w:val="single"/>
        </w:rPr>
        <w:t>Action SWG09/</w:t>
      </w:r>
      <w:r>
        <w:rPr>
          <w:b/>
          <w:u w:val="single"/>
        </w:rPr>
        <w:t>02</w:t>
      </w:r>
      <w:r w:rsidRPr="00DD4595">
        <w:rPr>
          <w:b/>
          <w:u w:val="single"/>
        </w:rPr>
        <w:t>:</w:t>
      </w:r>
      <w:r w:rsidRPr="00DD4595">
        <w:t xml:space="preserve"> Robert Witzen to contact </w:t>
      </w:r>
      <w:r>
        <w:t xml:space="preserve">NTIA (member of </w:t>
      </w:r>
      <w:r w:rsidRPr="00DD4595">
        <w:t xml:space="preserve">ITU-R </w:t>
      </w:r>
      <w:r>
        <w:t>S</w:t>
      </w:r>
      <w:r w:rsidRPr="00DD4595">
        <w:t xml:space="preserve">tudy </w:t>
      </w:r>
      <w:r>
        <w:t>G</w:t>
      </w:r>
      <w:r w:rsidRPr="00DD4595">
        <w:t>roup 3</w:t>
      </w:r>
      <w:r>
        <w:t>)</w:t>
      </w:r>
      <w:r w:rsidRPr="00DD4595">
        <w:t xml:space="preserve"> with the request</w:t>
      </w:r>
      <w:r>
        <w:t>,</w:t>
      </w:r>
      <w:r w:rsidRPr="00DD4595">
        <w:t xml:space="preserve"> to officially extend the </w:t>
      </w:r>
      <w:r>
        <w:t>frequency-</w:t>
      </w:r>
      <w:r w:rsidRPr="00DD4595">
        <w:t>range of applicability of ITU-R Recommendation P.528-4 down to 108 MHz</w:t>
      </w:r>
      <w:r>
        <w:t>.</w:t>
      </w:r>
    </w:p>
    <w:p w:rsidR="000C4303" w:rsidRPr="00DD4595" w:rsidRDefault="000C4303" w:rsidP="000C4303">
      <w:pPr>
        <w:pStyle w:val="SWGreportblock6a"/>
        <w:ind w:left="357" w:hanging="357"/>
      </w:pPr>
      <w:r w:rsidRPr="00DD4595">
        <w:t>Furthermore, the SWG disapproved that Figure 1-8 of the proposed Chapter 1 contains 50 % propagation curves</w:t>
      </w:r>
      <w:r>
        <w:t>.</w:t>
      </w:r>
      <w:r w:rsidRPr="00DD4595">
        <w:t xml:space="preserve"> The reason was that the SWG already agreed that the new frequency assignment planning rules to be included into Volume II of ICAO Doc 9718 should be based on 95 %-propagation curves for the Desired signals and 5 %-propagation curves for the Undesired signals. Therefore, the group requested replacing the 50 % propagation curves in Figure 1-8 by a diagram depicting 5 %-</w:t>
      </w:r>
      <w:r>
        <w:t xml:space="preserve"> </w:t>
      </w:r>
      <w:r w:rsidRPr="00DD4595">
        <w:t>and 95 %</w:t>
      </w:r>
      <w:r>
        <w:t>-</w:t>
      </w:r>
      <w:r w:rsidRPr="00DD4595">
        <w:t>propagation curves.</w:t>
      </w:r>
    </w:p>
    <w:p w:rsidR="000C4303" w:rsidRDefault="000C4303" w:rsidP="000C4303">
      <w:pPr>
        <w:ind w:left="426" w:hanging="426"/>
        <w:rPr>
          <w:b/>
        </w:rPr>
      </w:pPr>
    </w:p>
    <w:p w:rsidR="003259B2" w:rsidRDefault="003259B2" w:rsidP="000C4303">
      <w:pPr>
        <w:ind w:left="426" w:hanging="426"/>
        <w:rPr>
          <w:b/>
        </w:rPr>
      </w:pPr>
    </w:p>
    <w:p w:rsidR="003259B2" w:rsidRPr="00D721A6" w:rsidRDefault="003259B2" w:rsidP="000C4303">
      <w:pPr>
        <w:ind w:left="426" w:hanging="426"/>
        <w:rPr>
          <w:b/>
        </w:rPr>
      </w:pPr>
    </w:p>
    <w:p w:rsidR="000C4303" w:rsidRPr="00D721A6" w:rsidRDefault="000C4303" w:rsidP="000C4303">
      <w:pPr>
        <w:ind w:left="426" w:hanging="426"/>
        <w:rPr>
          <w:b/>
          <w:highlight w:val="cyan"/>
        </w:rPr>
      </w:pPr>
      <w:r w:rsidRPr="00D721A6">
        <w:rPr>
          <w:b/>
          <w:highlight w:val="cyan"/>
        </w:rPr>
        <w:t>IP01,</w:t>
      </w:r>
      <w:r w:rsidRPr="00D721A6">
        <w:rPr>
          <w:b/>
          <w:highlight w:val="cyan"/>
        </w:rPr>
        <w:tab/>
        <w:t>ITU-R Recommendation P.528-4, “A propagation prediction method for aeronautical mobile and radionavigation services using the VHF, UHF and SHF bands”</w:t>
      </w:r>
    </w:p>
    <w:p w:rsidR="000C4303" w:rsidRPr="00DD4595" w:rsidRDefault="000C4303" w:rsidP="000C4303">
      <w:pPr>
        <w:pStyle w:val="SWGreportblock6a"/>
        <w:ind w:left="357" w:hanging="357"/>
      </w:pPr>
      <w:r w:rsidRPr="00DD4595">
        <w:t>ITU-R Recommendation P.528 serves as the basis of separation distance calculations for aeronautical navigation aids. The SWG learned from the presentation of IP01 that this recommendation was revised during recent meetings of ITU-R Study Group 3. IP01 presents the full text of Recommen</w:t>
      </w:r>
      <w:r w:rsidR="009759AA">
        <w:softHyphen/>
      </w:r>
      <w:r w:rsidRPr="00DD4595">
        <w:t>dation ITU-R P.528 – 4 together with the source-code of the C++ software implementation of this Recommendation. Furthermore, it contains tabular data of select curves in the form of basic trans</w:t>
      </w:r>
      <w:r w:rsidR="009759AA">
        <w:softHyphen/>
      </w:r>
      <w:r w:rsidRPr="00DD4595">
        <w:t>mission loss vs path distance. The tables represent the data describing the set of curves in the “.csv”</w:t>
      </w:r>
      <w:r w:rsidR="009759AA">
        <w:noBreakHyphen/>
      </w:r>
      <w:r w:rsidRPr="00DD4595">
        <w:t xml:space="preserve">file format, which were once in Annex 3 of P.528-3 and were removed during the revision from P.528-3 to P.528-4. </w:t>
      </w:r>
    </w:p>
    <w:p w:rsidR="000C4303" w:rsidRPr="00DD4595" w:rsidRDefault="000C4303" w:rsidP="000C4303">
      <w:pPr>
        <w:pStyle w:val="SWGreportblock6a"/>
        <w:ind w:left="357" w:hanging="357"/>
      </w:pPr>
      <w:r w:rsidRPr="00DD4595">
        <w:lastRenderedPageBreak/>
        <w:t>The software implementation was developed by the US NTIA/ITS</w:t>
      </w:r>
      <w:r>
        <w:t xml:space="preserve"> (National Telecommunications and Information Administration/Institute of Telecommunication Sciences)</w:t>
      </w:r>
      <w:r w:rsidRPr="00DD4595">
        <w:t>. The compiled software program named “P.528 GUI” can be downloaded from the web site https://github.com/NTIA/p528-gui/releases. It allows plotting propagation curves in a graph and exporting them in .csv file format.</w:t>
      </w:r>
      <w:r>
        <w:t xml:space="preserve"> The meeting requested to make this software tool available on the repository section of ICAO FSMP web site.</w:t>
      </w:r>
    </w:p>
    <w:p w:rsidR="000C4303" w:rsidRPr="00DD4595" w:rsidRDefault="000C4303" w:rsidP="000C4303">
      <w:pPr>
        <w:pStyle w:val="SWGreportblock6a"/>
        <w:ind w:left="357" w:hanging="357"/>
      </w:pPr>
      <w:r w:rsidRPr="00DD4595">
        <w:t xml:space="preserve">In the discussion of IP01, it was pointed out that current frequency assignment planning rules for VHF radiocommunication contained in Volume II of ICAO Doc 9718 </w:t>
      </w:r>
      <w:r>
        <w:t xml:space="preserve">are </w:t>
      </w:r>
      <w:r w:rsidRPr="00DD4595">
        <w:t>based on 50 %-propagation curves of ITU-R P.528 – 3. Future frequency assignment planning rules for radionavigation systems to be included into Volume II of ICAO Doc 9718 will be based on 95 %-propagation curves of ITU-R P.528 – 4 for the Desired signals and 5 %-propagation curves of ITU-R P.528 – 4 for the Undesired signals. A revision of the frequency assignment planning rules for VHF radiocommunication using 95</w:t>
      </w:r>
      <w:r>
        <w:t xml:space="preserve"> </w:t>
      </w:r>
      <w:r w:rsidRPr="00DD4595">
        <w:t>%/5</w:t>
      </w:r>
      <w:r>
        <w:t xml:space="preserve"> </w:t>
      </w:r>
      <w:r w:rsidRPr="00DD4595">
        <w:t>% propagation for Desired and for Undesired signal may be considered in the future.</w:t>
      </w:r>
    </w:p>
    <w:p w:rsidR="000C4303" w:rsidRPr="00D721A6" w:rsidRDefault="000C4303" w:rsidP="000C4303">
      <w:pPr>
        <w:ind w:left="426" w:hanging="426"/>
        <w:rPr>
          <w:b/>
          <w:highlight w:val="cyan"/>
        </w:rPr>
      </w:pPr>
    </w:p>
    <w:p w:rsidR="000C4303" w:rsidRPr="00D721A6" w:rsidRDefault="000C4303" w:rsidP="000C4303">
      <w:pPr>
        <w:ind w:left="426" w:hanging="426"/>
        <w:rPr>
          <w:b/>
          <w:highlight w:val="cyan"/>
        </w:rPr>
      </w:pPr>
      <w:r w:rsidRPr="00D721A6">
        <w:rPr>
          <w:b/>
          <w:highlight w:val="cyan"/>
        </w:rPr>
        <w:t>WP08, rev.1</w:t>
      </w:r>
      <w:r>
        <w:rPr>
          <w:b/>
          <w:highlight w:val="cyan"/>
        </w:rPr>
        <w:t xml:space="preserve">, </w:t>
      </w:r>
      <w:r w:rsidRPr="00D721A6">
        <w:rPr>
          <w:b/>
          <w:highlight w:val="cyan"/>
        </w:rPr>
        <w:t>Handbook on radio frequency spectrum requirements for civil aviation, Volume II (Doc. 9718)</w:t>
      </w:r>
      <w:r>
        <w:rPr>
          <w:b/>
          <w:highlight w:val="cyan"/>
        </w:rPr>
        <w:t>,</w:t>
      </w:r>
      <w:r w:rsidRPr="00D721A6">
        <w:rPr>
          <w:b/>
          <w:highlight w:val="cyan"/>
        </w:rPr>
        <w:t xml:space="preserve"> Chapter 4 – VOR</w:t>
      </w:r>
    </w:p>
    <w:p w:rsidR="000C4303" w:rsidRPr="00DD4595" w:rsidRDefault="000C4303" w:rsidP="000C4303">
      <w:pPr>
        <w:pStyle w:val="SWGreportblock6a"/>
        <w:ind w:left="357" w:hanging="357"/>
      </w:pPr>
      <w:r w:rsidRPr="00DD4595">
        <w:t>This paper presents material for the frequency assignment planning of the VOR for incorporation in Chapter 4 of Vol. II of ICAO Doc 9718. It introduces for the frequency assignment planning of VOR systems the generic method that has been proposed in a separate working paper. This paper also contains material to assess compatibility between ILS Localizer and VOR systems.</w:t>
      </w:r>
    </w:p>
    <w:p w:rsidR="000C4303" w:rsidRPr="00DD4595" w:rsidRDefault="000C4303" w:rsidP="000C4303">
      <w:pPr>
        <w:pStyle w:val="SWGreportblock6a"/>
        <w:ind w:left="357" w:hanging="357"/>
      </w:pPr>
      <w:r w:rsidRPr="00DD4595">
        <w:t>In the discussion, the SWG provided change requests and comments on WP08, which will be taken into account by the author in the next update of the paper. The SWG agreed that the material is expected to reach an adequate maturity level to be adopted by the April 2020 meeting of ICAO NSP to recommend to ICAO FSMP its inclusion into ICAO Doc 9718, Volume II.</w:t>
      </w:r>
    </w:p>
    <w:p w:rsidR="000C4303" w:rsidRPr="00D721A6" w:rsidRDefault="000C4303" w:rsidP="000C4303">
      <w:pPr>
        <w:ind w:left="426" w:hanging="426"/>
        <w:rPr>
          <w:b/>
          <w:highlight w:val="cyan"/>
        </w:rPr>
      </w:pPr>
    </w:p>
    <w:p w:rsidR="000C4303" w:rsidRPr="00D721A6" w:rsidRDefault="000C4303" w:rsidP="000C4303">
      <w:pPr>
        <w:ind w:left="426" w:hanging="426"/>
        <w:rPr>
          <w:b/>
          <w:highlight w:val="cyan"/>
        </w:rPr>
      </w:pPr>
      <w:r w:rsidRPr="00D721A6">
        <w:rPr>
          <w:b/>
          <w:highlight w:val="cyan"/>
        </w:rPr>
        <w:t>WP07,</w:t>
      </w:r>
      <w:r>
        <w:rPr>
          <w:b/>
          <w:highlight w:val="cyan"/>
        </w:rPr>
        <w:t xml:space="preserve"> rev.1, </w:t>
      </w:r>
      <w:r w:rsidRPr="00D721A6">
        <w:rPr>
          <w:b/>
          <w:highlight w:val="cyan"/>
        </w:rPr>
        <w:t>Handbook on radio frequency spectrum requirements for civil aviation, Volume II (Doc. 9718)</w:t>
      </w:r>
      <w:r>
        <w:rPr>
          <w:b/>
          <w:highlight w:val="cyan"/>
        </w:rPr>
        <w:t>,</w:t>
      </w:r>
      <w:r w:rsidRPr="00D721A6">
        <w:rPr>
          <w:b/>
          <w:highlight w:val="cyan"/>
        </w:rPr>
        <w:t xml:space="preserve"> Chapter 3 – ILS</w:t>
      </w:r>
    </w:p>
    <w:p w:rsidR="000C4303" w:rsidRPr="00DD4595" w:rsidRDefault="000C4303" w:rsidP="000C4303">
      <w:pPr>
        <w:pStyle w:val="SWGreportblock6a"/>
        <w:ind w:left="357" w:hanging="357"/>
      </w:pPr>
      <w:r w:rsidRPr="00DD4595">
        <w:t>This paper presents material for the frequency assignment planning of ILS for incor</w:t>
      </w:r>
      <w:r w:rsidRPr="00DD4595">
        <w:softHyphen/>
        <w:t>poration in Chapter 3 of the Handbook on Radio Frequency Spectrum Requirements for Civil Aviation (DOC 9718) volume II. It introduces for the frequency assignment planning of ILS systems the generic method that has been proposed in a separate working paper. This paper also contains material to assess compatibility between Localizer and VOR systems as well as GBAS/VDB.</w:t>
      </w:r>
    </w:p>
    <w:p w:rsidR="000C4303" w:rsidRPr="00DD4595" w:rsidRDefault="000C4303" w:rsidP="000C4303">
      <w:pPr>
        <w:pStyle w:val="SWGreportblock6a"/>
        <w:ind w:left="357" w:hanging="357"/>
      </w:pPr>
      <w:r w:rsidRPr="00DD4595">
        <w:t>In the discussion, the SWG provided change requests and comments on WP08</w:t>
      </w:r>
      <w:r>
        <w:t>. These were taken into account and revision of WP07 was made available immediately after the discussion</w:t>
      </w:r>
      <w:r w:rsidRPr="00DD4595">
        <w:t xml:space="preserve"> by the author of the paper. The SWG agreed that the material is expected to reach an adequate maturity level to be adopted by the April 2020 meeting of ICAO NSP to recommend to ICAO FSMP its inclusion into ICAO Doc 9718, Volume II.</w:t>
      </w:r>
    </w:p>
    <w:p w:rsidR="000C4303" w:rsidRPr="00D721A6" w:rsidRDefault="000C4303" w:rsidP="000C4303">
      <w:pPr>
        <w:ind w:left="426" w:hanging="426"/>
      </w:pPr>
    </w:p>
    <w:p w:rsidR="000C4303" w:rsidRPr="00D721A6" w:rsidRDefault="000C4303" w:rsidP="000C4303">
      <w:r w:rsidRPr="00DD4595">
        <w:rPr>
          <w:i/>
        </w:rPr>
        <w:t>Note: The papers mentioned below, which are covered by this agenda item, were discussed by a joint meeting of the SWG and the GWG.</w:t>
      </w:r>
    </w:p>
    <w:p w:rsidR="000C4303" w:rsidRPr="00D721A6" w:rsidRDefault="000C4303" w:rsidP="000C4303">
      <w:pPr>
        <w:ind w:left="426" w:hanging="426"/>
      </w:pPr>
    </w:p>
    <w:p w:rsidR="000C4303" w:rsidRDefault="000C4303" w:rsidP="000C4303">
      <w:pPr>
        <w:ind w:left="426" w:hanging="426"/>
      </w:pPr>
    </w:p>
    <w:p w:rsidR="003259B2" w:rsidRPr="00D721A6" w:rsidRDefault="003259B2" w:rsidP="000C4303">
      <w:pPr>
        <w:ind w:left="426" w:hanging="426"/>
      </w:pPr>
    </w:p>
    <w:p w:rsidR="000C4303" w:rsidRPr="00D721A6" w:rsidRDefault="000C4303" w:rsidP="000C4303">
      <w:pPr>
        <w:ind w:left="426" w:hanging="426"/>
        <w:rPr>
          <w:b/>
          <w:highlight w:val="cyan"/>
        </w:rPr>
      </w:pPr>
      <w:r w:rsidRPr="00D721A6">
        <w:rPr>
          <w:b/>
          <w:highlight w:val="cyan"/>
        </w:rPr>
        <w:lastRenderedPageBreak/>
        <w:t>WP10, rev.</w:t>
      </w:r>
      <w:r>
        <w:rPr>
          <w:b/>
          <w:highlight w:val="cyan"/>
        </w:rPr>
        <w:t xml:space="preserve">2, </w:t>
      </w:r>
      <w:r w:rsidRPr="00D721A6">
        <w:rPr>
          <w:b/>
          <w:highlight w:val="cyan"/>
        </w:rPr>
        <w:t>Handbook on radio frequency spectrum requirements for civil aviation, Volume II (Doc. 9718), Chapter 6 – GBAS/VDB</w:t>
      </w:r>
    </w:p>
    <w:p w:rsidR="000C4303" w:rsidRPr="00DD4595" w:rsidRDefault="000C4303" w:rsidP="000C4303">
      <w:pPr>
        <w:pStyle w:val="SWGreportblock6a"/>
        <w:ind w:left="357" w:hanging="357"/>
      </w:pPr>
      <w:r w:rsidRPr="00DD4595">
        <w:t>This paper presents material on internationally applicable frequency assignment planning rules for GBAS/VDB for incorporation as Chapter 6 of Volume II into the Handbook on Radio Frequency Spectrum Requirements for Civil Aviation (DOC 9718). This paper also contains material to assess compatibility between Localizer and VOR systems as well as GBAS/VDB. The meeting noted that material on the compatibility between GBAS VDB and VHF radiocommunication as well as between GBAS VDB and VDL Mode 4 is still under development.</w:t>
      </w:r>
    </w:p>
    <w:p w:rsidR="000C4303" w:rsidRPr="00DD4595" w:rsidRDefault="000C4303" w:rsidP="000C4303">
      <w:pPr>
        <w:pStyle w:val="SWGreportblock6a"/>
        <w:ind w:left="357" w:hanging="357"/>
      </w:pPr>
      <w:r w:rsidRPr="00DD4595">
        <w:t>During the presentation of this paper, various change requests and comments by members of the meeting were discussed. In particular, change requests on the specification of the GBAS/VDB Designated Operational Coverage (DOC) were provided. Among other things, the meeting recommended that the ceiling of the DOC should follow the earth curvature at 10 000 feet above the runway threshold. The group also recommended to</w:t>
      </w:r>
      <w:r>
        <w:t xml:space="preserve"> ICAO regional offices to</w:t>
      </w:r>
      <w:r w:rsidRPr="00DD4595">
        <w:t xml:space="preserve"> collect coordinates of the runway thresholds in the frame of the international frequency coordination. In cases, where such information is not available, the coverage could be referenced with respect to the location of the GBAS VDB transmitter and the DOC of the GBAS should be extended by 3</w:t>
      </w:r>
      <w:r>
        <w:t> </w:t>
      </w:r>
      <w:r w:rsidRPr="00DD4595">
        <w:t>NM in such a case.</w:t>
      </w:r>
    </w:p>
    <w:p w:rsidR="000C4303" w:rsidRPr="00DD4595" w:rsidRDefault="000C4303" w:rsidP="000C4303">
      <w:pPr>
        <w:pStyle w:val="SWGreportblock6a"/>
        <w:ind w:left="357" w:hanging="357"/>
      </w:pPr>
      <w:r w:rsidRPr="00DD4595">
        <w:t xml:space="preserve">The author of the paper implemented the change requests by the meeting into revision 2 of the paper and made it available to ICAO NSP immediately after the discussion. In this context, the SWG rapporteur announced that he will circulate the revised paper among members of ICAO FSMP (the group in charge of maintaining ICAO Doc 9718) in order to collect feedback from that group by correspondence. An update of this paper taking into account that feedback will be presented to the spring 2020 meeting of ICAO NSP for further review. </w:t>
      </w:r>
    </w:p>
    <w:p w:rsidR="000C4303" w:rsidRPr="00D721A6" w:rsidRDefault="000C4303" w:rsidP="000C4303">
      <w:pPr>
        <w:ind w:left="426" w:hanging="426"/>
      </w:pPr>
    </w:p>
    <w:p w:rsidR="000C4303" w:rsidRPr="00D721A6" w:rsidRDefault="000C4303" w:rsidP="000C4303">
      <w:pPr>
        <w:ind w:left="426" w:hanging="426"/>
        <w:rPr>
          <w:b/>
          <w:highlight w:val="cyan"/>
        </w:rPr>
      </w:pPr>
      <w:r w:rsidRPr="00D721A6">
        <w:rPr>
          <w:b/>
          <w:highlight w:val="cyan"/>
        </w:rPr>
        <w:t>WP24, rev.1</w:t>
      </w:r>
      <w:r>
        <w:rPr>
          <w:b/>
          <w:highlight w:val="cyan"/>
        </w:rPr>
        <w:t xml:space="preserve">, </w:t>
      </w:r>
      <w:r w:rsidRPr="00D721A6">
        <w:rPr>
          <w:b/>
          <w:highlight w:val="cyan"/>
        </w:rPr>
        <w:t>Proposed ICAO guidance on ‘GBAS/VDB siting’ and ‘same-airport frequency compatibility’</w:t>
      </w:r>
    </w:p>
    <w:p w:rsidR="000C4303" w:rsidRPr="00DD4595" w:rsidRDefault="000C4303" w:rsidP="000C4303">
      <w:pPr>
        <w:pStyle w:val="SWGreportblock6a"/>
        <w:ind w:left="357" w:hanging="357"/>
      </w:pPr>
      <w:r w:rsidRPr="00DD4595">
        <w:t>This working paper presents proposed ICAO guidance material on ‘GBAS/VDB siting’ and ‘same-airport compatibility’. Such guidance material is deemed necessary in order to complement international frequency assignment planning criteria for GBAS/VDB, which may not be sufficient to ensure finding GBAS/VDB frequencies</w:t>
      </w:r>
      <w:r>
        <w:t>,</w:t>
      </w:r>
      <w:r w:rsidRPr="00DD4595">
        <w:t xml:space="preserve"> which are compatible with existing ILS Localizer and or VOR systems at the same airport.</w:t>
      </w:r>
    </w:p>
    <w:p w:rsidR="000C4303" w:rsidRPr="00DD4595" w:rsidRDefault="000C4303" w:rsidP="000C4303">
      <w:pPr>
        <w:pStyle w:val="SWGreportblock6a"/>
        <w:ind w:left="357" w:hanging="357"/>
      </w:pPr>
      <w:r w:rsidRPr="00DD4595">
        <w:t>During the presentation of this paper, various change requests and comments by members of the meeting were discussed. Revision 1 of the paper, produced by the end of this discussion, contains the change requests agreed by the meeting. Nevertheless, the meeting was of the opinion that this paper needs to be further evolved, before it could be published. In particular, on the ‘GBAS/VDB siting’-guidance the meeting recommended to provide further information of the derivation of values, either by means of adding references or by means of explicitly outline the derivation. Furthermore, changes with respect to ‘GBAS/VDB siting’-guidance currently in Annex 10 should be made visible more clearly. More material on mitigation measures, if some of the ‘same airport compatibility’-conditions are not met, was also considered to be desirable.</w:t>
      </w:r>
    </w:p>
    <w:p w:rsidR="000C4303" w:rsidRPr="00DD4595" w:rsidRDefault="000C4303" w:rsidP="000C4303">
      <w:pPr>
        <w:pStyle w:val="SWGreportblock6a"/>
        <w:ind w:left="357" w:hanging="357"/>
      </w:pPr>
      <w:r w:rsidRPr="00DD4595">
        <w:t xml:space="preserve">The Members of the ‘GBAS/VDB same-airport compatibility correspondence group’, who developed this paper agreed to continue the work in order to produce a mature paper until the subsequent ICAO NSP meeting. </w:t>
      </w:r>
    </w:p>
    <w:p w:rsidR="000C4303" w:rsidRPr="00DD4595" w:rsidRDefault="000C4303" w:rsidP="000C4303">
      <w:pPr>
        <w:pStyle w:val="SWGreportblock6a"/>
        <w:numPr>
          <w:ilvl w:val="0"/>
          <w:numId w:val="0"/>
        </w:numPr>
        <w:ind w:left="720" w:hanging="360"/>
      </w:pPr>
    </w:p>
    <w:p w:rsidR="000C4303" w:rsidRPr="00DD4595" w:rsidRDefault="000C4303" w:rsidP="000C4303">
      <w:pPr>
        <w:pStyle w:val="SWGreportblock6a"/>
        <w:numPr>
          <w:ilvl w:val="0"/>
          <w:numId w:val="0"/>
        </w:numPr>
        <w:ind w:left="360" w:hanging="360"/>
        <w:rPr>
          <w:b/>
          <w:u w:val="single"/>
        </w:rPr>
      </w:pPr>
      <w:r w:rsidRPr="00DD4595">
        <w:rPr>
          <w:b/>
          <w:u w:val="single"/>
        </w:rPr>
        <w:lastRenderedPageBreak/>
        <w:t>Action SWG09/</w:t>
      </w:r>
      <w:r>
        <w:rPr>
          <w:b/>
          <w:u w:val="single"/>
        </w:rPr>
        <w:t>03</w:t>
      </w:r>
      <w:r w:rsidRPr="00DD4595">
        <w:rPr>
          <w:b/>
          <w:u w:val="single"/>
        </w:rPr>
        <w:t>:</w:t>
      </w:r>
      <w:r w:rsidRPr="00DD4595">
        <w:t xml:space="preserve"> ‘GBAS/VDB same-airport compatibility correspondence group’ to further evolve the draft ICAO guidance on ‘GBAS/VDB siting’ and ‘Same-airport frequency compatibility’ until the </w:t>
      </w:r>
      <w:r>
        <w:t xml:space="preserve">April </w:t>
      </w:r>
      <w:r w:rsidRPr="00DD4595">
        <w:t>2020 meeting of ICAO NSP</w:t>
      </w:r>
      <w:r>
        <w:t>.</w:t>
      </w:r>
    </w:p>
    <w:p w:rsidR="000C4303" w:rsidRPr="00DD4595" w:rsidRDefault="000C4303" w:rsidP="000C4303">
      <w:pPr>
        <w:pStyle w:val="SWGreportblock6a"/>
        <w:numPr>
          <w:ilvl w:val="0"/>
          <w:numId w:val="0"/>
        </w:numPr>
        <w:ind w:left="360" w:hanging="360"/>
      </w:pPr>
      <w:r w:rsidRPr="00DD4595">
        <w:rPr>
          <w:b/>
          <w:u w:val="single"/>
        </w:rPr>
        <w:t>Action SWG09/</w:t>
      </w:r>
      <w:r>
        <w:rPr>
          <w:b/>
          <w:u w:val="single"/>
        </w:rPr>
        <w:t>04</w:t>
      </w:r>
      <w:r w:rsidRPr="00DD4595">
        <w:rPr>
          <w:b/>
          <w:u w:val="single"/>
        </w:rPr>
        <w:t>:</w:t>
      </w:r>
      <w:r w:rsidRPr="00DD4595">
        <w:t xml:space="preserve"> Matt Harris, to edit section 6.1 of the draft guidance on ‘Same-airport frequency compatibility’ to define ‘short duration outage’ and reference material on continuity in RTCA/DO-253.</w:t>
      </w:r>
    </w:p>
    <w:p w:rsidR="000C4303" w:rsidRPr="00DD4595" w:rsidRDefault="000C4303" w:rsidP="000C4303">
      <w:pPr>
        <w:pStyle w:val="SWGreportblock6a"/>
        <w:ind w:left="357" w:hanging="357"/>
      </w:pPr>
      <w:r w:rsidRPr="00DD4595">
        <w:t>Moreover, a discussion took place</w:t>
      </w:r>
      <w:r>
        <w:t>,</w:t>
      </w:r>
      <w:r w:rsidRPr="00DD4595">
        <w:t xml:space="preserve"> on how the ‘GBAS/VDB siting and Same-airport frequency compatibility’-guidance should be published. The following options were explored, without reaching a final decision:</w:t>
      </w:r>
    </w:p>
    <w:p w:rsidR="000C4303" w:rsidRPr="00DD4595" w:rsidRDefault="000C4303" w:rsidP="000C4303">
      <w:pPr>
        <w:pStyle w:val="SWGreportblock6a"/>
        <w:numPr>
          <w:ilvl w:val="0"/>
          <w:numId w:val="31"/>
        </w:numPr>
      </w:pPr>
      <w:r w:rsidRPr="00DD4595">
        <w:t>Publish both the guidance on ‘GBAS/VDB siting’ and the ‘Same-airport frequency compatibility’ in ICAO Annex 10. =&gt; This option was deemed unrealistic by the meeting due to the size and level of detail of the material.</w:t>
      </w:r>
    </w:p>
    <w:p w:rsidR="000C4303" w:rsidRPr="00DD4595" w:rsidRDefault="000C4303" w:rsidP="000C4303">
      <w:pPr>
        <w:pStyle w:val="SWGreportblock6a"/>
        <w:numPr>
          <w:ilvl w:val="0"/>
          <w:numId w:val="31"/>
        </w:numPr>
      </w:pPr>
      <w:r w:rsidRPr="00DD4595">
        <w:t>Publish both the guidance on ‘GBAS/VDB siting’ and the ‘Same-airport frequency compatibility’ in a new, dedicated “ICAO Manual on GBAS-Siting”. =&gt; The group recommended discussing the feasibility of this option with the ICAO secretariat.</w:t>
      </w:r>
    </w:p>
    <w:p w:rsidR="000C4303" w:rsidRPr="00DD4595" w:rsidRDefault="000C4303" w:rsidP="000C4303">
      <w:pPr>
        <w:pStyle w:val="SWGreportblock6a"/>
        <w:numPr>
          <w:ilvl w:val="0"/>
          <w:numId w:val="31"/>
        </w:numPr>
      </w:pPr>
      <w:r w:rsidRPr="00DD4595">
        <w:t>Publish the guidance on ‘GBAS/VDB siting’ in ICAO Annex 10, Vol. I, Att. D, and publish the guidance on ‘Same-airport frequency compatibility’ in ICAO Doc 9718, Vol.</w:t>
      </w:r>
      <w:r>
        <w:t> </w:t>
      </w:r>
      <w:r w:rsidRPr="00DD4595">
        <w:t xml:space="preserve">II. =&gt; This option was regarded as achievable. </w:t>
      </w:r>
      <w:r w:rsidR="00E208E9" w:rsidRPr="00DD4595">
        <w:t>However,</w:t>
      </w:r>
      <w:r w:rsidRPr="00DD4595">
        <w:t xml:space="preserve"> members of the meeting were of the opinion that the ‘Same-airport frequency compatibility’- material needed to be revised in order to allow readers of ICAO Doc 9718 with no background knowledge to apply such guidance.</w:t>
      </w:r>
    </w:p>
    <w:p w:rsidR="000C4303" w:rsidRPr="00DD4595" w:rsidRDefault="000C4303" w:rsidP="000C4303">
      <w:pPr>
        <w:pStyle w:val="SWGreportblock6a"/>
        <w:numPr>
          <w:ilvl w:val="0"/>
          <w:numId w:val="31"/>
        </w:numPr>
      </w:pPr>
      <w:r w:rsidRPr="00DD4595">
        <w:t>Publish both the guidance on ‘GBAS/VDB siting’ and the ‘Same-airport frequency compatibility’ in a “ground MOPS” like EUROCAE ED</w:t>
      </w:r>
      <w:r>
        <w:t>-</w:t>
      </w:r>
      <w:r w:rsidRPr="00DD4595">
        <w:t>114</w:t>
      </w:r>
      <w:r>
        <w:t xml:space="preserve">B (i.e. in </w:t>
      </w:r>
      <w:r w:rsidRPr="004C1758">
        <w:t xml:space="preserve">Appendix H </w:t>
      </w:r>
      <w:r>
        <w:t xml:space="preserve">of </w:t>
      </w:r>
      <w:r w:rsidRPr="004C1758">
        <w:t>EUROCAE ED-114B Change</w:t>
      </w:r>
      <w:r>
        <w:t> </w:t>
      </w:r>
      <w:r w:rsidRPr="004C1758">
        <w:t>1</w:t>
      </w:r>
      <w:r>
        <w:t>)</w:t>
      </w:r>
      <w:r w:rsidRPr="00DD4595">
        <w:t xml:space="preserve"> and referencing the relevant parts of ED</w:t>
      </w:r>
      <w:r>
        <w:t>-</w:t>
      </w:r>
      <w:r w:rsidRPr="00DD4595">
        <w:t>114</w:t>
      </w:r>
      <w:r>
        <w:t>B</w:t>
      </w:r>
      <w:r w:rsidRPr="00DD4595">
        <w:t xml:space="preserve"> in ICAO Annex 10 =&gt; The group recommended discussing the feasibility of this option with EUROCAE WG28.</w:t>
      </w:r>
    </w:p>
    <w:p w:rsidR="000C4303" w:rsidRPr="00DD4595" w:rsidRDefault="000C4303" w:rsidP="000C4303">
      <w:pPr>
        <w:pStyle w:val="SWGreportblock6a"/>
        <w:ind w:left="357" w:hanging="357"/>
      </w:pPr>
      <w:r w:rsidRPr="00DD4595">
        <w:t>The meeting agreed to aim at a decision on the optimal way to publish the guidance on ‘GBAS/VDB siting’ and ‘Same-airport frequency compatibility’ at the spring 2020 meeting of ICAO NSP.</w:t>
      </w:r>
    </w:p>
    <w:p w:rsidR="000C4303" w:rsidRPr="00D721A6" w:rsidRDefault="000C4303" w:rsidP="000C4303">
      <w:pPr>
        <w:ind w:left="426" w:hanging="426"/>
      </w:pPr>
    </w:p>
    <w:p w:rsidR="000C4303" w:rsidRPr="00D721A6" w:rsidRDefault="000C4303" w:rsidP="000C4303">
      <w:pPr>
        <w:rPr>
          <w:b/>
          <w:highlight w:val="cyan"/>
        </w:rPr>
      </w:pPr>
      <w:r w:rsidRPr="00D721A6">
        <w:rPr>
          <w:b/>
          <w:highlight w:val="cyan"/>
        </w:rPr>
        <w:t>WP37</w:t>
      </w:r>
      <w:r>
        <w:rPr>
          <w:b/>
          <w:highlight w:val="cyan"/>
        </w:rPr>
        <w:t>,</w:t>
      </w:r>
      <w:r w:rsidRPr="00D721A6">
        <w:rPr>
          <w:b/>
          <w:highlight w:val="cyan"/>
        </w:rPr>
        <w:tab/>
        <w:t>Ideas for GBAS Expanded Service Volume (ESV) at Frankfurt Airport</w:t>
      </w:r>
    </w:p>
    <w:p w:rsidR="000C4303" w:rsidRPr="003442AB" w:rsidRDefault="000C4303" w:rsidP="000C4303">
      <w:pPr>
        <w:pStyle w:val="SWGreportblock6a"/>
        <w:ind w:left="357" w:hanging="357"/>
      </w:pPr>
      <w:r w:rsidRPr="003442AB">
        <w:t xml:space="preserve">WP37 reports about the status of the DFS work to enable the GBAS Expanded Service Volume (ESV) option in Germany and to prepare an implementation at Frankfurt airport. The paper proposes to use the provided information for a discussion at NSP to ensure </w:t>
      </w:r>
      <w:r w:rsidR="00E208E9" w:rsidRPr="003442AB">
        <w:t>worldwide harmonised</w:t>
      </w:r>
      <w:r w:rsidRPr="003442AB">
        <w:t xml:space="preserve"> implemen</w:t>
      </w:r>
      <w:r w:rsidRPr="003442AB">
        <w:softHyphen/>
        <w:t xml:space="preserve">tation by documenting best practice in ICAO </w:t>
      </w:r>
      <w:r>
        <w:t>Doc</w:t>
      </w:r>
      <w:r w:rsidRPr="003442AB">
        <w:t xml:space="preserve"> 8071, Vol. II, </w:t>
      </w:r>
      <w:r>
        <w:t>C</w:t>
      </w:r>
      <w:r w:rsidRPr="003442AB">
        <w:t xml:space="preserve">hapter 4 and by adding guidance </w:t>
      </w:r>
      <w:r>
        <w:t>to ICAO Doc</w:t>
      </w:r>
      <w:r w:rsidRPr="003442AB">
        <w:t xml:space="preserve"> 9718</w:t>
      </w:r>
      <w:r>
        <w:t>,</w:t>
      </w:r>
      <w:r w:rsidRPr="003442AB">
        <w:t xml:space="preserve"> Vol. II</w:t>
      </w:r>
      <w:r>
        <w:t>, C</w:t>
      </w:r>
      <w:r w:rsidRPr="003442AB">
        <w:t>hapter 6.</w:t>
      </w:r>
    </w:p>
    <w:p w:rsidR="000C4303" w:rsidRPr="003442AB" w:rsidRDefault="000C4303" w:rsidP="000C4303">
      <w:pPr>
        <w:pStyle w:val="SWGreportblock6a"/>
        <w:ind w:left="357" w:hanging="357"/>
      </w:pPr>
      <w:r w:rsidRPr="003442AB">
        <w:t xml:space="preserve">In the discussion, the meeting was of the opinion that existing provisions in the current drafts of ICAO </w:t>
      </w:r>
      <w:r>
        <w:t>D</w:t>
      </w:r>
      <w:r w:rsidRPr="003442AB">
        <w:t xml:space="preserve">oc 8071, Vol. II, </w:t>
      </w:r>
      <w:r>
        <w:t>C</w:t>
      </w:r>
      <w:r w:rsidRPr="003442AB">
        <w:t xml:space="preserve">hapter 4 </w:t>
      </w:r>
      <w:r>
        <w:t xml:space="preserve">and </w:t>
      </w:r>
      <w:r w:rsidRPr="003442AB">
        <w:t xml:space="preserve">ICAO </w:t>
      </w:r>
      <w:r>
        <w:t>D</w:t>
      </w:r>
      <w:r w:rsidRPr="003442AB">
        <w:t>oc 9718 Vol. II</w:t>
      </w:r>
      <w:r>
        <w:t>,</w:t>
      </w:r>
      <w:r w:rsidRPr="003442AB">
        <w:t xml:space="preserve"> </w:t>
      </w:r>
      <w:r>
        <w:t>C</w:t>
      </w:r>
      <w:r w:rsidRPr="003442AB">
        <w:t xml:space="preserve">hapter 6 </w:t>
      </w:r>
      <w:r>
        <w:t>were</w:t>
      </w:r>
      <w:r w:rsidRPr="003442AB">
        <w:t xml:space="preserve"> sufficient to support the implementation of GBAS Expanded Service Volume</w:t>
      </w:r>
      <w:r>
        <w:t>s</w:t>
      </w:r>
      <w:r w:rsidRPr="003442AB">
        <w:t>.</w:t>
      </w:r>
      <w:r>
        <w:t xml:space="preserve"> Moreover, members of the meeting emphasized, that for the ESV a ‘sectored coverage’ should be avoided in order to simplify the flight inspection.</w:t>
      </w:r>
    </w:p>
    <w:p w:rsidR="000C4303" w:rsidRPr="003442AB" w:rsidRDefault="000C4303" w:rsidP="000C4303">
      <w:pPr>
        <w:pStyle w:val="SWGreportblock6a"/>
        <w:ind w:left="357" w:hanging="357"/>
      </w:pPr>
      <w:r>
        <w:lastRenderedPageBreak/>
        <w:t>Other m</w:t>
      </w:r>
      <w:r w:rsidRPr="003442AB">
        <w:t xml:space="preserve">embers of the meeting recommended using a sloping floor for the </w:t>
      </w:r>
      <w:r>
        <w:t>‘</w:t>
      </w:r>
      <w:r w:rsidRPr="003442AB">
        <w:t>Expanded Service Volume</w:t>
      </w:r>
      <w:r>
        <w:t>’</w:t>
      </w:r>
      <w:r w:rsidRPr="003442AB">
        <w:t>. This may allow even extending the operational range beyond the value of 66 km, which was proposed in the paper for Frankfurt airport. At the edge of the desired ESV service volume, the floor should stay 550 ft. above the “</w:t>
      </w:r>
      <w:r>
        <w:t>R</w:t>
      </w:r>
      <w:r w:rsidRPr="003442AB">
        <w:t xml:space="preserve">adar </w:t>
      </w:r>
      <w:r>
        <w:t>S</w:t>
      </w:r>
      <w:r w:rsidRPr="003442AB">
        <w:t xml:space="preserve">afe </w:t>
      </w:r>
      <w:r>
        <w:t>A</w:t>
      </w:r>
      <w:r w:rsidRPr="003442AB">
        <w:t>ltitude”</w:t>
      </w:r>
      <w:r>
        <w:t>.</w:t>
      </w:r>
    </w:p>
    <w:p w:rsidR="000C4303" w:rsidRPr="003442AB" w:rsidRDefault="000C4303" w:rsidP="000C4303">
      <w:pPr>
        <w:pStyle w:val="SWGreportblock6a"/>
        <w:ind w:left="357" w:hanging="357"/>
      </w:pPr>
      <w:r w:rsidRPr="003442AB">
        <w:t xml:space="preserve">For a first assessment of the achievable field strength (i.e. without taking into account terrain), the available software implementation of the ITU-R 528-4 propagation model (IP01) could be used (noting the current concerns </w:t>
      </w:r>
      <w:r>
        <w:t>on the applicability of</w:t>
      </w:r>
      <w:r w:rsidRPr="003442AB">
        <w:t xml:space="preserve"> ITU-R 528-4</w:t>
      </w:r>
      <w:r>
        <w:t xml:space="preserve"> to GBAS VDB frequencies</w:t>
      </w:r>
      <w:r w:rsidRPr="003442AB">
        <w:t xml:space="preserve"> discussed in Section 6a2 above). </w:t>
      </w:r>
    </w:p>
    <w:p w:rsidR="000C4303" w:rsidRPr="00D721A6" w:rsidRDefault="000C4303" w:rsidP="000C4303">
      <w:pPr>
        <w:ind w:left="426" w:hanging="426"/>
      </w:pPr>
    </w:p>
    <w:p w:rsidR="000C4303" w:rsidRPr="00D721A6" w:rsidRDefault="000C4303" w:rsidP="000C4303">
      <w:pPr>
        <w:rPr>
          <w:b/>
          <w:highlight w:val="cyan"/>
        </w:rPr>
      </w:pPr>
      <w:r w:rsidRPr="00D721A6">
        <w:rPr>
          <w:b/>
          <w:highlight w:val="cyan"/>
        </w:rPr>
        <w:t>IP10</w:t>
      </w:r>
      <w:r>
        <w:rPr>
          <w:b/>
          <w:highlight w:val="cyan"/>
        </w:rPr>
        <w:t xml:space="preserve">, </w:t>
      </w:r>
      <w:r w:rsidRPr="00D721A6">
        <w:rPr>
          <w:b/>
          <w:highlight w:val="cyan"/>
        </w:rPr>
        <w:t>Advanced VHF Data Broadcast (A-VDB) and Advanced VHF Data Link (A-VDL)</w:t>
      </w:r>
    </w:p>
    <w:p w:rsidR="000C4303" w:rsidRPr="00D721A6" w:rsidRDefault="000C4303" w:rsidP="000C4303">
      <w:pPr>
        <w:ind w:left="426" w:hanging="426"/>
      </w:pPr>
    </w:p>
    <w:p w:rsidR="000C4303" w:rsidRPr="00DA7525" w:rsidRDefault="000C4303" w:rsidP="000C4303">
      <w:pPr>
        <w:pStyle w:val="SWGreportblock6a"/>
        <w:ind w:left="357" w:hanging="357"/>
      </w:pPr>
      <w:r w:rsidRPr="00DA7525">
        <w:t>This information paper introduces concepts for potential ways to enhance the 31.5 kbps D8PSK data link that is currently used GBAS VDB and VHF Data Link (VDL) communications. The intent of presenting these concepts is to inform ICAO participants of a potentially viable way to significantly improve the data rate for either VDB or VDL links (or both), if needed, in what the paper says, is a completely backward compatible and interoperable manner that is cost effective and incrementally deployable only if, when, and where needed.</w:t>
      </w:r>
    </w:p>
    <w:p w:rsidR="000C4303" w:rsidRDefault="000C4303" w:rsidP="000C4303">
      <w:pPr>
        <w:pStyle w:val="SWGreportblock6a"/>
        <w:ind w:left="357" w:hanging="357"/>
      </w:pPr>
      <w:r w:rsidRPr="00E17444">
        <w:t>The information paper indicated that VDB as defined today has insufficient capacity to “fully” support the long term envisioned far-future DFMC GBAS where three, four, or more core constellations are simultaneously supported.</w:t>
      </w:r>
      <w:r>
        <w:t xml:space="preserve"> Today’s VDB does have sufficient capacity to simultaneously support two constellations (i.e., dual frequency, dual constellation GBAS).</w:t>
      </w:r>
    </w:p>
    <w:p w:rsidR="000C4303" w:rsidRDefault="000C4303" w:rsidP="000C4303">
      <w:pPr>
        <w:pStyle w:val="SWGreportblock6a"/>
        <w:ind w:left="357" w:hanging="357"/>
      </w:pPr>
      <w:r>
        <w:t xml:space="preserve">The paper presented a waveform that potentially could increase the information data rates communicated in the same 25 kHz channel to approximately 3X or more of the information bits available from the current D8PSK VDB waveform which has a raw bit rate of 31.5 kilobits per second (kbps) </w:t>
      </w:r>
      <w:r w:rsidRPr="00E17444">
        <w:t xml:space="preserve">(i.e. </w:t>
      </w:r>
      <w:r>
        <w:t>A</w:t>
      </w:r>
      <w:r>
        <w:noBreakHyphen/>
        <w:t>VDB information data rates of</w:t>
      </w:r>
      <w:r w:rsidRPr="00E17444">
        <w:t xml:space="preserve"> ~90 k</w:t>
      </w:r>
      <w:r>
        <w:t>bps with raw bit rates of ~120 kbps)</w:t>
      </w:r>
      <w:r w:rsidRPr="00E17444">
        <w:t>.</w:t>
      </w:r>
    </w:p>
    <w:p w:rsidR="000C4303" w:rsidRDefault="000C4303" w:rsidP="000C4303">
      <w:pPr>
        <w:pStyle w:val="SWGreportblock6a"/>
        <w:ind w:left="357" w:hanging="357"/>
      </w:pPr>
      <w:r>
        <w:t>The paper and presentation identified a number of other alternatives that should also be evaluated for meeting the future GBAS VDB needs and that a</w:t>
      </w:r>
      <w:r w:rsidRPr="00183037">
        <w:t>ll feasible alternatives should be evaluated against the performance for meeting current and envisioned future needs, while also evaluating the associated costs, benefits, risks, spectrum availability, backwards compatibility with fielded servic</w:t>
      </w:r>
      <w:r>
        <w:t>es, etc. prior to deciding on the best way forward</w:t>
      </w:r>
      <w:r w:rsidRPr="00183037">
        <w:t>.</w:t>
      </w:r>
    </w:p>
    <w:p w:rsidR="000C4303" w:rsidRPr="00DA7525" w:rsidRDefault="000C4303" w:rsidP="000C4303">
      <w:pPr>
        <w:pStyle w:val="SWGreportblock6a"/>
        <w:ind w:left="357" w:hanging="357"/>
      </w:pPr>
      <w:r w:rsidRPr="00DA7525">
        <w:t xml:space="preserve">In the discussion of IP10, members of the group </w:t>
      </w:r>
      <w:r>
        <w:t xml:space="preserve">agreed </w:t>
      </w:r>
      <w:r w:rsidRPr="00DA7525">
        <w:t>that the current GBAS VHF Data-Link would be sufficient to support ground-based augmentation for dual-frequency use with two GNSS-constellations</w:t>
      </w:r>
      <w:r>
        <w:t>; however, a plan for addressing more than two constellations should be investigated as part of the DFMC GBAS development</w:t>
      </w:r>
      <w:r w:rsidRPr="00DA7525">
        <w:t>.</w:t>
      </w:r>
    </w:p>
    <w:p w:rsidR="000C4303" w:rsidRDefault="000C4303" w:rsidP="000C4303">
      <w:pPr>
        <w:pStyle w:val="SWGreportblock6a"/>
        <w:numPr>
          <w:ilvl w:val="0"/>
          <w:numId w:val="0"/>
        </w:numPr>
        <w:ind w:left="720" w:hanging="360"/>
        <w:rPr>
          <w:highlight w:val="green"/>
        </w:rPr>
      </w:pPr>
    </w:p>
    <w:p w:rsidR="003259B2" w:rsidRDefault="003259B2" w:rsidP="000C4303">
      <w:pPr>
        <w:pStyle w:val="SWGreportblock6a"/>
        <w:numPr>
          <w:ilvl w:val="0"/>
          <w:numId w:val="0"/>
        </w:numPr>
        <w:ind w:left="720" w:hanging="360"/>
        <w:rPr>
          <w:highlight w:val="green"/>
        </w:rPr>
      </w:pPr>
    </w:p>
    <w:p w:rsidR="003259B2" w:rsidRDefault="003259B2" w:rsidP="000C4303">
      <w:pPr>
        <w:pStyle w:val="SWGreportblock6a"/>
        <w:numPr>
          <w:ilvl w:val="0"/>
          <w:numId w:val="0"/>
        </w:numPr>
        <w:ind w:left="720" w:hanging="360"/>
        <w:rPr>
          <w:highlight w:val="green"/>
        </w:rPr>
      </w:pPr>
    </w:p>
    <w:p w:rsidR="003259B2" w:rsidRDefault="003259B2" w:rsidP="000C4303">
      <w:pPr>
        <w:pStyle w:val="SWGreportblock6a"/>
        <w:numPr>
          <w:ilvl w:val="0"/>
          <w:numId w:val="0"/>
        </w:numPr>
        <w:ind w:left="720" w:hanging="360"/>
        <w:rPr>
          <w:highlight w:val="green"/>
        </w:rPr>
      </w:pPr>
    </w:p>
    <w:p w:rsidR="003259B2" w:rsidRPr="00D721A6" w:rsidRDefault="003259B2" w:rsidP="000C4303">
      <w:pPr>
        <w:pStyle w:val="SWGreportblock6a"/>
        <w:numPr>
          <w:ilvl w:val="0"/>
          <w:numId w:val="0"/>
        </w:numPr>
        <w:ind w:left="720" w:hanging="360"/>
        <w:rPr>
          <w:highlight w:val="green"/>
        </w:rPr>
      </w:pPr>
    </w:p>
    <w:p w:rsidR="000C4303" w:rsidRPr="00D721A6" w:rsidRDefault="000C4303" w:rsidP="000C4303">
      <w:pPr>
        <w:rPr>
          <w:b/>
          <w:highlight w:val="cyan"/>
        </w:rPr>
      </w:pPr>
      <w:r w:rsidRPr="00D721A6">
        <w:rPr>
          <w:b/>
          <w:highlight w:val="cyan"/>
        </w:rPr>
        <w:lastRenderedPageBreak/>
        <w:t>IP15</w:t>
      </w:r>
      <w:r>
        <w:rPr>
          <w:b/>
          <w:highlight w:val="cyan"/>
        </w:rPr>
        <w:t xml:space="preserve">, </w:t>
      </w:r>
      <w:r w:rsidRPr="00D721A6">
        <w:rPr>
          <w:b/>
          <w:highlight w:val="cyan"/>
        </w:rPr>
        <w:t xml:space="preserve">Anomalous propagation of VOR/ILS LOC signals by the </w:t>
      </w:r>
      <w:r>
        <w:rPr>
          <w:b/>
          <w:highlight w:val="cyan"/>
        </w:rPr>
        <w:t>‘</w:t>
      </w:r>
      <w:r w:rsidRPr="00D721A6">
        <w:rPr>
          <w:b/>
          <w:highlight w:val="cyan"/>
        </w:rPr>
        <w:t>sporadic E layer</w:t>
      </w:r>
      <w:r>
        <w:rPr>
          <w:b/>
          <w:highlight w:val="cyan"/>
        </w:rPr>
        <w:t>’</w:t>
      </w:r>
    </w:p>
    <w:p w:rsidR="000C4303" w:rsidRPr="00DA7525" w:rsidRDefault="000C4303" w:rsidP="000C4303">
      <w:pPr>
        <w:pStyle w:val="SWGreportblock6a"/>
        <w:ind w:left="357" w:hanging="357"/>
      </w:pPr>
      <w:r w:rsidRPr="00DA7525">
        <w:t>This paper presents the latest results of statistical analysis of the anomalous propagation of VHF aeronautical navigation signals by the sporadic-E layer. With this analysis, the possibility of anomalous propagation of the VOR and ILS LOC signals can be evaluated. It is also shown that the geometry, especially the direction of the ILS LOC beam is important for anomalous propagation. To evaluate the impact on the operational equipment, a collaboration with airlines is ongoing in order to find possible interference to airborne receivers.</w:t>
      </w:r>
    </w:p>
    <w:p w:rsidR="000C4303" w:rsidRPr="00DA7525" w:rsidRDefault="000C4303" w:rsidP="000C4303">
      <w:pPr>
        <w:pStyle w:val="SWGreportblock6a"/>
        <w:ind w:left="357" w:hanging="357"/>
      </w:pPr>
      <w:r w:rsidRPr="00DA7525">
        <w:t xml:space="preserve">In the discussion of this paper, it was recommended </w:t>
      </w:r>
      <w:r>
        <w:t xml:space="preserve">to ensure </w:t>
      </w:r>
      <w:r w:rsidRPr="00DA7525">
        <w:t xml:space="preserve">that the </w:t>
      </w:r>
      <w:r>
        <w:t xml:space="preserve">signals that are </w:t>
      </w:r>
      <w:r w:rsidRPr="00DA7525">
        <w:t xml:space="preserve">assumed </w:t>
      </w:r>
      <w:r>
        <w:t xml:space="preserve">to come from far away due to </w:t>
      </w:r>
      <w:r w:rsidRPr="00DA7525">
        <w:t>anomalous propagation</w:t>
      </w:r>
      <w:r>
        <w:t xml:space="preserve"> </w:t>
      </w:r>
      <w:r w:rsidRPr="00DA7525">
        <w:t xml:space="preserve">are </w:t>
      </w:r>
      <w:r>
        <w:t xml:space="preserve">not actually </w:t>
      </w:r>
      <w:r w:rsidRPr="00DA7525">
        <w:t xml:space="preserve">caused by </w:t>
      </w:r>
      <w:r>
        <w:t xml:space="preserve">closer </w:t>
      </w:r>
      <w:r w:rsidRPr="00DA7525">
        <w:t xml:space="preserve">illegally operating transmitters. Furthermore, the meeting recommended making the aviation community aware on the potential effects of anomalous propagation on aeronautical radiocommunication, as well as radionavigation systems. For this </w:t>
      </w:r>
      <w:r w:rsidR="00E208E9" w:rsidRPr="00DA7525">
        <w:t>purpose,</w:t>
      </w:r>
      <w:r w:rsidRPr="00DA7525">
        <w:t xml:space="preserve"> the insertion of additional text into the proposed Chapter 1</w:t>
      </w:r>
      <w:r>
        <w:t>,</w:t>
      </w:r>
      <w:r w:rsidRPr="00DA7525">
        <w:t xml:space="preserve"> to ICAO Doc 9718, Volume II was deemed adequate.</w:t>
      </w:r>
    </w:p>
    <w:p w:rsidR="000C4303" w:rsidRPr="00DA7525" w:rsidRDefault="000C4303" w:rsidP="000C4303">
      <w:pPr>
        <w:pStyle w:val="SWGreportblock6a"/>
        <w:numPr>
          <w:ilvl w:val="0"/>
          <w:numId w:val="0"/>
        </w:numPr>
        <w:ind w:left="360" w:hanging="360"/>
      </w:pPr>
      <w:r w:rsidRPr="00DA7525">
        <w:rPr>
          <w:b/>
          <w:u w:val="single"/>
        </w:rPr>
        <w:t>Action Item SWG09/</w:t>
      </w:r>
      <w:r>
        <w:rPr>
          <w:b/>
          <w:u w:val="single"/>
        </w:rPr>
        <w:t>04</w:t>
      </w:r>
      <w:r w:rsidRPr="00DA7525">
        <w:rPr>
          <w:b/>
          <w:u w:val="single"/>
        </w:rPr>
        <w:t>:</w:t>
      </w:r>
      <w:r w:rsidRPr="00DA7525">
        <w:t xml:space="preserve"> Robert Witzen to include text on </w:t>
      </w:r>
      <w:r>
        <w:t>“A</w:t>
      </w:r>
      <w:r w:rsidRPr="00DA7525">
        <w:t xml:space="preserve">nomalous </w:t>
      </w:r>
      <w:r>
        <w:t>P</w:t>
      </w:r>
      <w:r w:rsidRPr="00DA7525">
        <w:t>ropagation</w:t>
      </w:r>
      <w:r>
        <w:t>”</w:t>
      </w:r>
      <w:r w:rsidRPr="00DA7525">
        <w:t xml:space="preserve"> into Chapter</w:t>
      </w:r>
      <w:r>
        <w:t> </w:t>
      </w:r>
      <w:r w:rsidRPr="00DA7525">
        <w:t>1 to ICAO Doc 9718, Volume II</w:t>
      </w:r>
      <w:r>
        <w:t>.</w:t>
      </w:r>
    </w:p>
    <w:p w:rsidR="000C4303" w:rsidRDefault="000C4303" w:rsidP="000C4303">
      <w:pPr>
        <w:ind w:left="426" w:hanging="426"/>
      </w:pPr>
    </w:p>
    <w:p w:rsidR="000C4303" w:rsidRPr="000B13D4" w:rsidRDefault="000C4303" w:rsidP="000C4303">
      <w:pPr>
        <w:rPr>
          <w:b/>
          <w:highlight w:val="cyan"/>
        </w:rPr>
      </w:pPr>
      <w:r w:rsidRPr="000B13D4">
        <w:rPr>
          <w:b/>
          <w:highlight w:val="cyan"/>
        </w:rPr>
        <w:t>WP12</w:t>
      </w:r>
      <w:r>
        <w:rPr>
          <w:b/>
          <w:highlight w:val="cyan"/>
        </w:rPr>
        <w:t xml:space="preserve">, </w:t>
      </w:r>
      <w:r w:rsidRPr="000B13D4">
        <w:rPr>
          <w:b/>
          <w:highlight w:val="cyan"/>
        </w:rPr>
        <w:t>GBAS/VDB compatibility</w:t>
      </w:r>
      <w:r>
        <w:rPr>
          <w:b/>
          <w:highlight w:val="cyan"/>
        </w:rPr>
        <w:t>,</w:t>
      </w:r>
      <w:r w:rsidRPr="000B13D4">
        <w:rPr>
          <w:b/>
          <w:highlight w:val="cyan"/>
        </w:rPr>
        <w:t xml:space="preserve"> when the interfering facility is inside the DOC of the GBAS/VDB</w:t>
      </w:r>
    </w:p>
    <w:p w:rsidR="000C4303" w:rsidRDefault="000C4303" w:rsidP="000C4303">
      <w:pPr>
        <w:pStyle w:val="SWGreportblock6a"/>
        <w:ind w:left="357" w:hanging="294"/>
      </w:pPr>
      <w:r w:rsidRPr="005B30B5">
        <w:t>This paper presents</w:t>
      </w:r>
      <w:r>
        <w:t xml:space="preserve"> an analysis on the </w:t>
      </w:r>
      <w:r w:rsidRPr="00520976">
        <w:t>GBAS/VDB compatibility when the interfering facility is inside the DOC of the GBAS/VDB</w:t>
      </w:r>
      <w:r>
        <w:t>. The impact of an Undesired signal from a VOR, which is was separated 18.9 NM from potential GBAS VDB to be deployed at Munich airport (Germany) which is inside the GBAS DOC was analysed. For this purpose, it t</w:t>
      </w:r>
      <w:r w:rsidRPr="00A328CB">
        <w:t>he GBAS coverage</w:t>
      </w:r>
      <w:r>
        <w:t xml:space="preserve"> volume as a floor, consisting of a </w:t>
      </w:r>
      <w:r w:rsidRPr="00A328CB">
        <w:t>plane</w:t>
      </w:r>
      <w:r>
        <w:t xml:space="preserve"> with a slope of 0.9</w:t>
      </w:r>
      <w:r w:rsidRPr="00A328CB">
        <w:t xml:space="preserve"> degrees needs </w:t>
      </w:r>
      <w:r>
        <w:t xml:space="preserve">starting from </w:t>
      </w:r>
      <w:r w:rsidRPr="00A328CB">
        <w:t>the runway threshold</w:t>
      </w:r>
      <w:r>
        <w:t>, i.e</w:t>
      </w:r>
      <w:r w:rsidRPr="00A328CB">
        <w:t>.</w:t>
      </w:r>
      <w:r>
        <w:t xml:space="preserve"> test points for the calculation of the protection of the GBAS are at this plane. With the various applied models, the following results were obtained.</w:t>
      </w:r>
    </w:p>
    <w:p w:rsidR="000C4303" w:rsidRDefault="000C4303" w:rsidP="000C4303">
      <w:pPr>
        <w:pStyle w:val="SWGreportblock6a"/>
        <w:numPr>
          <w:ilvl w:val="0"/>
          <w:numId w:val="40"/>
        </w:numPr>
      </w:pPr>
      <w:r>
        <w:t>Free-space propagation for the calculation of the received signal strength of the Desired signal and the Undesired VOR signal: =&gt; negative margin of 0.6 dB</w:t>
      </w:r>
    </w:p>
    <w:p w:rsidR="000C4303" w:rsidRDefault="000C4303" w:rsidP="000C4303">
      <w:pPr>
        <w:pStyle w:val="SWGreportblock6a"/>
        <w:numPr>
          <w:ilvl w:val="0"/>
          <w:numId w:val="40"/>
        </w:numPr>
      </w:pPr>
      <w:r>
        <w:t>ITU-R P.528-4 propagation model with a 95 % probability for the Desired and a 5 % probability for the Undesired field strengths =&gt; negative margin of 7 dB</w:t>
      </w:r>
    </w:p>
    <w:p w:rsidR="000C4303" w:rsidRDefault="000C4303" w:rsidP="000C4303">
      <w:pPr>
        <w:pStyle w:val="SWGreportblock6a"/>
        <w:numPr>
          <w:ilvl w:val="0"/>
          <w:numId w:val="40"/>
        </w:numPr>
      </w:pPr>
      <w:r>
        <w:t xml:space="preserve">Assumed minimum fieldstrength for the Desired and applying </w:t>
      </w:r>
      <w:r w:rsidR="00E208E9">
        <w:t>an</w:t>
      </w:r>
      <w:r>
        <w:t xml:space="preserve"> ITU-R P.528-4 propagation model with a probability </w:t>
      </w:r>
      <w:r w:rsidRPr="00DB27BB">
        <w:t>of 5%</w:t>
      </w:r>
      <w:r>
        <w:t xml:space="preserve"> for the Undesired field strengths =&gt; negative margin of 9 dB</w:t>
      </w:r>
    </w:p>
    <w:p w:rsidR="000C4303" w:rsidRPr="00DB27BB" w:rsidRDefault="000C4303" w:rsidP="000C4303">
      <w:pPr>
        <w:pStyle w:val="SWGreportblock6a"/>
        <w:ind w:left="357" w:hanging="357"/>
      </w:pPr>
      <w:r>
        <w:t xml:space="preserve">In the discussion, the meeting recognised, that it was hard to achieve compatibility between an existing VOR or ILS within the service volume of a GBAS VDB applying simple international frequency assignment planning rules. </w:t>
      </w:r>
    </w:p>
    <w:p w:rsidR="000C4303" w:rsidRPr="00D721A6" w:rsidRDefault="000C4303" w:rsidP="000C4303">
      <w:pPr>
        <w:pStyle w:val="SWGreportblock6a"/>
        <w:ind w:left="426" w:hanging="426"/>
      </w:pPr>
      <w:r>
        <w:t xml:space="preserve">The meeting also agreed that as a first step international frequency assignment planning rules </w:t>
      </w:r>
      <w:r w:rsidRPr="00DB27BB">
        <w:t xml:space="preserve">(using the minimum required field strength of the VDB and the ITU-R 5% propagation curves) and possibly </w:t>
      </w:r>
      <w:r>
        <w:t xml:space="preserve">assuming a floor of the coverage volume with a 0.9-degree slope should be applied for the compatibility analysis between a GBAS VDB and other navigation aids </w:t>
      </w:r>
      <w:r w:rsidRPr="00DB27BB">
        <w:t>within and near</w:t>
      </w:r>
      <w:r>
        <w:t xml:space="preserve"> </w:t>
      </w:r>
      <w:r w:rsidRPr="00DB27BB">
        <w:t>in</w:t>
      </w:r>
      <w:r>
        <w:t xml:space="preserve"> the vicinity of the </w:t>
      </w:r>
      <w:r w:rsidRPr="00DB27BB">
        <w:t>DOC of the GBAS/VDB</w:t>
      </w:r>
      <w:r>
        <w:t xml:space="preserve">. If applying this method, no compatibility could be demonstrated, which is likely, the “same-airport compatibility analysis” should be applied, using detailed characteristics (transmit antenna diagrams, </w:t>
      </w:r>
      <w:r w:rsidRPr="00DB27BB">
        <w:t>actual field strength of the desired VDB signal</w:t>
      </w:r>
      <w:r>
        <w:t>, advanced propagation models, etc.).</w:t>
      </w:r>
    </w:p>
    <w:p w:rsidR="000C4303" w:rsidRDefault="000C4303" w:rsidP="000C4303">
      <w:pPr>
        <w:ind w:left="426" w:hanging="426"/>
        <w:rPr>
          <w:i/>
        </w:rPr>
      </w:pPr>
    </w:p>
    <w:p w:rsidR="000C4303" w:rsidRPr="00D721A6" w:rsidRDefault="000C4303" w:rsidP="000C4303">
      <w:pPr>
        <w:ind w:left="426" w:hanging="426"/>
        <w:rPr>
          <w:i/>
        </w:rPr>
      </w:pPr>
      <w:r w:rsidRPr="00D721A6">
        <w:rPr>
          <w:i/>
        </w:rPr>
        <w:t>Note: The papers below, which are covered by this agenda item, were discussed by a joint meeting of the SWG and GWG</w:t>
      </w:r>
    </w:p>
    <w:p w:rsidR="000C4303" w:rsidRPr="00D721A6" w:rsidRDefault="000C4303" w:rsidP="000C4303">
      <w:pPr>
        <w:ind w:left="426" w:hanging="426"/>
      </w:pPr>
    </w:p>
    <w:p w:rsidR="000C4303" w:rsidRPr="00D721A6" w:rsidRDefault="000C4303" w:rsidP="000C4303">
      <w:pPr>
        <w:ind w:left="426" w:hanging="426"/>
      </w:pPr>
    </w:p>
    <w:p w:rsidR="000C4303" w:rsidRPr="00D721A6" w:rsidRDefault="000C4303" w:rsidP="000C4303">
      <w:r w:rsidRPr="00D721A6">
        <w:rPr>
          <w:b/>
          <w:highlight w:val="cyan"/>
        </w:rPr>
        <w:t>WP11</w:t>
      </w:r>
      <w:r w:rsidRPr="00D721A6">
        <w:rPr>
          <w:b/>
          <w:highlight w:val="cyan"/>
        </w:rPr>
        <w:tab/>
        <w:t>The impact of the site elevation of the desired and the undesired facility on the D/U in the calculation of the minimum separation distance.</w:t>
      </w:r>
      <w:r w:rsidRPr="00D721A6">
        <w:tab/>
      </w:r>
    </w:p>
    <w:p w:rsidR="000C4303" w:rsidRPr="005B30B5" w:rsidRDefault="000C4303" w:rsidP="000C4303">
      <w:pPr>
        <w:pStyle w:val="SWGreportblock6a"/>
        <w:ind w:left="357" w:hanging="357"/>
      </w:pPr>
      <w:r w:rsidRPr="005B30B5">
        <w:t xml:space="preserve">This paper presents material on the impact of the site elevation in frequency assignment planning for navigation systems. It extends the material currently proposed in the revision of Chapter 1 section 1.5.6 of ICAO Doc 9718, Vol. II. It takes also into account changes in the aeronautical propagation model due to the recent update of ITU-R Recommendation P.528. </w:t>
      </w:r>
    </w:p>
    <w:p w:rsidR="000C4303" w:rsidRPr="005B30B5" w:rsidRDefault="000C4303" w:rsidP="000C4303">
      <w:pPr>
        <w:pStyle w:val="SWGreportblock6a"/>
        <w:ind w:left="357" w:hanging="357"/>
      </w:pPr>
      <w:r w:rsidRPr="005B30B5">
        <w:t xml:space="preserve">In order to ensure </w:t>
      </w:r>
      <w:r w:rsidR="00E208E9" w:rsidRPr="005B30B5">
        <w:t>protection,</w:t>
      </w:r>
      <w:r w:rsidRPr="005B30B5">
        <w:t xml:space="preserve"> the separation distances actually needed to be increased taking into account the site elevation of the transmitter of the Undesired signal. The impact can be recognized from the following examples:</w:t>
      </w:r>
    </w:p>
    <w:p w:rsidR="000C4303" w:rsidRPr="005B30B5" w:rsidRDefault="000C4303" w:rsidP="000C4303">
      <w:pPr>
        <w:pStyle w:val="SWGreportblock6a"/>
        <w:numPr>
          <w:ilvl w:val="0"/>
          <w:numId w:val="38"/>
        </w:numPr>
        <w:spacing w:before="0" w:after="0"/>
        <w:ind w:left="1077" w:hanging="357"/>
      </w:pPr>
      <w:r w:rsidRPr="005B30B5">
        <w:t>Designated operational height is 45000 ft. =&gt; additional 3 NM per 1000 ft. difference in site elevation</w:t>
      </w:r>
    </w:p>
    <w:p w:rsidR="000C4303" w:rsidRPr="005B30B5" w:rsidRDefault="000C4303" w:rsidP="000C4303">
      <w:pPr>
        <w:pStyle w:val="SWGreportblock6a"/>
        <w:numPr>
          <w:ilvl w:val="0"/>
          <w:numId w:val="38"/>
        </w:numPr>
        <w:spacing w:before="0" w:after="0"/>
        <w:ind w:left="1077" w:hanging="357"/>
      </w:pPr>
      <w:r w:rsidRPr="005B30B5">
        <w:t>Designated operational height is 10000 ft. =&gt; additional 6 NM per 1000 ft. difference in site elevation</w:t>
      </w:r>
    </w:p>
    <w:p w:rsidR="000C4303" w:rsidRPr="005B30B5" w:rsidRDefault="000C4303" w:rsidP="000C4303">
      <w:pPr>
        <w:pStyle w:val="SWGreportblock6a"/>
        <w:numPr>
          <w:ilvl w:val="0"/>
          <w:numId w:val="38"/>
        </w:numPr>
        <w:spacing w:before="0" w:after="0"/>
        <w:ind w:left="1077" w:hanging="357"/>
      </w:pPr>
      <w:r w:rsidRPr="005B30B5">
        <w:t>Designated operational height is 5000 ft. =&gt; additional 8 NM per 1000 ft. difference site elevation</w:t>
      </w:r>
    </w:p>
    <w:p w:rsidR="000C4303" w:rsidRPr="005B30B5" w:rsidRDefault="000C4303" w:rsidP="000C4303">
      <w:pPr>
        <w:pStyle w:val="SWGreportblock6a"/>
        <w:ind w:left="357" w:hanging="357"/>
      </w:pPr>
      <w:r w:rsidRPr="005B30B5">
        <w:t>In the discussion, members of the SWG recognized that the site elevation has a significant impact on the frequency compatibility. The group agreed that ICAO regions should record data on site elevation in the frame of international frequency assignment planning.</w:t>
      </w:r>
    </w:p>
    <w:p w:rsidR="000C4303" w:rsidRPr="005B30B5" w:rsidRDefault="000C4303" w:rsidP="000C4303">
      <w:pPr>
        <w:pStyle w:val="SWGreportblock6a"/>
        <w:ind w:left="357" w:hanging="357"/>
      </w:pPr>
      <w:r w:rsidRPr="005B30B5">
        <w:t>The SWG deemed the presented material on the impact of the site elevation suitable for inclusion into Chapter 1 section 1.5.6 of ICAO Doc 9718, Vol. II. However, the group recommended checking the definitions (like Altitude, Elevation, Height) contained in chapter 8.3 of JWGs/5, WP11 for conformance with Annex 10.</w:t>
      </w:r>
    </w:p>
    <w:p w:rsidR="000C4303" w:rsidRPr="005B30B5" w:rsidRDefault="000C4303" w:rsidP="000C4303">
      <w:pPr>
        <w:ind w:left="426" w:hanging="426"/>
        <w:rPr>
          <w:b/>
          <w:u w:val="single"/>
        </w:rPr>
      </w:pPr>
    </w:p>
    <w:p w:rsidR="000C4303" w:rsidRPr="00D721A6" w:rsidRDefault="000C4303" w:rsidP="000C4303">
      <w:pPr>
        <w:ind w:left="426" w:hanging="426"/>
      </w:pPr>
      <w:r w:rsidRPr="005B30B5">
        <w:rPr>
          <w:b/>
          <w:u w:val="single"/>
        </w:rPr>
        <w:t>Action SWG09/</w:t>
      </w:r>
      <w:r>
        <w:rPr>
          <w:b/>
          <w:u w:val="single"/>
        </w:rPr>
        <w:t>05</w:t>
      </w:r>
      <w:r w:rsidRPr="005B30B5">
        <w:t>: Robert Witzen to check definitions (like Altitude, Elevation, Height) in chapter 8.3 of JWGs/5, WP11 for conformance with Annex 10.</w:t>
      </w:r>
      <w:r>
        <w:t xml:space="preserve"> </w:t>
      </w:r>
    </w:p>
    <w:p w:rsidR="000C4303" w:rsidRPr="00D721A6" w:rsidRDefault="000C4303" w:rsidP="000C4303">
      <w:pPr>
        <w:ind w:left="426" w:hanging="426"/>
      </w:pPr>
    </w:p>
    <w:p w:rsidR="000C4303" w:rsidRDefault="000C4303" w:rsidP="000C4303">
      <w:pPr>
        <w:rPr>
          <w:b/>
          <w:sz w:val="24"/>
        </w:rPr>
      </w:pPr>
    </w:p>
    <w:p w:rsidR="000C4303" w:rsidRPr="00D721A6" w:rsidRDefault="000C4303" w:rsidP="000C4303">
      <w:pPr>
        <w:rPr>
          <w:b/>
          <w:sz w:val="24"/>
        </w:rPr>
      </w:pPr>
      <w:r w:rsidRPr="000A1C54">
        <w:rPr>
          <w:b/>
          <w:sz w:val="24"/>
          <w:highlight w:val="green"/>
        </w:rPr>
        <w:t>Agenda Item 6b): Signal and compatibility issues in the band 960 to 1215 MHz</w:t>
      </w:r>
    </w:p>
    <w:p w:rsidR="000C4303" w:rsidRPr="00D721A6" w:rsidRDefault="000C4303" w:rsidP="000C4303">
      <w:pPr>
        <w:rPr>
          <w:b/>
        </w:rPr>
      </w:pPr>
    </w:p>
    <w:p w:rsidR="000C4303" w:rsidRPr="00D721A6" w:rsidRDefault="000C4303" w:rsidP="000C4303">
      <w:pPr>
        <w:rPr>
          <w:b/>
          <w:highlight w:val="cyan"/>
        </w:rPr>
      </w:pPr>
      <w:r w:rsidRPr="00D721A6">
        <w:rPr>
          <w:b/>
          <w:highlight w:val="cyan"/>
        </w:rPr>
        <w:t>WP49, rev.1</w:t>
      </w:r>
      <w:r w:rsidRPr="00D721A6">
        <w:rPr>
          <w:b/>
          <w:highlight w:val="cyan"/>
        </w:rPr>
        <w:tab/>
        <w:t>LDACS (L-band Digital Aeronautical Communications System) versus DME/TACAN Compatibility Testing - Initial Results</w:t>
      </w:r>
    </w:p>
    <w:p w:rsidR="000C4303" w:rsidRPr="00DA7525" w:rsidRDefault="000C4303" w:rsidP="000C4303">
      <w:pPr>
        <w:pStyle w:val="SWGreportblock6b"/>
      </w:pPr>
      <w:r w:rsidRPr="00DA7525">
        <w:t>This paper presents initial result of LDACS compatibility tests, which were carried out under the contract from Eurocontrol in the frame of the “SESAR2020 solution PJ.14-02-01”. The tests are taking into account the “LDACS versus DME/TACAN Compatibility Testing Plan” (ICAO NSP/5 WP38) to the greatest possible extent. The purpose of this document is to provide ICAO NSP the opportunity to assess the first results and to give guidance on scenarios to be analysed in the second phase of the project, which extends to January 2020.</w:t>
      </w:r>
    </w:p>
    <w:p w:rsidR="000C4303" w:rsidRPr="00DA7525" w:rsidRDefault="000C4303" w:rsidP="000C4303">
      <w:pPr>
        <w:pStyle w:val="SWGreportblock6b"/>
      </w:pPr>
      <w:r w:rsidRPr="00DA7525">
        <w:lastRenderedPageBreak/>
        <w:t>Two types of DME/TACAN interrogators (Rockwell-Collins DME 40, Bendix King KTU 709) as well as one DME ground transponder station (Thales FSD-40) have been tested so far. Further on-board equipment types as well as ground equipment types will be tested in the second phase of the project.</w:t>
      </w:r>
    </w:p>
    <w:p w:rsidR="000C4303" w:rsidRPr="00DA7525" w:rsidRDefault="000C4303" w:rsidP="000C4303">
      <w:pPr>
        <w:pStyle w:val="SWGreportblock6b"/>
      </w:pPr>
      <w:r w:rsidRPr="00DA7525">
        <w:t>A significant dependency of the Time-to-Acquire (TTA) measurements on the squitter rate of DME/TACAN ground transponders has been observed for the tested interrogators. Only a small impact of interference signals on the ‘range deviation’ was observed. Almost no interference impact due to the applied background signals has been observed, neither on DME background nor on JTIDS background signals. This may be due, in part, to the way the initial testing was performed (see below).</w:t>
      </w:r>
    </w:p>
    <w:p w:rsidR="000C4303" w:rsidRPr="00DA7525" w:rsidRDefault="000C4303" w:rsidP="000C4303">
      <w:pPr>
        <w:pStyle w:val="SWGreportblock6b"/>
      </w:pPr>
      <w:r w:rsidRPr="00DA7525">
        <w:t>The meeting provided the following guidance for the second phase of the LDACS compatibility testing project:</w:t>
      </w:r>
    </w:p>
    <w:p w:rsidR="000C4303" w:rsidRPr="00DA7525" w:rsidRDefault="000C4303" w:rsidP="000C4303">
      <w:pPr>
        <w:pStyle w:val="SWGreportblock6a"/>
        <w:numPr>
          <w:ilvl w:val="1"/>
          <w:numId w:val="12"/>
        </w:numPr>
      </w:pPr>
      <w:r w:rsidRPr="00DA7525">
        <w:t>Testing should be performed with the desired DME signals at the minimum service volume levels and not the +10 dB currently being utilized.</w:t>
      </w:r>
    </w:p>
    <w:p w:rsidR="000C4303" w:rsidRPr="00DA7525" w:rsidRDefault="000C4303" w:rsidP="000C4303">
      <w:pPr>
        <w:pStyle w:val="SWGreportblock6a"/>
        <w:numPr>
          <w:ilvl w:val="1"/>
          <w:numId w:val="12"/>
        </w:numPr>
      </w:pPr>
      <w:r w:rsidRPr="00DA7525">
        <w:t xml:space="preserve">For on-board interrogators, which have to comply with RTCA/DO-189 apply a TTA threshold according to this standard. Moreover, DME interrogators, which are capable of RNAV operation (capable multichannel operation), should also be tested applying criteria according to the standard RTCA/DO-189. For all other on-board interrogator types, take the undisturbed TTA with a desired signal corresponding to a minimum Peak Pulse Power Density at the edge of the coverage of </w:t>
      </w:r>
      <w:r>
        <w:noBreakHyphen/>
      </w:r>
      <w:r w:rsidRPr="00DA7525">
        <w:t>89 dBW/m</w:t>
      </w:r>
      <w:r w:rsidRPr="00DA7525">
        <w:rPr>
          <w:vertAlign w:val="superscript"/>
        </w:rPr>
        <w:t>2</w:t>
      </w:r>
      <w:r w:rsidRPr="00DA7525">
        <w:t xml:space="preserve"> (according to ICAO Annex10, Vol. I, chapter 3, section 3.5.4.1.5.2) as a reference. If the interrogators are not capable of operating at the minimum Peak Pulse Power Density, should be tested at their individual sensitivity level.</w:t>
      </w:r>
    </w:p>
    <w:p w:rsidR="000C4303" w:rsidRPr="00DA7525" w:rsidRDefault="000C4303" w:rsidP="000C4303">
      <w:pPr>
        <w:pStyle w:val="SWGreportblock6a"/>
        <w:numPr>
          <w:ilvl w:val="1"/>
          <w:numId w:val="12"/>
        </w:numPr>
      </w:pPr>
      <w:r w:rsidRPr="00DA7525">
        <w:t>Exclude on-board DME interrogators from the tests, which are not complying with a maximum allowable undisturbed ‘range deviation’ of 0.17 NM.</w:t>
      </w:r>
    </w:p>
    <w:p w:rsidR="000C4303" w:rsidRPr="00DA7525" w:rsidRDefault="000C4303" w:rsidP="000C4303">
      <w:pPr>
        <w:pStyle w:val="SWGreportblock6a"/>
        <w:numPr>
          <w:ilvl w:val="1"/>
          <w:numId w:val="12"/>
        </w:numPr>
      </w:pPr>
      <w:r w:rsidRPr="00DA7525">
        <w:t xml:space="preserve">There is no need to carry out tests at </w:t>
      </w:r>
      <w:r>
        <w:t xml:space="preserve">DME/TACAN </w:t>
      </w:r>
      <w:r w:rsidRPr="00DA7525">
        <w:t xml:space="preserve">squitter rates below 2700 </w:t>
      </w:r>
      <w:r>
        <w:t>P</w:t>
      </w:r>
      <w:r w:rsidRPr="00DA7525">
        <w:t xml:space="preserve">ulse </w:t>
      </w:r>
      <w:r>
        <w:t>P</w:t>
      </w:r>
      <w:r w:rsidRPr="00DA7525">
        <w:t xml:space="preserve">airs </w:t>
      </w:r>
      <w:r>
        <w:t>Per S</w:t>
      </w:r>
      <w:r w:rsidRPr="00DA7525">
        <w:t>econd.</w:t>
      </w:r>
    </w:p>
    <w:p w:rsidR="000C4303" w:rsidRPr="00DA7525" w:rsidRDefault="000C4303" w:rsidP="000C4303">
      <w:pPr>
        <w:pStyle w:val="SWGreportblock6a"/>
        <w:numPr>
          <w:ilvl w:val="1"/>
          <w:numId w:val="12"/>
        </w:numPr>
      </w:pPr>
      <w:r w:rsidRPr="00DA7525">
        <w:t>There is no need to check the impact of interference signals on the ‘range deviation’ at every single interference power level applied during the tests. However, for interference power levels close to the threshold of other test-criteria (e.g. ASOP, BSOP, ID, and BRE) the impact on the ‘range deviation’ should be evaluated. The ‘range deviation’ should be established with a 95 % probability level.</w:t>
      </w:r>
    </w:p>
    <w:p w:rsidR="000C4303" w:rsidRPr="00DA7525" w:rsidRDefault="000C4303" w:rsidP="000C4303">
      <w:pPr>
        <w:pStyle w:val="SWGreportblock6a"/>
        <w:numPr>
          <w:ilvl w:val="1"/>
          <w:numId w:val="12"/>
        </w:numPr>
      </w:pPr>
      <w:r w:rsidRPr="00DA7525">
        <w:t xml:space="preserve">A DME-background should be at least applied for the tests of the DME ground transponders. It would also be desirable for the on-board interrogator tests, if feasible within the given </w:t>
      </w:r>
      <w:r w:rsidR="00E208E9" w:rsidRPr="00DA7525">
        <w:t>time</w:t>
      </w:r>
      <w:r w:rsidR="00E208E9">
        <w:t>frame</w:t>
      </w:r>
      <w:r>
        <w:t>.</w:t>
      </w:r>
    </w:p>
    <w:p w:rsidR="000C4303" w:rsidRPr="00F033DE" w:rsidRDefault="000C4303" w:rsidP="000C4303">
      <w:pPr>
        <w:pStyle w:val="SWGreportblock6a"/>
        <w:numPr>
          <w:ilvl w:val="1"/>
          <w:numId w:val="12"/>
        </w:numPr>
      </w:pPr>
      <w:r w:rsidRPr="00F033DE">
        <w:t>For the evaluation of the impact of JTIDS the values from Flimsy 11 should be used. In addition, there is a need to include +/-5 JTIDS carriers in addition to the on-tune carrier.</w:t>
      </w:r>
    </w:p>
    <w:p w:rsidR="000C4303" w:rsidRPr="00DA7525" w:rsidRDefault="000C4303" w:rsidP="000C4303">
      <w:pPr>
        <w:pStyle w:val="SWGreportblock6a"/>
        <w:numPr>
          <w:ilvl w:val="1"/>
          <w:numId w:val="12"/>
        </w:numPr>
      </w:pPr>
      <w:r w:rsidRPr="00DA7525">
        <w:t>Provide actual numbers for the impact of the interference signals on the Beacon Reply Efficiency (BRE) of DME ground transponders (i.e. not just an indication of ‘</w:t>
      </w:r>
      <w:r>
        <w:t>P</w:t>
      </w:r>
      <w:r w:rsidRPr="00DA7525">
        <w:t>ass’ or ‘</w:t>
      </w:r>
      <w:r>
        <w:t>F</w:t>
      </w:r>
      <w:r w:rsidRPr="00DA7525">
        <w:t>ail’ of the target BRE of 70 %).</w:t>
      </w:r>
    </w:p>
    <w:p w:rsidR="000C4303" w:rsidRPr="00DA7525" w:rsidRDefault="000C4303" w:rsidP="000C4303">
      <w:pPr>
        <w:pStyle w:val="SWGreportblock6b"/>
      </w:pPr>
      <w:r w:rsidRPr="00DA7525">
        <w:lastRenderedPageBreak/>
        <w:t>The meeting expressed concerns that some of the results were presented as "not repeatable". As it will be difficult to make decisions based on transitory results, all efforts should be made to make results repeatable. This may require changes to the test</w:t>
      </w:r>
      <w:r>
        <w:t>-</w:t>
      </w:r>
      <w:r w:rsidRPr="00DA7525">
        <w:t>setup.</w:t>
      </w:r>
    </w:p>
    <w:p w:rsidR="000C4303" w:rsidRPr="00DA7525" w:rsidRDefault="000C4303" w:rsidP="000C4303">
      <w:pPr>
        <w:pStyle w:val="SWGreportblock6b"/>
      </w:pPr>
      <w:r w:rsidRPr="00DA7525">
        <w:t>Moreover, the meeting recommended to carry out tests with Multichannel DME interrogators (short TTA, complying with RTCA</w:t>
      </w:r>
      <w:r>
        <w:t>-</w:t>
      </w:r>
      <w:r w:rsidRPr="00DA7525">
        <w:t xml:space="preserve"> DO</w:t>
      </w:r>
      <w:r>
        <w:t>/</w:t>
      </w:r>
      <w:r w:rsidRPr="00DA7525">
        <w:t>189), which are being used by today’s air transport fleets.</w:t>
      </w:r>
    </w:p>
    <w:p w:rsidR="000C4303" w:rsidRPr="00DA7525" w:rsidRDefault="000C4303" w:rsidP="000C4303">
      <w:pPr>
        <w:pStyle w:val="SWGreportblock6a"/>
        <w:numPr>
          <w:ilvl w:val="0"/>
          <w:numId w:val="0"/>
        </w:numPr>
        <w:ind w:left="360"/>
        <w:rPr>
          <w:b/>
          <w:u w:val="single"/>
        </w:rPr>
      </w:pPr>
    </w:p>
    <w:p w:rsidR="000C4303" w:rsidRPr="00DA7525" w:rsidRDefault="000C4303" w:rsidP="000C4303">
      <w:pPr>
        <w:pStyle w:val="SWGreportblock6a"/>
        <w:numPr>
          <w:ilvl w:val="0"/>
          <w:numId w:val="0"/>
        </w:numPr>
        <w:ind w:left="360"/>
      </w:pPr>
      <w:r w:rsidRPr="00DA7525">
        <w:rPr>
          <w:b/>
          <w:u w:val="single"/>
        </w:rPr>
        <w:t>Action SWG09/</w:t>
      </w:r>
      <w:r>
        <w:rPr>
          <w:b/>
          <w:u w:val="single"/>
        </w:rPr>
        <w:t>06</w:t>
      </w:r>
      <w:r w:rsidRPr="00DA7525">
        <w:rPr>
          <w:b/>
          <w:u w:val="single"/>
        </w:rPr>
        <w:t>:</w:t>
      </w:r>
      <w:r w:rsidRPr="00DA7525">
        <w:t xml:space="preserve"> Mike Biggs to provide specifications of JTIDS foreground and background power levels</w:t>
      </w:r>
      <w:r>
        <w:t>,</w:t>
      </w:r>
      <w:r w:rsidRPr="00DA7525">
        <w:t xml:space="preserve"> which were applied in the US for JTIDS versus DME compatibility tests. </w:t>
      </w:r>
    </w:p>
    <w:p w:rsidR="000C4303" w:rsidRPr="00DA7525" w:rsidRDefault="000C4303" w:rsidP="000C4303">
      <w:pPr>
        <w:pStyle w:val="SWGreportblock6a"/>
        <w:numPr>
          <w:ilvl w:val="0"/>
          <w:numId w:val="0"/>
        </w:numPr>
        <w:ind w:left="360"/>
      </w:pPr>
      <w:r w:rsidRPr="00DA7525">
        <w:t xml:space="preserve">This action was carried out immediately after the discussion of WP49. </w:t>
      </w:r>
      <w:r w:rsidR="00E208E9" w:rsidRPr="00DA7525">
        <w:t>The response of this action</w:t>
      </w:r>
      <w:r>
        <w:t xml:space="preserve"> based on test reports</w:t>
      </w:r>
      <w:r w:rsidRPr="00DA7525">
        <w:t xml:space="preserve"> is contained in Flimsy 11. The information </w:t>
      </w:r>
      <w:r>
        <w:t xml:space="preserve">in Flimsy 11 </w:t>
      </w:r>
      <w:r w:rsidRPr="00DA7525">
        <w:t>can be summarized as follows:</w:t>
      </w:r>
    </w:p>
    <w:p w:rsidR="000C4303" w:rsidRPr="00F033DE" w:rsidRDefault="000C4303" w:rsidP="000C4303">
      <w:pPr>
        <w:pStyle w:val="SWGreportblock6a"/>
        <w:numPr>
          <w:ilvl w:val="0"/>
          <w:numId w:val="33"/>
        </w:numPr>
        <w:rPr>
          <w:szCs w:val="22"/>
        </w:rPr>
      </w:pPr>
      <w:r w:rsidRPr="00F033DE">
        <w:rPr>
          <w:szCs w:val="22"/>
        </w:rPr>
        <w:t xml:space="preserve">The JTIDS/MIDS foreground/background signals should be considered by the fact, that ICAO guarantees minimum signal levels of -79 dBm. As soon as the signal level of a JTIDS/MIDS transmitter (incorporating the DME/TACAN rejection characteristics), drops below -79 dBm, JTIDS/MIDS channels are not required to be investigated anyhow. Assumed the following DME/TACAN rejection characteristics: </w:t>
      </w:r>
      <w:r w:rsidRPr="00F033DE">
        <w:rPr>
          <w:szCs w:val="22"/>
        </w:rPr>
        <w:br/>
        <w:t>Δf of 3 MHz = 18 dB; Δf of 6 MHz = 37 dB; Δf of 9 MHz = 56 dB; Δf of 6 MHz = 60 dB.</w:t>
      </w:r>
    </w:p>
    <w:p w:rsidR="000C4303" w:rsidRPr="00F033DE" w:rsidRDefault="000C4303" w:rsidP="000C4303">
      <w:pPr>
        <w:pStyle w:val="SWGreportblock6a"/>
        <w:numPr>
          <w:ilvl w:val="0"/>
          <w:numId w:val="33"/>
        </w:numPr>
        <w:rPr>
          <w:szCs w:val="22"/>
        </w:rPr>
      </w:pPr>
      <w:r w:rsidRPr="00F033DE">
        <w:rPr>
          <w:szCs w:val="22"/>
        </w:rPr>
        <w:t xml:space="preserve">Concerning tests of DME/TACAN </w:t>
      </w:r>
      <w:r w:rsidRPr="00F033DE">
        <w:rPr>
          <w:szCs w:val="22"/>
          <w:u w:val="single"/>
        </w:rPr>
        <w:t>interrogators</w:t>
      </w:r>
      <w:r w:rsidRPr="00F033DE">
        <w:rPr>
          <w:szCs w:val="22"/>
        </w:rPr>
        <w:t xml:space="preserve">, three </w:t>
      </w:r>
      <w:r w:rsidR="00E208E9" w:rsidRPr="00F033DE">
        <w:rPr>
          <w:szCs w:val="22"/>
        </w:rPr>
        <w:t>transmitters</w:t>
      </w:r>
      <w:r w:rsidRPr="00F033DE">
        <w:rPr>
          <w:szCs w:val="22"/>
        </w:rPr>
        <w:t xml:space="preserve"> are to be considered with the following consecutive channels:</w:t>
      </w:r>
    </w:p>
    <w:p w:rsidR="000C4303" w:rsidRPr="00F033DE" w:rsidRDefault="000C4303" w:rsidP="000C4303">
      <w:pPr>
        <w:pStyle w:val="SWGreportblock6a"/>
        <w:numPr>
          <w:ilvl w:val="1"/>
          <w:numId w:val="32"/>
        </w:numPr>
        <w:rPr>
          <w:szCs w:val="22"/>
        </w:rPr>
      </w:pPr>
      <w:r w:rsidRPr="00F033DE">
        <w:rPr>
          <w:szCs w:val="22"/>
        </w:rPr>
        <w:t>JTIDS/MIDS foreground terminal of 50 % TSDF (Time Slot Duty Factor) at -42 dBm →</w:t>
      </w:r>
      <w:r>
        <w:rPr>
          <w:szCs w:val="22"/>
        </w:rPr>
        <w:t xml:space="preserve"> </w:t>
      </w:r>
      <w:r w:rsidRPr="00F033DE">
        <w:rPr>
          <w:szCs w:val="22"/>
        </w:rPr>
        <w:t xml:space="preserve">11 channels are to be considered. </w:t>
      </w:r>
    </w:p>
    <w:p w:rsidR="000C4303" w:rsidRPr="00F033DE" w:rsidRDefault="000C4303" w:rsidP="000C4303">
      <w:pPr>
        <w:pStyle w:val="SWGreportblock6a"/>
        <w:numPr>
          <w:ilvl w:val="1"/>
          <w:numId w:val="32"/>
        </w:numPr>
        <w:rPr>
          <w:szCs w:val="22"/>
        </w:rPr>
      </w:pPr>
      <w:r w:rsidRPr="00F033DE">
        <w:rPr>
          <w:szCs w:val="22"/>
        </w:rPr>
        <w:t>JTIDS/MIDS Ring 1 terminal of 30 % TSDF at -60 dBm → 3 channels are to be considered 3 consecutive channels are to be considered (centre channel ± 1 adjacent channels).</w:t>
      </w:r>
    </w:p>
    <w:p w:rsidR="000C4303" w:rsidRPr="00F033DE" w:rsidRDefault="000C4303" w:rsidP="000C4303">
      <w:pPr>
        <w:pStyle w:val="SWGreportblock6a"/>
        <w:numPr>
          <w:ilvl w:val="1"/>
          <w:numId w:val="32"/>
        </w:numPr>
        <w:rPr>
          <w:szCs w:val="22"/>
        </w:rPr>
      </w:pPr>
      <w:r w:rsidRPr="00F033DE">
        <w:rPr>
          <w:szCs w:val="22"/>
        </w:rPr>
        <w:t>JTIDS/MIDS Ring 2 terminal of 20 % TSDF at -72 dBm → only the centre channel is to be considered.</w:t>
      </w:r>
    </w:p>
    <w:p w:rsidR="000C4303" w:rsidRPr="00F033DE" w:rsidRDefault="000C4303" w:rsidP="000C4303">
      <w:pPr>
        <w:pStyle w:val="SWGreportblock6a"/>
        <w:numPr>
          <w:ilvl w:val="0"/>
          <w:numId w:val="33"/>
        </w:numPr>
        <w:rPr>
          <w:szCs w:val="22"/>
        </w:rPr>
      </w:pPr>
      <w:r w:rsidRPr="00F033DE">
        <w:rPr>
          <w:szCs w:val="22"/>
        </w:rPr>
        <w:t xml:space="preserve">Regarding the tests of </w:t>
      </w:r>
      <w:r w:rsidRPr="00F033DE">
        <w:rPr>
          <w:szCs w:val="22"/>
          <w:u w:val="single"/>
        </w:rPr>
        <w:t>ground equipment</w:t>
      </w:r>
      <w:r w:rsidRPr="00F033DE">
        <w:rPr>
          <w:szCs w:val="22"/>
        </w:rPr>
        <w:t>, the JTIDS-foreground consisted of a 50 % TSDF signal levels at -33 dBm. 30 % TSDF at -60 dBm and 20 % TSDF at -75 dBm.</w:t>
      </w:r>
    </w:p>
    <w:p w:rsidR="000C4303" w:rsidRPr="00F033DE" w:rsidRDefault="000C4303" w:rsidP="000C4303">
      <w:pPr>
        <w:pStyle w:val="SWGreportblock6a"/>
        <w:numPr>
          <w:ilvl w:val="0"/>
          <w:numId w:val="33"/>
        </w:numPr>
        <w:rPr>
          <w:szCs w:val="22"/>
        </w:rPr>
      </w:pPr>
      <w:r w:rsidRPr="00F033DE">
        <w:rPr>
          <w:szCs w:val="22"/>
        </w:rPr>
        <w:t>Additionally, a load of 2174 ppps at a signal level of -80 dBm was used with the beacon to represent the effect of other DME equipped aircraft (other than the desired DME equipped aircraft). An extraneous pulse environment was also included to represent effect of co-channel/adjacent channel and co-code/off code signals from interrogators obtaining service from nearby beacons.</w:t>
      </w:r>
    </w:p>
    <w:p w:rsidR="000C4303" w:rsidRDefault="000C4303" w:rsidP="000C4303">
      <w:pPr>
        <w:rPr>
          <w:b/>
          <w:highlight w:val="cyan"/>
        </w:rPr>
      </w:pPr>
    </w:p>
    <w:p w:rsidR="003259B2" w:rsidRDefault="003259B2" w:rsidP="000C4303">
      <w:pPr>
        <w:rPr>
          <w:b/>
          <w:highlight w:val="cyan"/>
        </w:rPr>
      </w:pPr>
    </w:p>
    <w:p w:rsidR="003259B2" w:rsidRDefault="003259B2" w:rsidP="000C4303">
      <w:pPr>
        <w:rPr>
          <w:b/>
          <w:highlight w:val="cyan"/>
        </w:rPr>
      </w:pPr>
    </w:p>
    <w:p w:rsidR="003259B2" w:rsidRPr="00D721A6" w:rsidRDefault="003259B2" w:rsidP="000C4303">
      <w:pPr>
        <w:rPr>
          <w:b/>
          <w:highlight w:val="cyan"/>
        </w:rPr>
      </w:pPr>
    </w:p>
    <w:p w:rsidR="000C4303" w:rsidRPr="00D721A6" w:rsidRDefault="000C4303" w:rsidP="000C4303">
      <w:pPr>
        <w:rPr>
          <w:b/>
          <w:highlight w:val="cyan"/>
        </w:rPr>
      </w:pPr>
      <w:r w:rsidRPr="00D721A6">
        <w:rPr>
          <w:b/>
          <w:highlight w:val="cyan"/>
        </w:rPr>
        <w:lastRenderedPageBreak/>
        <w:t>WP09, rev.1</w:t>
      </w:r>
      <w:r>
        <w:rPr>
          <w:b/>
          <w:highlight w:val="cyan"/>
        </w:rPr>
        <w:t>,</w:t>
      </w:r>
      <w:r w:rsidRPr="00D721A6">
        <w:rPr>
          <w:b/>
          <w:highlight w:val="cyan"/>
        </w:rPr>
        <w:t xml:space="preserve"> Handbook on radio frequency spectrum requirements for civil aviation, Volume II (Doc. 9718) Chapter 5 - DME</w:t>
      </w:r>
    </w:p>
    <w:p w:rsidR="000C4303" w:rsidRPr="002F19EB" w:rsidRDefault="000C4303" w:rsidP="000C4303">
      <w:pPr>
        <w:pStyle w:val="SWGreportblock6b"/>
      </w:pPr>
      <w:r w:rsidRPr="002F19EB">
        <w:t>This paper presents material for the frequency assignment planning of the DME for incorporation in Chapter 5 of volume II of ICAO Doc 9718. It introduces for the frequency assignment planning of DME systems the generic method that has been proposed in the separate working paper, WP06.</w:t>
      </w:r>
    </w:p>
    <w:p w:rsidR="000C4303" w:rsidRDefault="000C4303" w:rsidP="000C4303">
      <w:pPr>
        <w:pStyle w:val="SWGreportblock6b"/>
      </w:pPr>
      <w:r w:rsidRPr="002F19EB">
        <w:t>In the discussion, the SWG provided change requests and comments on WP09</w:t>
      </w:r>
      <w:r>
        <w:t>, which were taken into account by t</w:t>
      </w:r>
      <w:r w:rsidRPr="002F19EB">
        <w:t>he author of the paper afterwards</w:t>
      </w:r>
      <w:r>
        <w:t>. They are contained in</w:t>
      </w:r>
      <w:r w:rsidRPr="002F19EB">
        <w:t xml:space="preserve"> provided revision 1 of</w:t>
      </w:r>
      <w:r>
        <w:t>WP09</w:t>
      </w:r>
      <w:r w:rsidRPr="002F19EB">
        <w:t xml:space="preserve">. </w:t>
      </w:r>
    </w:p>
    <w:p w:rsidR="000C4303" w:rsidRPr="002F19EB" w:rsidRDefault="000C4303" w:rsidP="000C4303">
      <w:pPr>
        <w:pStyle w:val="SWGreportblock6b"/>
      </w:pPr>
      <w:r>
        <w:t>However, t</w:t>
      </w:r>
      <w:r w:rsidRPr="002F19EB">
        <w:t>he following issues remained open:</w:t>
      </w:r>
    </w:p>
    <w:p w:rsidR="000C4303" w:rsidRPr="002F19EB" w:rsidRDefault="000C4303" w:rsidP="000C4303">
      <w:pPr>
        <w:pStyle w:val="SWGreportblock6b"/>
        <w:numPr>
          <w:ilvl w:val="0"/>
          <w:numId w:val="39"/>
        </w:numPr>
      </w:pPr>
      <w:r w:rsidRPr="002F19EB">
        <w:t xml:space="preserve">Is there is a need to do D/U-checks for the ground transponder receivers, if you consider X- and Y-code signals with the same interrogation frequency. </w:t>
      </w:r>
    </w:p>
    <w:p w:rsidR="000C4303" w:rsidRPr="002F19EB" w:rsidRDefault="000C4303" w:rsidP="000C4303">
      <w:pPr>
        <w:pStyle w:val="SWGreportblock6b"/>
        <w:numPr>
          <w:ilvl w:val="0"/>
          <w:numId w:val="39"/>
        </w:numPr>
      </w:pPr>
      <w:r w:rsidRPr="002F19EB">
        <w:t>Does the UAT-Manual (ICAO Doc 9861) contain applicable frequency assignment planning rules</w:t>
      </w:r>
    </w:p>
    <w:p w:rsidR="000C4303" w:rsidRPr="002F19EB" w:rsidRDefault="000C4303" w:rsidP="000C4303">
      <w:pPr>
        <w:pStyle w:val="SWGreportblock6b"/>
      </w:pPr>
      <w:r w:rsidRPr="002F19EB">
        <w:t>Two action items were formulated to evaluate these issues further.</w:t>
      </w:r>
      <w:r>
        <w:t xml:space="preserve"> </w:t>
      </w:r>
      <w:r w:rsidRPr="002F19EB">
        <w:t>The SWG agreed that the material is expected to reach an adequate maturity level to be adopted by the April 2020 meeting of ICAO NSP to recommend to ICAO FSMP its inclusion into ICAO Doc 9718, Volume II.</w:t>
      </w:r>
    </w:p>
    <w:p w:rsidR="000C4303" w:rsidRPr="00624578" w:rsidRDefault="000C4303" w:rsidP="000C4303">
      <w:r w:rsidRPr="00624578">
        <w:rPr>
          <w:b/>
          <w:u w:val="single"/>
        </w:rPr>
        <w:t>Action: SWG09/</w:t>
      </w:r>
      <w:r>
        <w:rPr>
          <w:b/>
          <w:u w:val="single"/>
        </w:rPr>
        <w:t>07</w:t>
      </w:r>
      <w:r w:rsidRPr="00624578">
        <w:rPr>
          <w:b/>
        </w:rPr>
        <w:t>:</w:t>
      </w:r>
      <w:r w:rsidRPr="00624578">
        <w:t xml:space="preserve"> Mike Biggs to check, why there is no need to do D/U-checks for the ground transponder receivers, if you consider X- and Y-code signals with the same interrogation frequency</w:t>
      </w:r>
      <w:r>
        <w:t>.</w:t>
      </w:r>
    </w:p>
    <w:p w:rsidR="000C4303" w:rsidRPr="00624578" w:rsidRDefault="000C4303" w:rsidP="000C4303"/>
    <w:p w:rsidR="000C4303" w:rsidRPr="00624578" w:rsidRDefault="000C4303" w:rsidP="000C4303">
      <w:pPr>
        <w:rPr>
          <w:b/>
        </w:rPr>
      </w:pPr>
      <w:r w:rsidRPr="00624578">
        <w:rPr>
          <w:b/>
          <w:u w:val="single"/>
        </w:rPr>
        <w:t>Action SWG09/</w:t>
      </w:r>
      <w:r>
        <w:rPr>
          <w:b/>
          <w:u w:val="single"/>
        </w:rPr>
        <w:t>08</w:t>
      </w:r>
      <w:r w:rsidRPr="00624578">
        <w:t>: Robert Witzen to check, whether the UAT-Manual (ICAO Doc 9861) contains frequency assignment planning rules and reflect those in Chapter 5 of Doc 9718, Vol. II.</w:t>
      </w:r>
    </w:p>
    <w:p w:rsidR="000C4303" w:rsidRPr="00D721A6" w:rsidRDefault="000C4303" w:rsidP="000C4303">
      <w:pPr>
        <w:rPr>
          <w:b/>
          <w:highlight w:val="cyan"/>
        </w:rPr>
      </w:pPr>
    </w:p>
    <w:p w:rsidR="000C4303" w:rsidRPr="00D721A6" w:rsidRDefault="000C4303" w:rsidP="000C4303">
      <w:pPr>
        <w:rPr>
          <w:b/>
          <w:sz w:val="24"/>
        </w:rPr>
      </w:pPr>
      <w:r w:rsidRPr="003E1A20">
        <w:rPr>
          <w:b/>
          <w:sz w:val="24"/>
          <w:highlight w:val="green"/>
        </w:rPr>
        <w:t>Agenda Item 6c): Signal and compatibility issues in the band 5000 to 5150 MHz</w:t>
      </w:r>
    </w:p>
    <w:p w:rsidR="000C4303" w:rsidRPr="00D721A6" w:rsidRDefault="000C4303" w:rsidP="000C4303">
      <w:pPr>
        <w:rPr>
          <w:i/>
          <w:iCs/>
          <w:sz w:val="20"/>
        </w:rPr>
      </w:pPr>
      <w:r w:rsidRPr="00D721A6">
        <w:rPr>
          <w:i/>
          <w:iCs/>
          <w:sz w:val="20"/>
        </w:rPr>
        <w:t>Note: No papers have been presented under this agenda item.</w:t>
      </w:r>
    </w:p>
    <w:p w:rsidR="000C4303" w:rsidRPr="00D721A6" w:rsidRDefault="000C4303" w:rsidP="000C4303">
      <w:pPr>
        <w:rPr>
          <w:i/>
          <w:iCs/>
          <w:sz w:val="20"/>
        </w:rPr>
      </w:pPr>
    </w:p>
    <w:p w:rsidR="000C4303" w:rsidRPr="00D721A6" w:rsidRDefault="000C4303" w:rsidP="000C4303">
      <w:pPr>
        <w:rPr>
          <w:b/>
          <w:sz w:val="24"/>
        </w:rPr>
      </w:pPr>
      <w:r w:rsidRPr="003E1A20">
        <w:rPr>
          <w:b/>
          <w:sz w:val="24"/>
          <w:highlight w:val="green"/>
        </w:rPr>
        <w:t>Agenda Item 6d): GNSS signal and interference issues</w:t>
      </w:r>
    </w:p>
    <w:p w:rsidR="000C4303" w:rsidRPr="00D721A6" w:rsidRDefault="000C4303" w:rsidP="000C4303">
      <w:pPr>
        <w:rPr>
          <w:i/>
          <w:sz w:val="20"/>
        </w:rPr>
      </w:pPr>
      <w:r w:rsidRPr="00D721A6">
        <w:rPr>
          <w:i/>
          <w:sz w:val="20"/>
        </w:rPr>
        <w:t>Note: The papers below, which are covered by this agenda item, were discussed by the SWG alone.</w:t>
      </w:r>
    </w:p>
    <w:p w:rsidR="000C4303" w:rsidRPr="00D721A6" w:rsidRDefault="000C4303" w:rsidP="000C4303">
      <w:pPr>
        <w:rPr>
          <w:i/>
          <w:highlight w:val="yellow"/>
        </w:rPr>
      </w:pPr>
    </w:p>
    <w:p w:rsidR="000C4303" w:rsidRPr="00D721A6" w:rsidRDefault="000C4303" w:rsidP="000C4303">
      <w:pPr>
        <w:rPr>
          <w:b/>
          <w:highlight w:val="cyan"/>
        </w:rPr>
      </w:pPr>
      <w:r w:rsidRPr="00D721A6">
        <w:rPr>
          <w:b/>
          <w:highlight w:val="cyan"/>
        </w:rPr>
        <w:t>IP05</w:t>
      </w:r>
      <w:r>
        <w:rPr>
          <w:b/>
          <w:highlight w:val="cyan"/>
        </w:rPr>
        <w:t xml:space="preserve">, </w:t>
      </w:r>
      <w:r w:rsidRPr="00D721A6">
        <w:rPr>
          <w:b/>
          <w:highlight w:val="cyan"/>
        </w:rPr>
        <w:t>Discussion of GNSS interference at 40</w:t>
      </w:r>
      <w:r w:rsidRPr="003E1A20">
        <w:rPr>
          <w:b/>
          <w:highlight w:val="cyan"/>
          <w:vertAlign w:val="superscript"/>
        </w:rPr>
        <w:t>th</w:t>
      </w:r>
      <w:r w:rsidRPr="00D721A6">
        <w:rPr>
          <w:b/>
          <w:highlight w:val="cyan"/>
        </w:rPr>
        <w:t xml:space="preserve"> Session of the ICAO Assembly</w:t>
      </w:r>
    </w:p>
    <w:p w:rsidR="000C4303" w:rsidRPr="00DA7525" w:rsidRDefault="000C4303" w:rsidP="000C4303">
      <w:pPr>
        <w:pStyle w:val="SWGreportblock6d0"/>
        <w:numPr>
          <w:ilvl w:val="0"/>
          <w:numId w:val="41"/>
        </w:numPr>
        <w:ind w:left="357" w:hanging="357"/>
      </w:pPr>
      <w:r w:rsidRPr="00C023EA">
        <w:t>The SWG learned from the presentation of IP05 that 40th ICAO Assembly (24</w:t>
      </w:r>
      <w:r w:rsidRPr="00F033DE">
        <w:rPr>
          <w:vertAlign w:val="superscript"/>
        </w:rPr>
        <w:t>th</w:t>
      </w:r>
      <w:r>
        <w:t xml:space="preserve"> </w:t>
      </w:r>
      <w:r w:rsidRPr="00C023EA">
        <w:t xml:space="preserve">September </w:t>
      </w:r>
      <w:r>
        <w:t>to</w:t>
      </w:r>
      <w:r w:rsidRPr="00C023EA">
        <w:t xml:space="preserve"> 4</w:t>
      </w:r>
      <w:r w:rsidRPr="00F033DE">
        <w:rPr>
          <w:vertAlign w:val="superscript"/>
        </w:rPr>
        <w:t>th</w:t>
      </w:r>
      <w:r>
        <w:t xml:space="preserve"> </w:t>
      </w:r>
      <w:r w:rsidRPr="00DA7525">
        <w:t>October 2019), considered under Agenda Item 30 the following three papers related to GNSS interference matters:</w:t>
      </w:r>
    </w:p>
    <w:p w:rsidR="000C4303" w:rsidRPr="00DA7525" w:rsidRDefault="000C4303" w:rsidP="000C4303">
      <w:pPr>
        <w:pStyle w:val="SWGreportblock6b"/>
        <w:numPr>
          <w:ilvl w:val="1"/>
          <w:numId w:val="30"/>
        </w:numPr>
      </w:pPr>
      <w:r w:rsidRPr="00DA7525">
        <w:t>“INTERFERENCE-RESILIENT SATELLITE-BASED CNS SYSTEMS”, A40</w:t>
      </w:r>
      <w:r w:rsidRPr="00DA7525">
        <w:noBreakHyphen/>
        <w:t>WP/82</w:t>
      </w:r>
    </w:p>
    <w:p w:rsidR="000C4303" w:rsidRPr="00DA7525" w:rsidRDefault="000C4303" w:rsidP="000C4303">
      <w:pPr>
        <w:pStyle w:val="SWGreportblock6b"/>
        <w:numPr>
          <w:ilvl w:val="1"/>
          <w:numId w:val="30"/>
        </w:numPr>
      </w:pPr>
      <w:r w:rsidRPr="00DA7525">
        <w:t>AN URGENT NEED TO ADDRESS HARMFUL INTERFERENCES TO GNSS, A40</w:t>
      </w:r>
      <w:r w:rsidRPr="00DA7525">
        <w:noBreakHyphen/>
        <w:t>WP/188</w:t>
      </w:r>
    </w:p>
    <w:p w:rsidR="000C4303" w:rsidRPr="00DA7525" w:rsidRDefault="000C4303" w:rsidP="000C4303">
      <w:pPr>
        <w:pStyle w:val="SWGreportblock6b"/>
        <w:numPr>
          <w:ilvl w:val="1"/>
          <w:numId w:val="30"/>
        </w:numPr>
      </w:pPr>
      <w:r w:rsidRPr="00DA7525">
        <w:t>TOWARDS GNSS RESILIENCE TO SUPPORT SUSTAINABLE IMPLEMENTATION OF ASBU MODULES, A40-WP/352</w:t>
      </w:r>
    </w:p>
    <w:p w:rsidR="000C4303" w:rsidRPr="00DA7525" w:rsidRDefault="000C4303" w:rsidP="000C4303">
      <w:pPr>
        <w:pStyle w:val="SWGreportblock6d0"/>
        <w:numPr>
          <w:ilvl w:val="0"/>
          <w:numId w:val="41"/>
        </w:numPr>
        <w:ind w:left="357" w:hanging="357"/>
      </w:pPr>
      <w:r w:rsidRPr="00DA7525">
        <w:lastRenderedPageBreak/>
        <w:t>The SWG discussed in particular paragraph 30.15 from the report of the 40</w:t>
      </w:r>
      <w:r w:rsidRPr="00F033DE">
        <w:rPr>
          <w:vertAlign w:val="superscript"/>
        </w:rPr>
        <w:t>th</w:t>
      </w:r>
      <w:r w:rsidRPr="00DA7525">
        <w:t xml:space="preserve"> Session of the ICAO Assembly: “The Commission noted the essential commonality of purpose among the three papers, which proposed actions by States and ICAO to strengthen CNS systems resilience and mitigate harmful interference to GNSS, in coordination with industry. The Commission agreed with the proposals and recommended that the Council act with urgency on measures aimed at elimination of harmful interference to GNSS. It was noted that the actions for ICAO were within the scope of the existing work programme.” </w:t>
      </w:r>
    </w:p>
    <w:p w:rsidR="000C4303" w:rsidRPr="00DA7525" w:rsidRDefault="000C4303" w:rsidP="000C4303">
      <w:pPr>
        <w:pStyle w:val="SWGreportblock6d0"/>
        <w:numPr>
          <w:ilvl w:val="0"/>
          <w:numId w:val="41"/>
        </w:numPr>
        <w:ind w:left="357" w:hanging="357"/>
      </w:pPr>
      <w:r w:rsidRPr="00DA7525">
        <w:t>In the context of the presentation of IP05</w:t>
      </w:r>
      <w:r>
        <w:t>,</w:t>
      </w:r>
      <w:r w:rsidRPr="00DA7525">
        <w:t xml:space="preserve"> the NSP secretary explained that in spring 2020 the Air Navigation Commission and the ICAO Council would review this issue and decide, as necessary, on additional actions for the ICAO Navigation Systems Panel. In the discussion of IP05, members of the SWG observed that A40-WP/82, among other things, contained the following recommendation: “to develop guidelines and best practices for use at the State, regional and global levels to mitigate safety risks related to any civil or military GNSS testing activities or other activities which may impact CNS systems (e.g. intentional jamming);”. SWG-members reminded the meeting that in this context various tasks have already been accomplished (e.g. development of guidance on GNSS RFI mitigation, which is contained in the GNSS Manual) or are already ongoing (e.g. discussion of APNT, stimulated by Job Card NSP009.04). Developing a catalogue of best practices to be applied for intentional jamming (e.g. jamming exercised by State authorities in the context of combat against Drone attacks) was considered useful by the SWG. </w:t>
      </w:r>
    </w:p>
    <w:p w:rsidR="000C4303" w:rsidRPr="00DA7525" w:rsidRDefault="000C4303" w:rsidP="000C4303">
      <w:pPr>
        <w:pStyle w:val="SWGreportblock6d0"/>
        <w:numPr>
          <w:ilvl w:val="0"/>
          <w:numId w:val="41"/>
        </w:numPr>
        <w:ind w:left="357" w:hanging="357"/>
      </w:pPr>
      <w:r w:rsidRPr="00DA7525">
        <w:t>The SWG was informed by one member of the group, that France was providing by means of WP03 to the ICAO EANPG FMG a questionnaire to collect from European ICAO Sates information regarding the process that States may have to conduct and manage GPS intentional interference. The SWG welcomed this initiative. This material was made available without further discussion as Flimsy 07.</w:t>
      </w:r>
    </w:p>
    <w:p w:rsidR="000C4303" w:rsidRDefault="000C4303" w:rsidP="000C4303">
      <w:pPr>
        <w:rPr>
          <w:b/>
          <w:highlight w:val="cyan"/>
        </w:rPr>
      </w:pPr>
    </w:p>
    <w:p w:rsidR="00B00CF0" w:rsidRDefault="00B00CF0" w:rsidP="000C4303">
      <w:pPr>
        <w:rPr>
          <w:b/>
          <w:highlight w:val="cyan"/>
        </w:rPr>
      </w:pPr>
    </w:p>
    <w:p w:rsidR="000C4303" w:rsidRPr="00D721A6" w:rsidRDefault="000C4303" w:rsidP="000C4303">
      <w:pPr>
        <w:rPr>
          <w:b/>
          <w:highlight w:val="cyan"/>
        </w:rPr>
      </w:pPr>
      <w:r w:rsidRPr="00D721A6">
        <w:rPr>
          <w:b/>
          <w:highlight w:val="cyan"/>
        </w:rPr>
        <w:t>IP18</w:t>
      </w:r>
      <w:r>
        <w:rPr>
          <w:b/>
          <w:highlight w:val="cyan"/>
        </w:rPr>
        <w:t xml:space="preserve">, </w:t>
      </w:r>
      <w:r w:rsidRPr="00D721A6">
        <w:rPr>
          <w:b/>
          <w:highlight w:val="cyan"/>
        </w:rPr>
        <w:t>WP207 of ICAO Assembly, Future Frequency Spectrum Needs in Aviation</w:t>
      </w:r>
    </w:p>
    <w:p w:rsidR="000C4303" w:rsidRDefault="000C4303" w:rsidP="000C4303">
      <w:pPr>
        <w:pStyle w:val="SWGreportblock6d0"/>
        <w:numPr>
          <w:ilvl w:val="0"/>
          <w:numId w:val="41"/>
        </w:numPr>
        <w:ind w:left="357" w:hanging="357"/>
      </w:pPr>
      <w:r w:rsidRPr="00DA7525">
        <w:t>The SWG noted that this paper recalls the increasing needs of civil aviation for frequency spectrum and highlights the role of member States in actively supporting ICAO positions developed by ICAO FSMP within ITU in particular during the ITU World Radiocommunication Conference 2019 (WRC-19). IP18 was discussed in conjunction with Flimsy 03, which contains ICAO Assembly report text on WP207</w:t>
      </w:r>
      <w:r>
        <w:t>.</w:t>
      </w:r>
    </w:p>
    <w:p w:rsidR="00B00CF0" w:rsidRDefault="00B00CF0" w:rsidP="000C4303">
      <w:pPr>
        <w:rPr>
          <w:b/>
          <w:highlight w:val="cyan"/>
        </w:rPr>
      </w:pPr>
    </w:p>
    <w:p w:rsidR="00B00CF0" w:rsidRDefault="00B00CF0" w:rsidP="000C4303">
      <w:pPr>
        <w:rPr>
          <w:b/>
          <w:highlight w:val="cyan"/>
        </w:rPr>
      </w:pPr>
    </w:p>
    <w:p w:rsidR="00B00CF0" w:rsidRDefault="00B00CF0" w:rsidP="000C4303">
      <w:pPr>
        <w:rPr>
          <w:b/>
          <w:highlight w:val="cyan"/>
        </w:rPr>
      </w:pPr>
    </w:p>
    <w:p w:rsidR="00B00CF0" w:rsidRDefault="00B00CF0" w:rsidP="000C4303">
      <w:pPr>
        <w:rPr>
          <w:b/>
          <w:highlight w:val="cyan"/>
        </w:rPr>
      </w:pPr>
    </w:p>
    <w:p w:rsidR="00B00CF0" w:rsidRPr="00D721A6" w:rsidRDefault="00B00CF0" w:rsidP="000C4303">
      <w:pPr>
        <w:rPr>
          <w:b/>
          <w:highlight w:val="cyan"/>
        </w:rPr>
      </w:pPr>
    </w:p>
    <w:p w:rsidR="000C4303" w:rsidRPr="00D721A6" w:rsidRDefault="000C4303" w:rsidP="000C4303">
      <w:pPr>
        <w:rPr>
          <w:b/>
          <w:highlight w:val="cyan"/>
        </w:rPr>
      </w:pPr>
      <w:r w:rsidRPr="00D721A6">
        <w:rPr>
          <w:b/>
          <w:highlight w:val="cyan"/>
        </w:rPr>
        <w:t>Flimsy03</w:t>
      </w:r>
      <w:r>
        <w:rPr>
          <w:b/>
          <w:highlight w:val="cyan"/>
        </w:rPr>
        <w:t xml:space="preserve">, </w:t>
      </w:r>
      <w:r w:rsidRPr="00D721A6">
        <w:rPr>
          <w:b/>
          <w:highlight w:val="cyan"/>
        </w:rPr>
        <w:t>ICAO Assembly report text on WP207</w:t>
      </w:r>
    </w:p>
    <w:p w:rsidR="000C4303" w:rsidRPr="00DA7525" w:rsidRDefault="000C4303" w:rsidP="000C4303">
      <w:pPr>
        <w:pStyle w:val="SWGreportblock6d0"/>
        <w:numPr>
          <w:ilvl w:val="0"/>
          <w:numId w:val="41"/>
        </w:numPr>
        <w:ind w:left="357" w:hanging="357"/>
      </w:pPr>
      <w:r w:rsidRPr="00DA7525">
        <w:t>This paper contains text from the meeting report of the 40th ICAO Assembly on Paper A40</w:t>
      </w:r>
      <w:r w:rsidRPr="00DA7525">
        <w:noBreakHyphen/>
        <w:t xml:space="preserve">WP207 “Future Frequency Spectrum Needs in Aviation” (IP018). In paragraph 30.68 of the Assembly meeting report it is stated, among other things, that </w:t>
      </w:r>
      <w:r w:rsidR="00E208E9" w:rsidRPr="00DA7525">
        <w:t>“ICAO</w:t>
      </w:r>
      <w:r w:rsidRPr="00DA7525">
        <w:t xml:space="preserve"> should launch a multi</w:t>
      </w:r>
      <w:r>
        <w:softHyphen/>
      </w:r>
      <w:r w:rsidRPr="00DA7525">
        <w:t>disciplinary study to evolve the required CNS and frequency spectrum access strategy and systems roadmap in the short, medium and long term”</w:t>
      </w:r>
    </w:p>
    <w:p w:rsidR="000C4303" w:rsidRPr="00DA7525" w:rsidRDefault="000C4303" w:rsidP="000C4303">
      <w:pPr>
        <w:pStyle w:val="SWGreportblock6d0"/>
        <w:numPr>
          <w:ilvl w:val="0"/>
          <w:numId w:val="41"/>
        </w:numPr>
        <w:ind w:left="357" w:hanging="357"/>
      </w:pPr>
      <w:r w:rsidRPr="00DA7525">
        <w:lastRenderedPageBreak/>
        <w:t xml:space="preserve">In the discussion it was pointed out by members of the meeting that the current Volume I of ICAO Doc 9718 contains already some material on an “aviation strategy and vision”, developed by the ICAO FSMP. Parts of that material was developed in Europe by the SESAR 15.1.6 project and reviewed by the European Aeronautical Spectrum and Frequency Consultation Group, ASFCG (a group established by the European Conference of Ministers of Transport). Various members of the SWG pointed out that the current ICAO spectrum strategy is still vague. In order to derive a more precise “aviation spectrum strategy and vision” a clear “CNS systems roadmap” to be developed by a common effort of the dedicated ICAO panels would be necessary. In this context, the NSP secretary explained </w:t>
      </w:r>
      <w:r>
        <w:t>that</w:t>
      </w:r>
      <w:r w:rsidRPr="00DA7525">
        <w:t xml:space="preserve"> since the Air Navigation Conference 2018 the ICAO secretariat </w:t>
      </w:r>
      <w:r>
        <w:t xml:space="preserve">had been tasked by the ICAO Council </w:t>
      </w:r>
      <w:r w:rsidRPr="00DA7525">
        <w:t>to create a dedicated group in order to develop “”a methodology to evolve the required C, N and S functions, using existing global aeronautical frequency allocations” in response to AN-Conf</w:t>
      </w:r>
      <w:r>
        <w:t> </w:t>
      </w:r>
      <w:r w:rsidRPr="00DA7525">
        <w:t>13 recommendation 2.2/1.</w:t>
      </w:r>
    </w:p>
    <w:p w:rsidR="003259B2" w:rsidRDefault="003259B2" w:rsidP="000C4303">
      <w:pPr>
        <w:rPr>
          <w:b/>
          <w:highlight w:val="cyan"/>
        </w:rPr>
      </w:pPr>
    </w:p>
    <w:p w:rsidR="003259B2" w:rsidRDefault="003259B2" w:rsidP="000C4303">
      <w:pPr>
        <w:rPr>
          <w:b/>
          <w:highlight w:val="cyan"/>
        </w:rPr>
      </w:pPr>
    </w:p>
    <w:p w:rsidR="000C4303" w:rsidRPr="00D721A6" w:rsidRDefault="000C4303" w:rsidP="000C4303">
      <w:pPr>
        <w:rPr>
          <w:b/>
          <w:highlight w:val="cyan"/>
        </w:rPr>
      </w:pPr>
      <w:r w:rsidRPr="00D721A6">
        <w:rPr>
          <w:b/>
          <w:highlight w:val="cyan"/>
        </w:rPr>
        <w:t>IP08</w:t>
      </w:r>
      <w:r>
        <w:rPr>
          <w:b/>
          <w:highlight w:val="cyan"/>
        </w:rPr>
        <w:t xml:space="preserve">, </w:t>
      </w:r>
      <w:r w:rsidRPr="00D721A6">
        <w:rPr>
          <w:b/>
          <w:highlight w:val="cyan"/>
        </w:rPr>
        <w:t>Interference Mask and Anti-Interference Testing for BDS B1C and B2a signals</w:t>
      </w:r>
    </w:p>
    <w:p w:rsidR="000C4303" w:rsidRPr="00DA7525" w:rsidRDefault="000C4303" w:rsidP="000C4303">
      <w:pPr>
        <w:pStyle w:val="SWGreportblock6d0"/>
        <w:numPr>
          <w:ilvl w:val="0"/>
          <w:numId w:val="41"/>
        </w:numPr>
        <w:ind w:left="357" w:hanging="357"/>
      </w:pPr>
      <w:r w:rsidRPr="00DA7525">
        <w:t xml:space="preserve">This document provides the interference mask for B1C and B2a signals including the continuous interference, the additive white Gaussian noise interference (AWGN) and the pulse interference. The tracking error of BDS B1C and B2a receivers under the RFI mask was tested and present in this paper to support the development and verification of the BDS OS draft SARPs. The SWG learned from the presentation of IP08 that for BDS B1C the GPS L1 interference mask was used, while for B2a the GPS L5 interference mask was used. </w:t>
      </w:r>
    </w:p>
    <w:p w:rsidR="000C4303" w:rsidRDefault="000C4303" w:rsidP="000C4303">
      <w:pPr>
        <w:pStyle w:val="SWGreportblock6d0"/>
        <w:numPr>
          <w:ilvl w:val="0"/>
          <w:numId w:val="41"/>
        </w:numPr>
        <w:ind w:left="357" w:hanging="357"/>
      </w:pPr>
      <w:r w:rsidRPr="00DA7525">
        <w:t xml:space="preserve">In the discussion, it was pointed out by members of the SWG that work is ongoing in Working Group 6 of RTCA SC-159 and in EUROCAE Working Group 62, which will lead to a tightening of both mask in the near future. The updated E1/L1 interference threshold specification will be contained in an update of RTCA DO-235 while the updated E5 /L5 interference threshold specification will be contained in an update of RTCA DO-292. The SWG recommend to China to follow closely the update of the GNSS RFI- threshold specifications by RTCA </w:t>
      </w:r>
      <w:r>
        <w:t xml:space="preserve">SC159 WG6 </w:t>
      </w:r>
      <w:r w:rsidRPr="00DA7525">
        <w:t>and EUROCAE</w:t>
      </w:r>
      <w:r>
        <w:t xml:space="preserve"> WG62</w:t>
      </w:r>
      <w:r w:rsidRPr="00DA7525">
        <w:t>. Moreover, the SWG recommended presenting the interference masks for B1C and B2a signals to the GNSS SARPs Working Group (GSWG) of ICAO NSP.</w:t>
      </w:r>
    </w:p>
    <w:p w:rsidR="000C4303" w:rsidRPr="00DA7525" w:rsidRDefault="000C4303" w:rsidP="000C4303">
      <w:pPr>
        <w:pStyle w:val="SWGreportblock6d0"/>
        <w:numPr>
          <w:ilvl w:val="0"/>
          <w:numId w:val="41"/>
        </w:numPr>
        <w:ind w:left="357" w:hanging="357"/>
      </w:pPr>
      <w:r w:rsidRPr="00DA7525">
        <w:t xml:space="preserve">In the context of the discussion of IP08, the SWG-rapporteur reminded the representatives of China that the presentation of IP04 containing material on the Beidou B1I interference threshold to the session of SWG at ICAO NSP/3 prompted serious discussion of the SWG. Back then (quote from paragraph 6d4 of the report of the SWG meeting in December 2016) , “SWG expressed concerns regarding the impact of the Mobile Satellite Service Down-link since the increase of the tracking accuracy to 0.6 m would contradict the value of 0.4 m, which is specified in the draft Beidou B1I SARPs (WP20 ICAO NSP/1, December 2015). SWG reminded the Beidou-experts that Beidou could not claim protection from interference by MSS, since MSS is operating in its band allocated by ITU (below 1559 MHz). Therefore, SWG recommended that the interference robustness of the receiver be increased to recognize the interference caused by MSS. This should be reflected in a change in the interference threshold mask”. </w:t>
      </w:r>
    </w:p>
    <w:p w:rsidR="000C4303" w:rsidRDefault="000C4303" w:rsidP="000C4303">
      <w:pPr>
        <w:rPr>
          <w:b/>
          <w:highlight w:val="cyan"/>
        </w:rPr>
      </w:pPr>
    </w:p>
    <w:p w:rsidR="003259B2" w:rsidRDefault="003259B2" w:rsidP="000C4303">
      <w:pPr>
        <w:rPr>
          <w:b/>
          <w:highlight w:val="cyan"/>
        </w:rPr>
      </w:pPr>
    </w:p>
    <w:p w:rsidR="003259B2" w:rsidRDefault="003259B2" w:rsidP="000C4303">
      <w:pPr>
        <w:rPr>
          <w:b/>
          <w:highlight w:val="cyan"/>
        </w:rPr>
      </w:pPr>
    </w:p>
    <w:p w:rsidR="003259B2" w:rsidRDefault="003259B2" w:rsidP="000C4303">
      <w:pPr>
        <w:rPr>
          <w:b/>
          <w:highlight w:val="cyan"/>
        </w:rPr>
      </w:pPr>
    </w:p>
    <w:p w:rsidR="003259B2" w:rsidRDefault="003259B2" w:rsidP="000C4303">
      <w:pPr>
        <w:rPr>
          <w:b/>
          <w:highlight w:val="cyan"/>
        </w:rPr>
      </w:pPr>
    </w:p>
    <w:p w:rsidR="003259B2" w:rsidRDefault="003259B2" w:rsidP="000C4303">
      <w:pPr>
        <w:rPr>
          <w:b/>
          <w:highlight w:val="cyan"/>
        </w:rPr>
      </w:pPr>
    </w:p>
    <w:p w:rsidR="003259B2" w:rsidRPr="00D721A6" w:rsidRDefault="003259B2" w:rsidP="000C4303">
      <w:pPr>
        <w:rPr>
          <w:b/>
          <w:highlight w:val="cyan"/>
        </w:rPr>
      </w:pPr>
    </w:p>
    <w:p w:rsidR="000C4303" w:rsidRPr="00D721A6" w:rsidRDefault="000C4303" w:rsidP="000C4303">
      <w:pPr>
        <w:rPr>
          <w:b/>
          <w:highlight w:val="cyan"/>
        </w:rPr>
      </w:pPr>
      <w:r w:rsidRPr="00D721A6">
        <w:rPr>
          <w:b/>
          <w:highlight w:val="cyan"/>
        </w:rPr>
        <w:lastRenderedPageBreak/>
        <w:t>WP44, Proposed L5/E5a Aggregate Non-Aeronautical Interference Mask</w:t>
      </w:r>
    </w:p>
    <w:p w:rsidR="000C4303" w:rsidRDefault="000C4303" w:rsidP="000C4303">
      <w:pPr>
        <w:rPr>
          <w:i/>
          <w:highlight w:val="cyan"/>
        </w:rPr>
      </w:pPr>
    </w:p>
    <w:p w:rsidR="000C4303" w:rsidRPr="00D721A6" w:rsidRDefault="000C4303" w:rsidP="000C4303">
      <w:pPr>
        <w:rPr>
          <w:i/>
        </w:rPr>
      </w:pPr>
      <w:r w:rsidRPr="00D721A6">
        <w:rPr>
          <w:i/>
        </w:rPr>
        <w:t>Note: This paper was reviewed by the SWG without presentation</w:t>
      </w:r>
    </w:p>
    <w:p w:rsidR="000C4303" w:rsidRPr="00DA7525" w:rsidRDefault="000C4303" w:rsidP="000C4303">
      <w:pPr>
        <w:pStyle w:val="SWGreportblock6d0"/>
        <w:numPr>
          <w:ilvl w:val="0"/>
          <w:numId w:val="41"/>
        </w:numPr>
        <w:ind w:left="357" w:hanging="357"/>
      </w:pPr>
      <w:r w:rsidRPr="00DA7525">
        <w:t>This paper reports that the interference mask applying to the GPS L1 C/A signal is assumed to apply to Galileo E1 signals. However, no L5/E5a interference mask has been endorsed by the community so far. A proposal of L5/E5a interference mask is given in RTCA DO292. This document was written in 2004 and RTCA is working on a revision with an expected completion date in October 2020. This paper provides a first contribution to establish the L5/E5a interference mask (section 5 of the paper) to be used in DFMC SBAS and Galileo SARPs amendments and EUROCAE DFMC SBAS MOPS.</w:t>
      </w:r>
    </w:p>
    <w:p w:rsidR="000C4303" w:rsidRPr="00F033DE" w:rsidRDefault="000C4303" w:rsidP="000C4303">
      <w:pPr>
        <w:pStyle w:val="SWGreportblock6d0"/>
        <w:numPr>
          <w:ilvl w:val="0"/>
          <w:numId w:val="41"/>
        </w:numPr>
        <w:ind w:left="357" w:hanging="357"/>
      </w:pPr>
      <w:r w:rsidRPr="00F033DE">
        <w:t>The group noted the provided information and provided the following observations:</w:t>
      </w:r>
    </w:p>
    <w:p w:rsidR="000C4303" w:rsidRPr="00F033DE" w:rsidRDefault="000C4303" w:rsidP="000C4303">
      <w:pPr>
        <w:pStyle w:val="SWGreportblock6b"/>
        <w:numPr>
          <w:ilvl w:val="0"/>
          <w:numId w:val="35"/>
        </w:numPr>
      </w:pPr>
      <w:r w:rsidRPr="00F033DE">
        <w:t>It seems to be materially the same as what is being worked on in RTCA SC-159 WG6. That group has the appropriate experts to balance performance vs buildability of receivers.</w:t>
      </w:r>
      <w:r w:rsidRPr="00F033DE" w:rsidDel="00EF1008">
        <w:t xml:space="preserve"> </w:t>
      </w:r>
      <w:r w:rsidRPr="00F033DE">
        <w:t>Taking into account the ever more challenging threat to aviation spectrum, the SWG encourages those experts in Working Group 6 to work to make the mask as tight as possible (best filter roll-offs, etc.). That means that the SWG wanted the mask to allow the largest possible power levels, and that induces in particular relying on the most rejecting filters possible. A co-author of WP44 explained that concerning the RF/IF filters, the paper has already assumed the most rejecting filters possible (roll-off of 5.5. dB/MHz). Moreover, the RTCA WG6 stated at its meeting on 3</w:t>
      </w:r>
      <w:r w:rsidRPr="00F033DE">
        <w:rPr>
          <w:vertAlign w:val="superscript"/>
        </w:rPr>
        <w:t>rd</w:t>
      </w:r>
      <w:r w:rsidRPr="00F033DE">
        <w:t xml:space="preserve"> of Oct 2019, that the assumed filters are already more rejecting, than the filters for L1/E1 and that it would be very difficult to assume better filters. The RTCA WG6 proposed the authors of WP44 to study the gain in performance which would obtain using more rejecting filters (with sharper roll-off that 5.5 dB/MHz), in order to decide, if better filters that the ones defined at the moment would be really interesting. The results of such a parametric study could be presented to the next meeting of SWG.</w:t>
      </w:r>
    </w:p>
    <w:p w:rsidR="000C4303" w:rsidRPr="00F033DE" w:rsidRDefault="000C4303" w:rsidP="00E06430">
      <w:pPr>
        <w:pStyle w:val="SWGreportblock6b"/>
        <w:numPr>
          <w:ilvl w:val="0"/>
          <w:numId w:val="35"/>
        </w:numPr>
      </w:pPr>
      <w:r w:rsidRPr="00F033DE">
        <w:t>With regard to how the mask is used, (a) it needs to be noted that this mask does not apply to some short (in time) pulsed sources, they are allowed to be stronger than the power levels indicated, and (b) there really needs to be consideration of whether a source maybe considered to be an interferer</w:t>
      </w:r>
      <w:r>
        <w:t xml:space="preserve"> </w:t>
      </w:r>
      <w:r w:rsidRPr="00F033DE">
        <w:t>at high altitudes (where DME/JTIDS interference causes the hot spots talked about in the paper and where there is little margin left for non-aeronautical interference), and might not need to be considered as interferer at low altitudes (where the DME/JTIDS interference is less so there is more allowance for non-aero interference). In other words, the mask at FL400 allows power levels from external interferences weaker than, what can be tolerated at lower flight levels. A co-author of the paper explained that, from the point of view of spectrum protection at ITU, only the mask applying to FL400 would be kept.</w:t>
      </w:r>
    </w:p>
    <w:p w:rsidR="003259B2" w:rsidRDefault="003259B2" w:rsidP="000C4303">
      <w:pPr>
        <w:rPr>
          <w:b/>
          <w:sz w:val="24"/>
          <w:highlight w:val="green"/>
        </w:rPr>
      </w:pPr>
    </w:p>
    <w:p w:rsidR="000C4303" w:rsidRPr="00D721A6" w:rsidRDefault="000C4303" w:rsidP="000C4303">
      <w:pPr>
        <w:rPr>
          <w:b/>
          <w:sz w:val="24"/>
        </w:rPr>
      </w:pPr>
      <w:r w:rsidRPr="000A1C54">
        <w:rPr>
          <w:b/>
          <w:sz w:val="24"/>
          <w:highlight w:val="green"/>
        </w:rPr>
        <w:t>Agenda Item 6e): Open actions for SWG from ICAO NSP Panel meetings</w:t>
      </w:r>
    </w:p>
    <w:p w:rsidR="000C4303" w:rsidRPr="00D721A6" w:rsidRDefault="000C4303" w:rsidP="000C4303">
      <w:pPr>
        <w:rPr>
          <w:i/>
        </w:rPr>
      </w:pPr>
      <w:r w:rsidRPr="00D721A6">
        <w:rPr>
          <w:i/>
        </w:rPr>
        <w:t>Note: No actions from panel meeting under this agenda item were discussed.</w:t>
      </w:r>
    </w:p>
    <w:p w:rsidR="003259B2" w:rsidRDefault="003259B2" w:rsidP="000C4303">
      <w:pPr>
        <w:rPr>
          <w:b/>
          <w:sz w:val="24"/>
          <w:highlight w:val="green"/>
        </w:rPr>
      </w:pPr>
    </w:p>
    <w:p w:rsidR="003259B2" w:rsidRDefault="003259B2" w:rsidP="000C4303">
      <w:pPr>
        <w:rPr>
          <w:b/>
          <w:sz w:val="24"/>
          <w:highlight w:val="green"/>
        </w:rPr>
      </w:pPr>
    </w:p>
    <w:p w:rsidR="003259B2" w:rsidRDefault="003259B2" w:rsidP="000C4303">
      <w:pPr>
        <w:rPr>
          <w:b/>
          <w:sz w:val="24"/>
          <w:highlight w:val="green"/>
        </w:rPr>
      </w:pPr>
    </w:p>
    <w:p w:rsidR="002F1C58" w:rsidRDefault="002F1C58" w:rsidP="000C4303">
      <w:pPr>
        <w:rPr>
          <w:b/>
          <w:sz w:val="24"/>
          <w:highlight w:val="green"/>
        </w:rPr>
      </w:pPr>
    </w:p>
    <w:p w:rsidR="002F1C58" w:rsidRDefault="002F1C58" w:rsidP="000C4303">
      <w:pPr>
        <w:rPr>
          <w:b/>
          <w:sz w:val="24"/>
          <w:highlight w:val="green"/>
        </w:rPr>
      </w:pPr>
    </w:p>
    <w:p w:rsidR="002F1C58" w:rsidRDefault="002F1C58" w:rsidP="000C4303">
      <w:pPr>
        <w:rPr>
          <w:b/>
          <w:sz w:val="24"/>
          <w:highlight w:val="green"/>
        </w:rPr>
      </w:pPr>
    </w:p>
    <w:p w:rsidR="002F1C58" w:rsidRDefault="002F1C58" w:rsidP="000C4303">
      <w:pPr>
        <w:rPr>
          <w:b/>
          <w:sz w:val="24"/>
          <w:highlight w:val="green"/>
        </w:rPr>
      </w:pPr>
    </w:p>
    <w:p w:rsidR="003259B2" w:rsidRDefault="003259B2" w:rsidP="000C4303">
      <w:pPr>
        <w:rPr>
          <w:b/>
          <w:sz w:val="24"/>
          <w:highlight w:val="green"/>
        </w:rPr>
      </w:pPr>
    </w:p>
    <w:p w:rsidR="000C4303" w:rsidRPr="00D721A6" w:rsidRDefault="000C4303" w:rsidP="000C4303">
      <w:pPr>
        <w:rPr>
          <w:b/>
          <w:sz w:val="24"/>
        </w:rPr>
      </w:pPr>
      <w:r w:rsidRPr="000A1C54">
        <w:rPr>
          <w:b/>
          <w:sz w:val="24"/>
          <w:highlight w:val="green"/>
        </w:rPr>
        <w:t>Agenda Item 6f): Spectrum – any other business</w:t>
      </w:r>
    </w:p>
    <w:p w:rsidR="000C4303" w:rsidRPr="00D721A6" w:rsidRDefault="000C4303" w:rsidP="000C4303">
      <w:pPr>
        <w:rPr>
          <w:i/>
        </w:rPr>
      </w:pPr>
      <w:r w:rsidRPr="00D721A6">
        <w:rPr>
          <w:i/>
        </w:rPr>
        <w:t>Note: the following papers were discussed by a joint meeting of SWG, GWG and CNTWG</w:t>
      </w:r>
    </w:p>
    <w:p w:rsidR="000C4303" w:rsidRPr="00D721A6" w:rsidRDefault="000C4303" w:rsidP="000C4303">
      <w:pPr>
        <w:rPr>
          <w:b/>
          <w:highlight w:val="cyan"/>
        </w:rPr>
      </w:pPr>
    </w:p>
    <w:p w:rsidR="000C4303" w:rsidRPr="00D721A6" w:rsidRDefault="000C4303" w:rsidP="000C4303">
      <w:pPr>
        <w:rPr>
          <w:b/>
          <w:highlight w:val="cyan"/>
        </w:rPr>
      </w:pPr>
      <w:r w:rsidRPr="00D721A6">
        <w:rPr>
          <w:b/>
          <w:highlight w:val="cyan"/>
        </w:rPr>
        <w:t>WP21,</w:t>
      </w:r>
      <w:r w:rsidRPr="00D721A6">
        <w:rPr>
          <w:b/>
          <w:highlight w:val="cyan"/>
        </w:rPr>
        <w:tab/>
        <w:t>Introduction of RPAS C2 links into NAV bands</w:t>
      </w:r>
    </w:p>
    <w:p w:rsidR="000C4303" w:rsidRPr="00DA7525" w:rsidRDefault="000C4303" w:rsidP="000C4303">
      <w:pPr>
        <w:pStyle w:val="SWGreportblock6f"/>
        <w:ind w:left="426" w:hanging="426"/>
      </w:pPr>
      <w:r w:rsidRPr="00DA7525">
        <w:t xml:space="preserve">The SWG noted from the presentation of WP21 that ICAO </w:t>
      </w:r>
      <w:r>
        <w:t>State letter</w:t>
      </w:r>
      <w:r w:rsidRPr="00DA7525">
        <w:t xml:space="preserve"> 19/52 (attached to WP21) seeks comments from States on proposals for the amendment of Annex 10 related to the command and control (C2) links for remotely piloted aircraft systems (RPAS). The proposals include general provisions regarding the introduction of RPAS C2 links in frequency bands used by ICAO standard navigation aids (ILS, VOR, GNSS, and MLS). The deadline for </w:t>
      </w:r>
      <w:r>
        <w:t xml:space="preserve">State </w:t>
      </w:r>
      <w:r w:rsidRPr="00DA7525">
        <w:t xml:space="preserve">replies to the State letter is 21 February 2020. </w:t>
      </w:r>
    </w:p>
    <w:p w:rsidR="000C4303" w:rsidRPr="00DA7525" w:rsidRDefault="000C4303" w:rsidP="000C4303">
      <w:pPr>
        <w:pStyle w:val="SWGreportblock6f"/>
        <w:ind w:left="426" w:hanging="426"/>
      </w:pPr>
      <w:r w:rsidRPr="00DA7525">
        <w:t xml:space="preserve">Due to an oversight, the proposals in the State letter were not coordinated with NSP. The content of the proposals was brought to the NSP Secretary’s notice on 2 September 2019. A brief round of coordination with NSP members and Rapporteurs followed. Informal considerations by the NSP Secretary on the proposals (provided as Flimsy 9) were circulated to NSP members and Rapporteurs in an email dated 10 September. </w:t>
      </w:r>
    </w:p>
    <w:p w:rsidR="000C4303" w:rsidRPr="00DA7525" w:rsidRDefault="000C4303" w:rsidP="000C4303">
      <w:pPr>
        <w:pStyle w:val="SWGreportblock6f"/>
        <w:ind w:left="426" w:hanging="426"/>
      </w:pPr>
      <w:r w:rsidRPr="00DA7525">
        <w:t>In the discussion, the meeting expressed in particular concerns on the new section 5.2</w:t>
      </w:r>
      <w:r>
        <w:t xml:space="preserve"> of ICAO Annex 10, Volume V</w:t>
      </w:r>
      <w:r w:rsidRPr="00DA7525">
        <w:t xml:space="preserve">, proposed by the </w:t>
      </w:r>
      <w:r>
        <w:t>State letter</w:t>
      </w:r>
      <w:r w:rsidRPr="00DA7525">
        <w:t>, which contains the following statement: “Suitable frequencies or frequency bands with such allocations include 113.250 MHz and 136.925 MHz (common signalling frequencies for VDL Mode 4), 960-1164 MHz and 5030-5091 MHz.”</w:t>
      </w:r>
    </w:p>
    <w:p w:rsidR="000C4303" w:rsidRPr="00DA7525" w:rsidRDefault="000C4303" w:rsidP="000C4303">
      <w:pPr>
        <w:pStyle w:val="SWGreportblock6f"/>
        <w:ind w:left="426" w:hanging="426"/>
      </w:pPr>
      <w:r w:rsidRPr="00DA7525">
        <w:t xml:space="preserve">The meeting agreed that RPAS C2 links could only be introduced into aeronautical frequency bands after the development of international frequency assignment planning rules, based on compatibility studies with incumbent aeronautical radionavigation services. For this purpose, the radiofrequency characteristics of the RPAS C2 links in aeronautical radio frequency bands needed to be standardised in ICAO Annex 10. </w:t>
      </w:r>
    </w:p>
    <w:p w:rsidR="000C4303" w:rsidRPr="00DA7525" w:rsidRDefault="000C4303" w:rsidP="000C4303">
      <w:pPr>
        <w:pStyle w:val="SWGreportblock6f"/>
        <w:ind w:left="426" w:hanging="426"/>
      </w:pPr>
      <w:r w:rsidRPr="00DA7525">
        <w:t>The meeting emphasized the need for national responses to this State letter. The meeting recommended to members of the ICAO NSP to pay attention to this guidance, in their contribution to their State’s State letter response. In this context, Flimsy 10 was provided, containing an example of one State’s State letter response.</w:t>
      </w:r>
    </w:p>
    <w:p w:rsidR="000C4303" w:rsidRPr="00F033DE" w:rsidRDefault="000C4303" w:rsidP="000C4303">
      <w:pPr>
        <w:ind w:left="426" w:hanging="426"/>
        <w:rPr>
          <w:i/>
        </w:rPr>
      </w:pPr>
      <w:r w:rsidRPr="00F033DE">
        <w:rPr>
          <w:i/>
        </w:rPr>
        <w:t xml:space="preserve">Note: After the </w:t>
      </w:r>
      <w:r w:rsidRPr="00024EF9">
        <w:rPr>
          <w:i/>
        </w:rPr>
        <w:t>SWG-meeting,</w:t>
      </w:r>
      <w:r w:rsidRPr="00F033DE">
        <w:rPr>
          <w:i/>
        </w:rPr>
        <w:t xml:space="preserve"> this topic was further discussed in the </w:t>
      </w:r>
      <w:r w:rsidR="00E208E9" w:rsidRPr="00F033DE">
        <w:rPr>
          <w:i/>
        </w:rPr>
        <w:t>JWGs</w:t>
      </w:r>
      <w:r w:rsidRPr="00F033DE">
        <w:rPr>
          <w:i/>
        </w:rPr>
        <w:t>/5. The conclusions of that discussion are summarized in JWGs/5- Flimsy 37 titled “NSP Comments on ICAO State Letter 2019/52 on RPAS”</w:t>
      </w:r>
      <w:r>
        <w:rPr>
          <w:i/>
        </w:rPr>
        <w:t>.</w:t>
      </w:r>
      <w:r w:rsidRPr="00F033DE">
        <w:rPr>
          <w:i/>
        </w:rPr>
        <w:t xml:space="preserve"> </w:t>
      </w:r>
    </w:p>
    <w:p w:rsidR="002F1C58" w:rsidRPr="00D721A6" w:rsidRDefault="002F1C58" w:rsidP="000C4303">
      <w:pPr>
        <w:ind w:left="426" w:hanging="426"/>
      </w:pPr>
    </w:p>
    <w:p w:rsidR="000C4303" w:rsidRPr="00D721A6" w:rsidRDefault="000C4303" w:rsidP="000C4303">
      <w:pPr>
        <w:rPr>
          <w:b/>
          <w:highlight w:val="cyan"/>
        </w:rPr>
      </w:pPr>
      <w:r w:rsidRPr="00D721A6">
        <w:rPr>
          <w:b/>
          <w:highlight w:val="cyan"/>
        </w:rPr>
        <w:t>WP39 Introduction of RPAS C2 links into NAV bands</w:t>
      </w:r>
    </w:p>
    <w:p w:rsidR="000C4303" w:rsidRPr="00DA7525" w:rsidRDefault="000C4303" w:rsidP="000C4303">
      <w:pPr>
        <w:pStyle w:val="SWGreportblock6f"/>
      </w:pPr>
      <w:r w:rsidRPr="00DA7525">
        <w:t xml:space="preserve">WP39 contains observations concerning JWGs/5-WP/21, which brings to the attention of the NSP ICAO State letter 19/52 (S/L-19/52) titled “Introduction of RPAS C2 links into NAV bands”. One observation is that reference to the common signalling frequencies for VDL Mode 4 (113.250 and 136.925 MHz) could suggest that the C2 link at these frequencies may follow the standards for VDL Mode 4. For the other terrestrial navigation frequency bands mentioned in the State letter the only guidance is, that </w:t>
      </w:r>
      <w:r>
        <w:t>their operation shall be determined on the basis of ‘R</w:t>
      </w:r>
      <w:r w:rsidRPr="00DA7525">
        <w:t xml:space="preserve">egional </w:t>
      </w:r>
      <w:r>
        <w:t>A</w:t>
      </w:r>
      <w:r w:rsidRPr="00DA7525">
        <w:t xml:space="preserve">ir </w:t>
      </w:r>
      <w:r>
        <w:t>N</w:t>
      </w:r>
      <w:r w:rsidRPr="00DA7525">
        <w:t xml:space="preserve">avigation </w:t>
      </w:r>
      <w:r>
        <w:t>A</w:t>
      </w:r>
      <w:r w:rsidRPr="00DA7525">
        <w:t>greements</w:t>
      </w:r>
      <w:r>
        <w:t>’</w:t>
      </w:r>
      <w:r w:rsidRPr="00DA7525">
        <w:t>.</w:t>
      </w:r>
    </w:p>
    <w:p w:rsidR="000C4303" w:rsidRDefault="000C4303" w:rsidP="000C4303">
      <w:pPr>
        <w:pStyle w:val="SWGreportblock6f"/>
      </w:pPr>
      <w:r w:rsidRPr="00DA7525">
        <w:lastRenderedPageBreak/>
        <w:t>In WP39, it is further pointed out, that the spectrum-planning objective must be to protect existing aviation safety of life (SoL) services from interference from new services, including C2 links, proposed for the band. Likewise, the C2 link must be protected in order to be able to operate satisfactorily alongside existing SoL aviation services and also protected from other new entrants to the band be it aviation or non-aviation. As a minimum</w:t>
      </w:r>
      <w:r w:rsidR="00E208E9">
        <w:t>,</w:t>
      </w:r>
      <w:r w:rsidRPr="00DA7525">
        <w:t xml:space="preserve"> radio frequency characteristics of the proposed C2 links for each proposed band need to determined and standardised to allow compatibility studies to be completed.</w:t>
      </w:r>
    </w:p>
    <w:p w:rsidR="000C4303" w:rsidRPr="00DA7525" w:rsidRDefault="000C4303" w:rsidP="000C4303">
      <w:pPr>
        <w:pStyle w:val="SWGreportblock6f"/>
      </w:pPr>
      <w:r w:rsidRPr="00DA7525">
        <w:t>The meeting agreed with the recommendations by WP39, that there is a need to have a defined radio frequency characteristic of the C2 link to allow compatibility studies with standardised navigation aids and endorsement of amendment proposed in S/L-19/52 should be withhold, until compatibility studies have shown the proposals are acceptable.</w:t>
      </w:r>
    </w:p>
    <w:p w:rsidR="000C4303" w:rsidRDefault="000C4303" w:rsidP="000C4303">
      <w:pPr>
        <w:ind w:left="426" w:hanging="426"/>
      </w:pPr>
    </w:p>
    <w:p w:rsidR="000C4303" w:rsidRPr="00D721A6" w:rsidRDefault="000C4303" w:rsidP="000C4303">
      <w:pPr>
        <w:rPr>
          <w:b/>
          <w:highlight w:val="cyan"/>
        </w:rPr>
      </w:pPr>
      <w:r w:rsidRPr="00D721A6">
        <w:rPr>
          <w:b/>
          <w:highlight w:val="cyan"/>
        </w:rPr>
        <w:t>WP23,</w:t>
      </w:r>
      <w:r w:rsidRPr="00D721A6">
        <w:rPr>
          <w:b/>
          <w:highlight w:val="cyan"/>
        </w:rPr>
        <w:tab/>
        <w:t>PROPOSAL FOR AMENDMENT TO ANNEX 10, VOLUME I, III, IV and V, TO FACILITATE THE STATES TO MONITOR EFFECTIVE IMPLEMENTATIONS OF RELEVANT ICAO ANNEX 10 PROVISIONS UNDER THE USOAP</w:t>
      </w:r>
    </w:p>
    <w:p w:rsidR="000C4303" w:rsidRPr="00DA7525" w:rsidRDefault="000C4303" w:rsidP="000C4303">
      <w:pPr>
        <w:pStyle w:val="SWGreportblock6f"/>
      </w:pPr>
      <w:r w:rsidRPr="00DA7525">
        <w:t>This paper presents proposals for amendment to several Volumes of ICAO Annex 10, which were developed by the Frequency Spectrum Management Panel (FSMP), to facilitate the States to monitor effective implementations of relevant ICAO Annex 10 provisions, dealing with the radio frequency environment. The proposals address provisions related to implementation of a safety oversight programme that the designated competent authorities are involved in safety case assessments of the radio frequency environment to protect the operational availability of aeronautical CNS systems adequately.</w:t>
      </w:r>
    </w:p>
    <w:p w:rsidR="000C4303" w:rsidRDefault="000C4303" w:rsidP="000C4303">
      <w:pPr>
        <w:pStyle w:val="SWGreportblock6f"/>
      </w:pPr>
      <w:r w:rsidRPr="00DA7525">
        <w:t xml:space="preserve">In the discussion of WP23, the meeting agreed with the goal of the paper to constantly assess any potential change of the radio frequency environment (e.g. due to the proposed introduction of non-aeronautical systems into aeronautical bands) in order to adequately ensure protection of the operational availability of aeronautical CNS systems. However, </w:t>
      </w:r>
      <w:r>
        <w:t xml:space="preserve">the meeting </w:t>
      </w:r>
      <w:r w:rsidRPr="00DA7525">
        <w:t>did not agree with the approach of the paper to do this by means of a dedicated safety oversight programme with the target to prescribe that State authorities are involved in safety case assessments of the radio frequency environment.</w:t>
      </w:r>
    </w:p>
    <w:p w:rsidR="002F1C58" w:rsidRDefault="002F1C58" w:rsidP="002F1C58">
      <w:pPr>
        <w:pStyle w:val="SWGreportblock6f"/>
        <w:numPr>
          <w:ilvl w:val="0"/>
          <w:numId w:val="0"/>
        </w:numPr>
        <w:ind w:left="357" w:hanging="357"/>
      </w:pPr>
    </w:p>
    <w:p w:rsidR="002F1C58" w:rsidRDefault="002F1C58" w:rsidP="002F1C58">
      <w:pPr>
        <w:pStyle w:val="SWGreportblock6f"/>
        <w:numPr>
          <w:ilvl w:val="0"/>
          <w:numId w:val="0"/>
        </w:numPr>
        <w:ind w:left="357" w:hanging="357"/>
      </w:pPr>
    </w:p>
    <w:p w:rsidR="000C4303" w:rsidRPr="00DA7525" w:rsidRDefault="000C4303" w:rsidP="000C4303">
      <w:pPr>
        <w:pStyle w:val="SWGreportblock6f"/>
      </w:pPr>
      <w:r w:rsidRPr="00DA7525">
        <w:t>The following observations were on various parts of WP23 were provided by members of the meeting:</w:t>
      </w:r>
    </w:p>
    <w:p w:rsidR="000C4303" w:rsidRPr="00F033DE" w:rsidRDefault="000C4303" w:rsidP="000C4303">
      <w:pPr>
        <w:pStyle w:val="SWGreportblock6f"/>
        <w:numPr>
          <w:ilvl w:val="0"/>
          <w:numId w:val="34"/>
        </w:numPr>
      </w:pPr>
      <w:r w:rsidRPr="00F033DE">
        <w:t>On chapter 2.1 “supervision”, section 2.1.1: This provision is not considered necessary, as it is the States’ responsibility to comply with ICAO Standards including those in Annex 10 Volume 1. How the State complies with Standards is a responsibility of the State. The administrative arrangements should not be prescribed in Annex10 and do not contribute to system safety. Furthermore, other than duplicating a designation, which already exists in other Annexes, a State would not know what to do about this provision on top of what is already being done. There is no evident link to Volume V as written in the rationale. The term “international aeronautical radio service” is not used in Annex 10 Volume 1, and its significance would need to be explained.</w:t>
      </w:r>
    </w:p>
    <w:p w:rsidR="000C4303" w:rsidRPr="00F033DE" w:rsidRDefault="000C4303" w:rsidP="000C4303">
      <w:pPr>
        <w:pStyle w:val="SWGreportblock6f"/>
        <w:numPr>
          <w:ilvl w:val="0"/>
          <w:numId w:val="34"/>
        </w:numPr>
      </w:pPr>
      <w:r w:rsidRPr="00F033DE">
        <w:lastRenderedPageBreak/>
        <w:t xml:space="preserve">On section 2.2.2: A change in the RF environment which results in a navigation aid not complying with ICAO Annex 10, Volume I, Chapter 3 would require the State to notify a difference in the State’s AIP. For </w:t>
      </w:r>
      <w:r w:rsidR="00E208E9" w:rsidRPr="00F033DE">
        <w:t>example,</w:t>
      </w:r>
      <w:r w:rsidRPr="00F033DE">
        <w:t xml:space="preserve"> degraded or lack of services from DME due to Programme Making and Special Event equipment (PMSE, i.e. wireless microphones in the DME frequency band) would be a difference that is required to be notified in the AIP. This is impractical, because the facilities standardized in Annex 10 would not actually be deviating from meeting the defined requirements, while the RF environment itself is not standardized except for interference masks for GNSS.</w:t>
      </w:r>
    </w:p>
    <w:p w:rsidR="000C4303" w:rsidRPr="00F033DE" w:rsidRDefault="000C4303" w:rsidP="000C4303">
      <w:pPr>
        <w:pStyle w:val="SWGreportblock6f"/>
        <w:numPr>
          <w:ilvl w:val="0"/>
          <w:numId w:val="34"/>
        </w:numPr>
      </w:pPr>
      <w:r w:rsidRPr="00F033DE">
        <w:t xml:space="preserve">On section 2.3 “Ground and flight testing”: This existing provision can be interpreted to include ongoing evaluation of the RF environment (Provisions for this exist in ICAO Doc 8071). An additional note to clarify RF environment consideration to this provision would remove the need for the proposed provision 2.7. </w:t>
      </w:r>
    </w:p>
    <w:p w:rsidR="000C4303" w:rsidRPr="00F033DE" w:rsidRDefault="000C4303" w:rsidP="000C4303">
      <w:pPr>
        <w:pStyle w:val="SWGreportblock6f"/>
        <w:numPr>
          <w:ilvl w:val="0"/>
          <w:numId w:val="34"/>
        </w:numPr>
      </w:pPr>
      <w:r w:rsidRPr="00F033DE">
        <w:t>On section 2.7 “RF environment considerations”: It is inappropriate to standardise consultation with inadequately described term ‘users’. The term originates from Annex 11, which is linked to ATS system changes, which would normally NOT include non-aeronautical RF sources. As written, the requirement appears to link to an in-service evaluation of the RF environment. It does NOT link (at least not in any recognizable form) to a pre-standardization system compatibility and spectrum sharing assessment activity, which should take place prior to actual shared spectrum system usage.</w:t>
      </w:r>
    </w:p>
    <w:p w:rsidR="000C4303" w:rsidRPr="00F033DE" w:rsidRDefault="000C4303" w:rsidP="000C4303">
      <w:pPr>
        <w:pStyle w:val="SWGreportblock6f"/>
        <w:numPr>
          <w:ilvl w:val="0"/>
          <w:numId w:val="34"/>
        </w:numPr>
        <w:rPr>
          <w:szCs w:val="20"/>
        </w:rPr>
      </w:pPr>
      <w:r w:rsidRPr="00F033DE">
        <w:t xml:space="preserve">Amendment proposals to other Volumes include new provisions on human factors. Because such a recommendation already exists in Volume I, no change is proposed. However, it should be noted that the relationship of </w:t>
      </w:r>
      <w:r>
        <w:t>‘</w:t>
      </w:r>
      <w:r w:rsidRPr="00F033DE">
        <w:t>human factor equipment design principles</w:t>
      </w:r>
      <w:r>
        <w:t>’</w:t>
      </w:r>
      <w:r w:rsidRPr="00F033DE">
        <w:t xml:space="preserve"> and the </w:t>
      </w:r>
      <w:r>
        <w:t>‘</w:t>
      </w:r>
      <w:r w:rsidRPr="00F033DE">
        <w:t>RF environment</w:t>
      </w:r>
      <w:r>
        <w:t>’</w:t>
      </w:r>
      <w:r w:rsidRPr="00F033DE">
        <w:t xml:space="preserve"> to spectrum compatibility matters is not evident.</w:t>
      </w:r>
    </w:p>
    <w:p w:rsidR="000C4303" w:rsidRPr="00F033DE" w:rsidRDefault="000C4303" w:rsidP="000C4303">
      <w:pPr>
        <w:pStyle w:val="SWGreportblock6f"/>
        <w:numPr>
          <w:ilvl w:val="0"/>
          <w:numId w:val="34"/>
        </w:numPr>
      </w:pPr>
      <w:r w:rsidRPr="00F033DE">
        <w:t> ICAO Annex 10, Volume 5, Rec</w:t>
      </w:r>
      <w:r>
        <w:t>.</w:t>
      </w:r>
      <w:r w:rsidRPr="00F033DE">
        <w:t xml:space="preserve"> 1.1.1.3 asks authorities to exchange information regarding the performance, operation and maintenance of CNS radio systems. It is not clear what this would entail in addition to the provisions of Annex 15 and may create a significant reporting and coordination effort between ANSP (who have this information) and regulatory authorities. It is written in a far-reaching way</w:t>
      </w:r>
      <w:r w:rsidR="00E208E9">
        <w:t>,</w:t>
      </w:r>
      <w:r w:rsidRPr="00F033DE">
        <w:t xml:space="preserve"> but its benefit is questionable.</w:t>
      </w:r>
    </w:p>
    <w:p w:rsidR="000C4303" w:rsidRPr="003252A6" w:rsidRDefault="000C4303" w:rsidP="000C4303">
      <w:pPr>
        <w:pStyle w:val="SWGreportblock6f"/>
      </w:pPr>
      <w:r w:rsidRPr="003252A6">
        <w:t xml:space="preserve">The observations of the meeting on WP23 will serve as </w:t>
      </w:r>
      <w:r>
        <w:t xml:space="preserve">an element of </w:t>
      </w:r>
      <w:r w:rsidRPr="003252A6">
        <w:t>the ICAO secretariat’s response on this issue to ICAO FSMP.</w:t>
      </w:r>
    </w:p>
    <w:p w:rsidR="000C4303" w:rsidRPr="00D721A6" w:rsidRDefault="000C4303" w:rsidP="000C4303">
      <w:pPr>
        <w:ind w:left="426" w:hanging="426"/>
      </w:pPr>
    </w:p>
    <w:p w:rsidR="000C4303" w:rsidRPr="00D721A6" w:rsidRDefault="000C4303" w:rsidP="000C4303">
      <w:pPr>
        <w:ind w:left="426" w:hanging="426"/>
      </w:pPr>
    </w:p>
    <w:p w:rsidR="000C4303" w:rsidRPr="00D721A6" w:rsidRDefault="000C4303" w:rsidP="000C4303">
      <w:pPr>
        <w:rPr>
          <w:b/>
          <w:sz w:val="24"/>
        </w:rPr>
      </w:pPr>
      <w:r w:rsidRPr="00D721A6">
        <w:rPr>
          <w:b/>
          <w:sz w:val="24"/>
        </w:rPr>
        <w:t>III</w:t>
      </w:r>
      <w:r w:rsidRPr="00D721A6">
        <w:rPr>
          <w:b/>
          <w:sz w:val="24"/>
        </w:rPr>
        <w:tab/>
        <w:t>Administrative matters</w:t>
      </w:r>
    </w:p>
    <w:p w:rsidR="000C4303" w:rsidRPr="00D721A6" w:rsidRDefault="000C4303" w:rsidP="000C4303"/>
    <w:p w:rsidR="000C4303" w:rsidRPr="002C6A83" w:rsidRDefault="000C4303" w:rsidP="000C4303">
      <w:r w:rsidRPr="002C6A83">
        <w:t>A short meeting of the SWG focusing on “GBAS VDB compatibility” and “GNSS Interference thresholds” is planned to take place from the 21</w:t>
      </w:r>
      <w:r w:rsidRPr="002C6A83">
        <w:rPr>
          <w:vertAlign w:val="superscript"/>
        </w:rPr>
        <w:t>st</w:t>
      </w:r>
      <w:r w:rsidRPr="002C6A83">
        <w:t xml:space="preserve"> to 23</w:t>
      </w:r>
      <w:r w:rsidRPr="002C6A83">
        <w:rPr>
          <w:vertAlign w:val="superscript"/>
        </w:rPr>
        <w:t>rd</w:t>
      </w:r>
      <w:r w:rsidRPr="002C6A83">
        <w:t xml:space="preserve"> of April 2020 in Montreal. In this context, a joint meeting of the SWG and the GSWG dealing </w:t>
      </w:r>
      <w:r>
        <w:t>with “</w:t>
      </w:r>
      <w:r w:rsidRPr="002C6A83">
        <w:t>Interference threshold specifications</w:t>
      </w:r>
      <w:r>
        <w:t>”</w:t>
      </w:r>
      <w:r w:rsidRPr="002C6A83">
        <w:t xml:space="preserve"> for E5/L5 and Beidou is foreseen. </w:t>
      </w:r>
    </w:p>
    <w:p w:rsidR="000C4303" w:rsidRPr="002C6A83" w:rsidRDefault="000C4303" w:rsidP="000C4303"/>
    <w:p w:rsidR="000C4303" w:rsidRPr="00D721A6" w:rsidRDefault="000C4303" w:rsidP="000C4303">
      <w:pPr>
        <w:rPr>
          <w:b/>
          <w:bCs/>
        </w:rPr>
      </w:pPr>
      <w:r w:rsidRPr="002C6A83">
        <w:t>A SWG meeting covering all spectrum-related agenda items (including LDACS</w:t>
      </w:r>
      <w:r>
        <w:t xml:space="preserve"> </w:t>
      </w:r>
      <w:r w:rsidRPr="002C6A83">
        <w:t>compatibility) will take place in Dakar (Senegal) in conjunction with the ICAO NSP JWG/6 meeting, which is planned for the 9</w:t>
      </w:r>
      <w:r w:rsidRPr="002C6A83">
        <w:rPr>
          <w:vertAlign w:val="superscript"/>
        </w:rPr>
        <w:t>th</w:t>
      </w:r>
      <w:r w:rsidRPr="002C6A83">
        <w:t xml:space="preserve"> to 18</w:t>
      </w:r>
      <w:r w:rsidRPr="002C6A83">
        <w:rPr>
          <w:vertAlign w:val="superscript"/>
        </w:rPr>
        <w:t>th</w:t>
      </w:r>
      <w:r w:rsidRPr="002C6A83">
        <w:t xml:space="preserve"> of June 2020.</w:t>
      </w:r>
      <w:r>
        <w:t xml:space="preserve"> </w:t>
      </w:r>
      <w:r w:rsidRPr="00D721A6">
        <w:br w:type="page"/>
      </w:r>
    </w:p>
    <w:p w:rsidR="000C4303" w:rsidRPr="00D721A6" w:rsidRDefault="000C4303" w:rsidP="000C4303">
      <w:pPr>
        <w:rPr>
          <w:b/>
          <w:bCs/>
        </w:rPr>
      </w:pPr>
      <w:r w:rsidRPr="00D721A6">
        <w:rPr>
          <w:b/>
          <w:bCs/>
        </w:rPr>
        <w:lastRenderedPageBreak/>
        <w:t>A</w:t>
      </w:r>
      <w:r>
        <w:rPr>
          <w:b/>
          <w:bCs/>
        </w:rPr>
        <w:t>PPENDIX</w:t>
      </w:r>
      <w:r w:rsidRPr="00D721A6">
        <w:rPr>
          <w:b/>
          <w:bCs/>
        </w:rPr>
        <w:t xml:space="preserve"> A: ACTION ITEM LIST</w:t>
      </w:r>
    </w:p>
    <w:p w:rsidR="000C4303" w:rsidRPr="00D721A6" w:rsidRDefault="000C4303" w:rsidP="000C4303"/>
    <w:tbl>
      <w:tblPr>
        <w:tblW w:w="91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2"/>
        <w:gridCol w:w="4961"/>
        <w:gridCol w:w="1237"/>
        <w:gridCol w:w="1790"/>
      </w:tblGrid>
      <w:tr w:rsidR="000C4303" w:rsidRPr="00D721A6" w:rsidTr="00E06430">
        <w:tc>
          <w:tcPr>
            <w:tcW w:w="1192" w:type="dxa"/>
            <w:tcBorders>
              <w:bottom w:val="nil"/>
            </w:tcBorders>
          </w:tcPr>
          <w:p w:rsidR="000C4303" w:rsidRPr="00D721A6" w:rsidRDefault="000C4303" w:rsidP="00E06430">
            <w:pPr>
              <w:rPr>
                <w:b/>
                <w:bCs/>
                <w:sz w:val="20"/>
              </w:rPr>
            </w:pPr>
            <w:r w:rsidRPr="00D721A6">
              <w:rPr>
                <w:b/>
                <w:bCs/>
                <w:sz w:val="20"/>
              </w:rPr>
              <w:t>Action number</w:t>
            </w:r>
          </w:p>
        </w:tc>
        <w:tc>
          <w:tcPr>
            <w:tcW w:w="4961" w:type="dxa"/>
            <w:tcBorders>
              <w:bottom w:val="nil"/>
            </w:tcBorders>
          </w:tcPr>
          <w:p w:rsidR="000C4303" w:rsidRPr="00D721A6" w:rsidRDefault="000C4303" w:rsidP="00E06430">
            <w:pPr>
              <w:rPr>
                <w:b/>
                <w:bCs/>
                <w:sz w:val="20"/>
              </w:rPr>
            </w:pPr>
            <w:r w:rsidRPr="00D721A6">
              <w:rPr>
                <w:b/>
                <w:bCs/>
                <w:sz w:val="20"/>
              </w:rPr>
              <w:t>Action</w:t>
            </w:r>
          </w:p>
          <w:p w:rsidR="000C4303" w:rsidRPr="00D721A6" w:rsidRDefault="000C4303" w:rsidP="00E06430">
            <w:pPr>
              <w:rPr>
                <w:b/>
                <w:bCs/>
                <w:sz w:val="20"/>
              </w:rPr>
            </w:pPr>
          </w:p>
        </w:tc>
        <w:tc>
          <w:tcPr>
            <w:tcW w:w="1237" w:type="dxa"/>
            <w:tcBorders>
              <w:bottom w:val="nil"/>
            </w:tcBorders>
          </w:tcPr>
          <w:p w:rsidR="000C4303" w:rsidRPr="00D721A6" w:rsidRDefault="000C4303" w:rsidP="00E06430">
            <w:pPr>
              <w:rPr>
                <w:b/>
                <w:bCs/>
                <w:sz w:val="20"/>
              </w:rPr>
            </w:pPr>
            <w:r w:rsidRPr="00D721A6">
              <w:rPr>
                <w:b/>
                <w:bCs/>
                <w:sz w:val="20"/>
              </w:rPr>
              <w:t>Actionees</w:t>
            </w:r>
          </w:p>
        </w:tc>
        <w:tc>
          <w:tcPr>
            <w:tcW w:w="1790" w:type="dxa"/>
            <w:tcBorders>
              <w:bottom w:val="nil"/>
            </w:tcBorders>
          </w:tcPr>
          <w:p w:rsidR="000C4303" w:rsidRPr="00D721A6" w:rsidRDefault="000C4303" w:rsidP="00E06430">
            <w:pPr>
              <w:rPr>
                <w:b/>
                <w:bCs/>
                <w:sz w:val="20"/>
              </w:rPr>
            </w:pPr>
            <w:r w:rsidRPr="00D721A6">
              <w:rPr>
                <w:b/>
                <w:bCs/>
                <w:sz w:val="20"/>
              </w:rPr>
              <w:t>Status</w:t>
            </w:r>
          </w:p>
        </w:tc>
      </w:tr>
      <w:tr w:rsidR="000C4303" w:rsidRPr="00D721A6" w:rsidTr="00E06430">
        <w:tc>
          <w:tcPr>
            <w:tcW w:w="9180" w:type="dxa"/>
            <w:gridSpan w:val="4"/>
          </w:tcPr>
          <w:p w:rsidR="000C4303" w:rsidRPr="00D721A6" w:rsidRDefault="000C4303" w:rsidP="00E06430">
            <w:pPr>
              <w:rPr>
                <w:b/>
                <w:bCs/>
                <w:sz w:val="20"/>
              </w:rPr>
            </w:pPr>
          </w:p>
          <w:p w:rsidR="000C4303" w:rsidRPr="00D721A6" w:rsidRDefault="000C4303" w:rsidP="00E06430">
            <w:pPr>
              <w:rPr>
                <w:b/>
                <w:bCs/>
                <w:sz w:val="20"/>
              </w:rPr>
            </w:pPr>
            <w:r w:rsidRPr="00D721A6">
              <w:rPr>
                <w:b/>
                <w:bCs/>
                <w:sz w:val="20"/>
              </w:rPr>
              <w:t>Actions from the Montreal meeting October 2006 (SSG10):</w:t>
            </w:r>
          </w:p>
          <w:p w:rsidR="000C4303" w:rsidRPr="00D721A6" w:rsidRDefault="000C4303" w:rsidP="00E06430">
            <w:pPr>
              <w:rPr>
                <w:sz w:val="20"/>
              </w:rPr>
            </w:pPr>
          </w:p>
        </w:tc>
      </w:tr>
      <w:tr w:rsidR="000C4303" w:rsidRPr="00D721A6" w:rsidTr="00E06430">
        <w:tc>
          <w:tcPr>
            <w:tcW w:w="1192" w:type="dxa"/>
          </w:tcPr>
          <w:p w:rsidR="000C4303" w:rsidRPr="00D721A6" w:rsidRDefault="000C4303" w:rsidP="00E06430">
            <w:pPr>
              <w:rPr>
                <w:sz w:val="20"/>
              </w:rPr>
            </w:pPr>
            <w:r w:rsidRPr="00D721A6">
              <w:rPr>
                <w:sz w:val="20"/>
              </w:rPr>
              <w:t>SSG10/10</w:t>
            </w:r>
          </w:p>
        </w:tc>
        <w:tc>
          <w:tcPr>
            <w:tcW w:w="4961" w:type="dxa"/>
          </w:tcPr>
          <w:p w:rsidR="000C4303" w:rsidRPr="00D721A6" w:rsidRDefault="000C4303" w:rsidP="00E06430">
            <w:pPr>
              <w:rPr>
                <w:sz w:val="20"/>
              </w:rPr>
            </w:pPr>
            <w:r w:rsidRPr="00D721A6">
              <w:rPr>
                <w:sz w:val="20"/>
              </w:rPr>
              <w:t>To develop more detailed frequency coordination criteria between GBAS and VHF-COM as well as GBAS and ILS for publication by ICAO.</w:t>
            </w:r>
          </w:p>
        </w:tc>
        <w:tc>
          <w:tcPr>
            <w:tcW w:w="1237" w:type="dxa"/>
          </w:tcPr>
          <w:p w:rsidR="000C4303" w:rsidRPr="00D721A6" w:rsidRDefault="000C4303" w:rsidP="00E06430">
            <w:pPr>
              <w:rPr>
                <w:sz w:val="20"/>
              </w:rPr>
            </w:pPr>
            <w:r w:rsidRPr="00D721A6">
              <w:rPr>
                <w:sz w:val="20"/>
              </w:rPr>
              <w:t>SSG</w:t>
            </w:r>
          </w:p>
        </w:tc>
        <w:tc>
          <w:tcPr>
            <w:tcW w:w="1790" w:type="dxa"/>
          </w:tcPr>
          <w:p w:rsidR="000C4303" w:rsidRPr="00D721A6" w:rsidRDefault="000C4303" w:rsidP="00E06430">
            <w:pPr>
              <w:rPr>
                <w:sz w:val="20"/>
              </w:rPr>
            </w:pPr>
            <w:r w:rsidRPr="00D721A6">
              <w:rPr>
                <w:sz w:val="20"/>
              </w:rPr>
              <w:t>Ongoing,</w:t>
            </w:r>
          </w:p>
          <w:p w:rsidR="000C4303" w:rsidRPr="00D721A6" w:rsidRDefault="000C4303" w:rsidP="00E06430">
            <w:pPr>
              <w:rPr>
                <w:sz w:val="20"/>
              </w:rPr>
            </w:pPr>
            <w:r w:rsidRPr="00D721A6">
              <w:rPr>
                <w:sz w:val="20"/>
              </w:rPr>
              <w:t>Partly fulfilled by NSP/5-WP10,</w:t>
            </w:r>
          </w:p>
          <w:p w:rsidR="000C4303" w:rsidRPr="00D721A6" w:rsidRDefault="000C4303" w:rsidP="00E06430">
            <w:pPr>
              <w:rPr>
                <w:sz w:val="20"/>
              </w:rPr>
            </w:pPr>
            <w:r w:rsidRPr="00D721A6">
              <w:rPr>
                <w:sz w:val="20"/>
              </w:rPr>
              <w:t>NSP/5-WP04,</w:t>
            </w:r>
          </w:p>
          <w:p w:rsidR="000C4303" w:rsidRPr="00D721A6" w:rsidRDefault="000C4303" w:rsidP="00E06430">
            <w:pPr>
              <w:rPr>
                <w:sz w:val="20"/>
              </w:rPr>
            </w:pPr>
            <w:r w:rsidRPr="00D721A6">
              <w:rPr>
                <w:sz w:val="20"/>
              </w:rPr>
              <w:t>NSP/5-Flimsy 7</w:t>
            </w:r>
          </w:p>
          <w:p w:rsidR="000C4303" w:rsidRPr="00D721A6" w:rsidRDefault="000C4303" w:rsidP="00E06430">
            <w:pPr>
              <w:rPr>
                <w:sz w:val="20"/>
              </w:rPr>
            </w:pPr>
            <w:r w:rsidRPr="00D721A6">
              <w:rPr>
                <w:sz w:val="20"/>
              </w:rPr>
              <w:t>JWGs4-WP06</w:t>
            </w:r>
          </w:p>
        </w:tc>
      </w:tr>
      <w:tr w:rsidR="000C4303" w:rsidRPr="00D721A6" w:rsidTr="00E06430">
        <w:tc>
          <w:tcPr>
            <w:tcW w:w="9180" w:type="dxa"/>
            <w:gridSpan w:val="4"/>
            <w:vAlign w:val="center"/>
          </w:tcPr>
          <w:p w:rsidR="000C4303" w:rsidRPr="00D721A6" w:rsidRDefault="000C4303" w:rsidP="00E06430">
            <w:pPr>
              <w:rPr>
                <w:b/>
                <w:bCs/>
                <w:sz w:val="20"/>
              </w:rPr>
            </w:pPr>
          </w:p>
          <w:p w:rsidR="000C4303" w:rsidRPr="00D721A6" w:rsidRDefault="000C4303" w:rsidP="00E06430">
            <w:pPr>
              <w:rPr>
                <w:b/>
                <w:bCs/>
                <w:sz w:val="20"/>
              </w:rPr>
            </w:pPr>
            <w:r w:rsidRPr="00D721A6">
              <w:rPr>
                <w:b/>
                <w:bCs/>
                <w:sz w:val="20"/>
              </w:rPr>
              <w:t>Actions from the Montreal meeting May 2010 (SSG16):</w:t>
            </w:r>
          </w:p>
          <w:p w:rsidR="000C4303" w:rsidRPr="00D721A6" w:rsidRDefault="000C4303" w:rsidP="00E06430">
            <w:pPr>
              <w:rPr>
                <w:sz w:val="20"/>
              </w:rPr>
            </w:pPr>
          </w:p>
        </w:tc>
      </w:tr>
      <w:tr w:rsidR="000C4303" w:rsidRPr="00D721A6" w:rsidTr="00E06430">
        <w:tc>
          <w:tcPr>
            <w:tcW w:w="1192" w:type="dxa"/>
          </w:tcPr>
          <w:p w:rsidR="000C4303" w:rsidRPr="00D721A6" w:rsidRDefault="000C4303" w:rsidP="00E06430">
            <w:pPr>
              <w:rPr>
                <w:sz w:val="20"/>
              </w:rPr>
            </w:pPr>
            <w:r w:rsidRPr="00D721A6">
              <w:rPr>
                <w:sz w:val="20"/>
              </w:rPr>
              <w:t>SSG16/02</w:t>
            </w:r>
          </w:p>
        </w:tc>
        <w:tc>
          <w:tcPr>
            <w:tcW w:w="4961" w:type="dxa"/>
          </w:tcPr>
          <w:p w:rsidR="000C4303" w:rsidRPr="00D721A6" w:rsidRDefault="000C4303" w:rsidP="00E06430">
            <w:pPr>
              <w:rPr>
                <w:sz w:val="20"/>
              </w:rPr>
            </w:pPr>
            <w:r w:rsidRPr="00D721A6">
              <w:rPr>
                <w:sz w:val="20"/>
              </w:rPr>
              <w:t>To provide results of the compatibility studies of L-DACS and DME.</w:t>
            </w:r>
          </w:p>
        </w:tc>
        <w:tc>
          <w:tcPr>
            <w:tcW w:w="1237" w:type="dxa"/>
          </w:tcPr>
          <w:p w:rsidR="000C4303" w:rsidRPr="00D721A6" w:rsidRDefault="000C4303" w:rsidP="00E06430">
            <w:pPr>
              <w:rPr>
                <w:sz w:val="20"/>
              </w:rPr>
            </w:pPr>
            <w:r w:rsidRPr="00D721A6">
              <w:rPr>
                <w:sz w:val="20"/>
              </w:rPr>
              <w:t>SSG members</w:t>
            </w:r>
          </w:p>
        </w:tc>
        <w:tc>
          <w:tcPr>
            <w:tcW w:w="1790" w:type="dxa"/>
          </w:tcPr>
          <w:p w:rsidR="000C4303" w:rsidRPr="00D721A6" w:rsidRDefault="000C4303" w:rsidP="00E06430">
            <w:pPr>
              <w:rPr>
                <w:sz w:val="20"/>
              </w:rPr>
            </w:pPr>
            <w:r w:rsidRPr="00D721A6">
              <w:rPr>
                <w:sz w:val="20"/>
              </w:rPr>
              <w:t>Ongoing</w:t>
            </w:r>
            <w:r>
              <w:rPr>
                <w:sz w:val="20"/>
              </w:rPr>
              <w:t xml:space="preserve">; partly fulfilled by JWGs5/WP49; </w:t>
            </w:r>
            <w:r w:rsidRPr="00D721A6">
              <w:rPr>
                <w:sz w:val="20"/>
              </w:rPr>
              <w:t xml:space="preserve">new results expected in </w:t>
            </w:r>
            <w:r>
              <w:rPr>
                <w:sz w:val="20"/>
              </w:rPr>
              <w:t>April 2020</w:t>
            </w:r>
          </w:p>
        </w:tc>
      </w:tr>
      <w:tr w:rsidR="000C4303" w:rsidRPr="00D721A6" w:rsidTr="00E06430">
        <w:trPr>
          <w:trHeight w:val="163"/>
        </w:trPr>
        <w:tc>
          <w:tcPr>
            <w:tcW w:w="9180" w:type="dxa"/>
            <w:gridSpan w:val="4"/>
            <w:shd w:val="clear" w:color="auto" w:fill="FFFFFF"/>
          </w:tcPr>
          <w:p w:rsidR="000C4303" w:rsidRPr="00D721A6" w:rsidRDefault="000C4303" w:rsidP="00E06430">
            <w:pPr>
              <w:rPr>
                <w:sz w:val="20"/>
              </w:rPr>
            </w:pP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p w:rsidR="000C4303" w:rsidRPr="00D721A6" w:rsidRDefault="000C4303" w:rsidP="00E06430">
            <w:pPr>
              <w:rPr>
                <w:b/>
                <w:bCs/>
                <w:sz w:val="20"/>
              </w:rPr>
            </w:pPr>
            <w:r w:rsidRPr="00D721A6">
              <w:rPr>
                <w:b/>
                <w:bCs/>
                <w:sz w:val="20"/>
              </w:rPr>
              <w:t>Actions from the Montreal meeting of SWG December 2015 (SWG1):</w:t>
            </w:r>
          </w:p>
          <w:p w:rsidR="000C4303" w:rsidRPr="00D721A6" w:rsidRDefault="000C4303" w:rsidP="00E06430">
            <w:pPr>
              <w:pStyle w:val="Header"/>
              <w:rPr>
                <w:sz w:val="20"/>
                <w:highlight w:val="yellow"/>
              </w:rPr>
            </w:pP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SWG01/02</w:t>
            </w:r>
          </w:p>
        </w:tc>
        <w:tc>
          <w:tcPr>
            <w:tcW w:w="4961" w:type="dxa"/>
            <w:shd w:val="clear" w:color="auto" w:fill="FFFFFF"/>
          </w:tcPr>
          <w:p w:rsidR="000C4303" w:rsidRPr="00D721A6" w:rsidRDefault="000C4303" w:rsidP="00E06430">
            <w:pPr>
              <w:pStyle w:val="Header"/>
              <w:rPr>
                <w:sz w:val="20"/>
              </w:rPr>
            </w:pPr>
            <w:r w:rsidRPr="00D721A6">
              <w:rPr>
                <w:sz w:val="20"/>
              </w:rPr>
              <w:t>To report about progress on standardisation of increased robustness and warning capabilities against GNSS RFI and spoofing.</w:t>
            </w:r>
          </w:p>
        </w:tc>
        <w:tc>
          <w:tcPr>
            <w:tcW w:w="1237" w:type="dxa"/>
            <w:shd w:val="clear" w:color="auto" w:fill="FFFFFF"/>
          </w:tcPr>
          <w:p w:rsidR="000C4303" w:rsidRPr="00D721A6" w:rsidRDefault="000C4303" w:rsidP="00E06430">
            <w:pPr>
              <w:pStyle w:val="Header"/>
              <w:rPr>
                <w:sz w:val="20"/>
              </w:rPr>
            </w:pPr>
            <w:r w:rsidRPr="00D721A6">
              <w:rPr>
                <w:sz w:val="20"/>
              </w:rPr>
              <w:t>RTCA- represent</w:t>
            </w:r>
            <w:r w:rsidRPr="00D721A6">
              <w:rPr>
                <w:sz w:val="20"/>
              </w:rPr>
              <w:softHyphen/>
              <w:t>ative to NSP</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SWG01/08</w:t>
            </w:r>
          </w:p>
        </w:tc>
        <w:tc>
          <w:tcPr>
            <w:tcW w:w="4961" w:type="dxa"/>
            <w:shd w:val="clear" w:color="auto" w:fill="FFFFFF"/>
          </w:tcPr>
          <w:p w:rsidR="000C4303" w:rsidRPr="00D721A6" w:rsidRDefault="000C4303" w:rsidP="00E06430">
            <w:pPr>
              <w:pStyle w:val="Header"/>
              <w:rPr>
                <w:sz w:val="20"/>
              </w:rPr>
            </w:pPr>
            <w:r w:rsidRPr="00D721A6">
              <w:rPr>
                <w:sz w:val="20"/>
              </w:rPr>
              <w:t xml:space="preserve">To check the impact of the GBAS positioning service (addressed in section 7.2.1.5 of ICAO Annex 10, Vol. I, Appendix D) and the GBAS Extended Service Volume on frequency coordination. </w:t>
            </w:r>
          </w:p>
        </w:tc>
        <w:tc>
          <w:tcPr>
            <w:tcW w:w="1237" w:type="dxa"/>
            <w:shd w:val="clear" w:color="auto" w:fill="FFFFFF"/>
          </w:tcPr>
          <w:p w:rsidR="000C4303" w:rsidRPr="00D721A6" w:rsidRDefault="000C4303" w:rsidP="00E06430">
            <w:pPr>
              <w:pStyle w:val="Header"/>
              <w:rPr>
                <w:sz w:val="20"/>
              </w:rPr>
            </w:pPr>
            <w:r w:rsidRPr="00D721A6">
              <w:rPr>
                <w:sz w:val="20"/>
              </w:rPr>
              <w:t>SWG members</w:t>
            </w:r>
          </w:p>
        </w:tc>
        <w:tc>
          <w:tcPr>
            <w:tcW w:w="1790" w:type="dxa"/>
            <w:shd w:val="clear" w:color="auto" w:fill="FFFFFF"/>
          </w:tcPr>
          <w:p w:rsidR="000C4303" w:rsidRPr="00D721A6" w:rsidRDefault="000C4303" w:rsidP="00E06430">
            <w:pPr>
              <w:pStyle w:val="Header"/>
              <w:rPr>
                <w:sz w:val="20"/>
              </w:rPr>
            </w:pPr>
            <w:r>
              <w:rPr>
                <w:sz w:val="20"/>
              </w:rPr>
              <w:t>Ongoing</w:t>
            </w: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tc>
      </w:tr>
      <w:tr w:rsidR="000C4303" w:rsidRPr="00D721A6" w:rsidTr="00E06430">
        <w:tc>
          <w:tcPr>
            <w:tcW w:w="9180" w:type="dxa"/>
            <w:gridSpan w:val="4"/>
            <w:shd w:val="clear" w:color="auto" w:fill="FFFFFF"/>
          </w:tcPr>
          <w:p w:rsidR="000C4303" w:rsidRPr="00D721A6" w:rsidRDefault="000C4303" w:rsidP="00E06430">
            <w:pPr>
              <w:rPr>
                <w:b/>
                <w:bCs/>
                <w:sz w:val="20"/>
                <w:highlight w:val="yellow"/>
              </w:rPr>
            </w:pPr>
          </w:p>
          <w:p w:rsidR="000C4303" w:rsidRPr="00D721A6" w:rsidRDefault="000C4303" w:rsidP="00E06430">
            <w:pPr>
              <w:rPr>
                <w:b/>
                <w:bCs/>
                <w:sz w:val="20"/>
              </w:rPr>
            </w:pPr>
            <w:r w:rsidRPr="00D721A6">
              <w:rPr>
                <w:b/>
                <w:bCs/>
                <w:sz w:val="20"/>
              </w:rPr>
              <w:t>Actions from the Montreal meeting of SWG June 2016 (SWG2):</w:t>
            </w:r>
          </w:p>
          <w:p w:rsidR="000C4303" w:rsidRPr="00D721A6" w:rsidRDefault="000C4303" w:rsidP="00E06430">
            <w:pPr>
              <w:pStyle w:val="Header"/>
              <w:rPr>
                <w:sz w:val="20"/>
                <w:highlight w:val="yellow"/>
              </w:rPr>
            </w:pP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SWG02/02</w:t>
            </w:r>
          </w:p>
        </w:tc>
        <w:tc>
          <w:tcPr>
            <w:tcW w:w="4961" w:type="dxa"/>
            <w:shd w:val="clear" w:color="auto" w:fill="FFFFFF"/>
          </w:tcPr>
          <w:p w:rsidR="000C4303" w:rsidRPr="00D721A6" w:rsidRDefault="000C4303" w:rsidP="00E06430">
            <w:pPr>
              <w:pStyle w:val="Header"/>
              <w:rPr>
                <w:sz w:val="20"/>
              </w:rPr>
            </w:pPr>
            <w:r w:rsidRPr="00D721A6">
              <w:rPr>
                <w:sz w:val="20"/>
              </w:rPr>
              <w:t>Develop guidance for local frequency planning i.e. ensuring compatibility between Nav-aids and VHF-COM-systems at the same airport (e.g. between existing ILS Localizers and a new GBAS VDB, between existing VORs and a new GBAS VDB, between existing VHF-COM and a new GBAS VDB).</w:t>
            </w:r>
          </w:p>
        </w:tc>
        <w:tc>
          <w:tcPr>
            <w:tcW w:w="1237" w:type="dxa"/>
            <w:shd w:val="clear" w:color="auto" w:fill="FFFFFF"/>
          </w:tcPr>
          <w:p w:rsidR="000C4303" w:rsidRPr="00D721A6" w:rsidRDefault="000C4303" w:rsidP="00E06430">
            <w:pPr>
              <w:pStyle w:val="Header"/>
              <w:rPr>
                <w:sz w:val="20"/>
              </w:rPr>
            </w:pPr>
            <w:r w:rsidRPr="00D721A6">
              <w:rPr>
                <w:sz w:val="20"/>
              </w:rPr>
              <w:t>SWG members</w:t>
            </w:r>
          </w:p>
        </w:tc>
        <w:tc>
          <w:tcPr>
            <w:tcW w:w="1790" w:type="dxa"/>
            <w:shd w:val="clear" w:color="auto" w:fill="FFFFFF"/>
          </w:tcPr>
          <w:p w:rsidR="000C4303" w:rsidRPr="00D721A6" w:rsidRDefault="000C4303" w:rsidP="00E06430">
            <w:pPr>
              <w:pStyle w:val="Header"/>
              <w:rPr>
                <w:sz w:val="20"/>
              </w:rPr>
            </w:pPr>
            <w:r w:rsidRPr="00D721A6">
              <w:rPr>
                <w:sz w:val="20"/>
              </w:rPr>
              <w:t>Ongoing,</w:t>
            </w:r>
          </w:p>
          <w:p w:rsidR="000C4303" w:rsidRPr="00D721A6" w:rsidRDefault="000C4303" w:rsidP="00E06430">
            <w:pPr>
              <w:rPr>
                <w:sz w:val="20"/>
              </w:rPr>
            </w:pPr>
            <w:r w:rsidRPr="00D721A6">
              <w:rPr>
                <w:sz w:val="20"/>
              </w:rPr>
              <w:t xml:space="preserve">Partly fulfilled by NSP/5-WP14. New results expected in </w:t>
            </w:r>
            <w:r>
              <w:rPr>
                <w:sz w:val="20"/>
              </w:rPr>
              <w:t xml:space="preserve">April 2020 </w:t>
            </w: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tc>
      </w:tr>
      <w:tr w:rsidR="000C4303" w:rsidRPr="00D721A6" w:rsidTr="00E06430">
        <w:tc>
          <w:tcPr>
            <w:tcW w:w="9180" w:type="dxa"/>
            <w:gridSpan w:val="4"/>
            <w:shd w:val="clear" w:color="auto" w:fill="FFFFFF"/>
          </w:tcPr>
          <w:p w:rsidR="000C4303" w:rsidRPr="00D721A6" w:rsidRDefault="000C4303" w:rsidP="00E06430">
            <w:pPr>
              <w:rPr>
                <w:b/>
                <w:bCs/>
                <w:sz w:val="20"/>
              </w:rPr>
            </w:pPr>
            <w:r w:rsidRPr="00D721A6">
              <w:rPr>
                <w:b/>
                <w:bCs/>
                <w:sz w:val="20"/>
              </w:rPr>
              <w:t>Actions from the Montreal meeting of SWG June 2017 (SWG4):</w:t>
            </w:r>
          </w:p>
          <w:p w:rsidR="000C4303" w:rsidRPr="00D721A6" w:rsidRDefault="000C4303" w:rsidP="00E06430">
            <w:pPr>
              <w:pStyle w:val="Header"/>
              <w:rPr>
                <w:sz w:val="20"/>
              </w:rPr>
            </w:pPr>
          </w:p>
        </w:tc>
      </w:tr>
      <w:tr w:rsidR="000C4303" w:rsidRPr="00D721A6" w:rsidTr="00E06430">
        <w:tc>
          <w:tcPr>
            <w:tcW w:w="1192" w:type="dxa"/>
            <w:shd w:val="clear" w:color="auto" w:fill="FFFFFF"/>
          </w:tcPr>
          <w:p w:rsidR="000C4303" w:rsidRPr="00D721A6" w:rsidRDefault="000C4303" w:rsidP="00E06430">
            <w:pPr>
              <w:pStyle w:val="Header"/>
              <w:rPr>
                <w:sz w:val="20"/>
                <w:highlight w:val="yellow"/>
              </w:rPr>
            </w:pPr>
            <w:r w:rsidRPr="00D721A6">
              <w:rPr>
                <w:sz w:val="20"/>
              </w:rPr>
              <w:t>SWG04/04</w:t>
            </w:r>
          </w:p>
        </w:tc>
        <w:tc>
          <w:tcPr>
            <w:tcW w:w="4961" w:type="dxa"/>
            <w:shd w:val="clear" w:color="auto" w:fill="FFFFFF"/>
          </w:tcPr>
          <w:p w:rsidR="000C4303" w:rsidRPr="00D721A6" w:rsidRDefault="000C4303" w:rsidP="00E06430">
            <w:pPr>
              <w:pStyle w:val="Header"/>
              <w:rPr>
                <w:sz w:val="20"/>
                <w:highlight w:val="yellow"/>
              </w:rPr>
            </w:pPr>
            <w:r w:rsidRPr="00D721A6">
              <w:rPr>
                <w:sz w:val="20"/>
              </w:rPr>
              <w:t>To contribute to the development of a compilation of DME compatibility criteria to be applied for sharing studies between DME and new aviation systems as well as non-aviation systems in frequency band.</w:t>
            </w:r>
          </w:p>
        </w:tc>
        <w:tc>
          <w:tcPr>
            <w:tcW w:w="1237" w:type="dxa"/>
            <w:shd w:val="clear" w:color="auto" w:fill="FFFFFF"/>
          </w:tcPr>
          <w:p w:rsidR="000C4303" w:rsidRPr="00D721A6" w:rsidRDefault="000C4303" w:rsidP="00E06430">
            <w:pPr>
              <w:pStyle w:val="Header"/>
              <w:rPr>
                <w:sz w:val="20"/>
                <w:highlight w:val="yellow"/>
              </w:rPr>
            </w:pPr>
            <w:r w:rsidRPr="00D721A6">
              <w:rPr>
                <w:sz w:val="20"/>
              </w:rPr>
              <w:t>SWG members</w:t>
            </w:r>
          </w:p>
        </w:tc>
        <w:tc>
          <w:tcPr>
            <w:tcW w:w="1790" w:type="dxa"/>
            <w:shd w:val="clear" w:color="auto" w:fill="FFFFFF"/>
          </w:tcPr>
          <w:p w:rsidR="000C4303" w:rsidRPr="00D721A6" w:rsidRDefault="000C4303" w:rsidP="00E06430">
            <w:pPr>
              <w:pStyle w:val="Header"/>
              <w:rPr>
                <w:sz w:val="20"/>
                <w:highlight w:val="yellow"/>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highlight w:val="yellow"/>
              </w:rPr>
            </w:pPr>
            <w:r w:rsidRPr="00D721A6">
              <w:rPr>
                <w:sz w:val="20"/>
              </w:rPr>
              <w:t>SWG04/05</w:t>
            </w:r>
          </w:p>
        </w:tc>
        <w:tc>
          <w:tcPr>
            <w:tcW w:w="4961" w:type="dxa"/>
            <w:shd w:val="clear" w:color="auto" w:fill="FFFFFF"/>
          </w:tcPr>
          <w:p w:rsidR="000C4303" w:rsidRPr="00D721A6" w:rsidRDefault="000C4303" w:rsidP="00E06430">
            <w:pPr>
              <w:pStyle w:val="Header"/>
              <w:rPr>
                <w:sz w:val="20"/>
              </w:rPr>
            </w:pPr>
            <w:r w:rsidRPr="00D721A6">
              <w:rPr>
                <w:sz w:val="20"/>
              </w:rPr>
              <w:t xml:space="preserve">To contribute to the development </w:t>
            </w:r>
            <w:r>
              <w:rPr>
                <w:sz w:val="20"/>
              </w:rPr>
              <w:t xml:space="preserve">of </w:t>
            </w:r>
            <w:r w:rsidRPr="00D721A6">
              <w:rPr>
                <w:sz w:val="20"/>
              </w:rPr>
              <w:t>spectrum efficiency metrics for navigation systems.</w:t>
            </w:r>
          </w:p>
        </w:tc>
        <w:tc>
          <w:tcPr>
            <w:tcW w:w="1237" w:type="dxa"/>
            <w:shd w:val="clear" w:color="auto" w:fill="FFFFFF"/>
          </w:tcPr>
          <w:p w:rsidR="000C4303" w:rsidRPr="00D721A6" w:rsidRDefault="000C4303" w:rsidP="00E06430">
            <w:pPr>
              <w:pStyle w:val="Header"/>
              <w:rPr>
                <w:sz w:val="20"/>
                <w:highlight w:val="yellow"/>
              </w:rPr>
            </w:pPr>
            <w:r w:rsidRPr="00D721A6">
              <w:rPr>
                <w:sz w:val="20"/>
              </w:rPr>
              <w:t>G. Berz</w:t>
            </w:r>
          </w:p>
        </w:tc>
        <w:tc>
          <w:tcPr>
            <w:tcW w:w="1790" w:type="dxa"/>
            <w:shd w:val="clear" w:color="auto" w:fill="FFFFFF"/>
          </w:tcPr>
          <w:p w:rsidR="000C4303" w:rsidRPr="00D721A6" w:rsidRDefault="000C4303" w:rsidP="00E06430">
            <w:pPr>
              <w:pStyle w:val="Header"/>
              <w:rPr>
                <w:sz w:val="20"/>
                <w:highlight w:val="yellow"/>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highlight w:val="yellow"/>
              </w:rPr>
            </w:pPr>
            <w:r w:rsidRPr="00D721A6">
              <w:rPr>
                <w:sz w:val="20"/>
              </w:rPr>
              <w:t>SWG04/06</w:t>
            </w:r>
          </w:p>
        </w:tc>
        <w:tc>
          <w:tcPr>
            <w:tcW w:w="4961" w:type="dxa"/>
            <w:shd w:val="clear" w:color="auto" w:fill="FFFFFF"/>
          </w:tcPr>
          <w:p w:rsidR="000C4303" w:rsidRPr="00D721A6" w:rsidRDefault="000C4303" w:rsidP="00E06430">
            <w:pPr>
              <w:pStyle w:val="Header"/>
              <w:rPr>
                <w:sz w:val="20"/>
              </w:rPr>
            </w:pPr>
            <w:r w:rsidRPr="00D721A6">
              <w:rPr>
                <w:sz w:val="20"/>
              </w:rPr>
              <w:t xml:space="preserve">To present a paper on DME compatibility and evolution to </w:t>
            </w:r>
            <w:r w:rsidRPr="00D721A6">
              <w:rPr>
                <w:sz w:val="20"/>
              </w:rPr>
              <w:lastRenderedPageBreak/>
              <w:t>ICAO FSMP.</w:t>
            </w:r>
          </w:p>
        </w:tc>
        <w:tc>
          <w:tcPr>
            <w:tcW w:w="1237" w:type="dxa"/>
            <w:shd w:val="clear" w:color="auto" w:fill="FFFFFF"/>
          </w:tcPr>
          <w:p w:rsidR="000C4303" w:rsidRPr="00D721A6" w:rsidRDefault="000C4303" w:rsidP="00E06430">
            <w:pPr>
              <w:pStyle w:val="Header"/>
              <w:rPr>
                <w:sz w:val="20"/>
                <w:highlight w:val="yellow"/>
              </w:rPr>
            </w:pPr>
            <w:r w:rsidRPr="00D721A6">
              <w:rPr>
                <w:sz w:val="20"/>
              </w:rPr>
              <w:lastRenderedPageBreak/>
              <w:t>G. Berz</w:t>
            </w:r>
          </w:p>
        </w:tc>
        <w:tc>
          <w:tcPr>
            <w:tcW w:w="1790" w:type="dxa"/>
            <w:shd w:val="clear" w:color="auto" w:fill="FFFFFF"/>
          </w:tcPr>
          <w:p w:rsidR="000C4303" w:rsidRPr="00D721A6" w:rsidRDefault="000C4303" w:rsidP="00E06430">
            <w:pPr>
              <w:pStyle w:val="Header"/>
              <w:rPr>
                <w:sz w:val="20"/>
                <w:highlight w:val="yellow"/>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highlight w:val="yellow"/>
              </w:rPr>
            </w:pPr>
            <w:r w:rsidRPr="00D721A6">
              <w:rPr>
                <w:sz w:val="20"/>
              </w:rPr>
              <w:t>SWG04/10</w:t>
            </w:r>
          </w:p>
        </w:tc>
        <w:tc>
          <w:tcPr>
            <w:tcW w:w="4961" w:type="dxa"/>
            <w:shd w:val="clear" w:color="auto" w:fill="FFFFFF"/>
          </w:tcPr>
          <w:p w:rsidR="000C4303" w:rsidRPr="00D721A6" w:rsidRDefault="000C4303" w:rsidP="00E06430">
            <w:pPr>
              <w:pStyle w:val="Header"/>
              <w:rPr>
                <w:sz w:val="20"/>
              </w:rPr>
            </w:pPr>
            <w:r w:rsidRPr="00D721A6">
              <w:rPr>
                <w:sz w:val="20"/>
              </w:rPr>
              <w:t>To establish a contact to CEPT FM22 to discuss GNSS RFI investigation for aviation purposes with European radio agencies.</w:t>
            </w:r>
          </w:p>
        </w:tc>
        <w:tc>
          <w:tcPr>
            <w:tcW w:w="1237" w:type="dxa"/>
            <w:shd w:val="clear" w:color="auto" w:fill="FFFFFF"/>
          </w:tcPr>
          <w:p w:rsidR="000C4303" w:rsidRPr="00D721A6" w:rsidRDefault="000C4303" w:rsidP="00E06430">
            <w:pPr>
              <w:pStyle w:val="Header"/>
              <w:rPr>
                <w:sz w:val="20"/>
                <w:highlight w:val="yellow"/>
              </w:rPr>
            </w:pPr>
            <w:r w:rsidRPr="00D721A6">
              <w:rPr>
                <w:sz w:val="20"/>
              </w:rPr>
              <w:t>G. Berz</w:t>
            </w:r>
          </w:p>
        </w:tc>
        <w:tc>
          <w:tcPr>
            <w:tcW w:w="1790" w:type="dxa"/>
            <w:shd w:val="clear" w:color="auto" w:fill="FFFFFF"/>
          </w:tcPr>
          <w:p w:rsidR="000C4303" w:rsidRPr="00D721A6" w:rsidRDefault="000C4303" w:rsidP="00E06430">
            <w:pPr>
              <w:pStyle w:val="Header"/>
              <w:rPr>
                <w:sz w:val="20"/>
                <w:highlight w:val="yellow"/>
              </w:rPr>
            </w:pPr>
            <w:r>
              <w:rPr>
                <w:sz w:val="20"/>
              </w:rPr>
              <w:t>Closed. Issue was discussed with representative of FM22 in October 2019</w:t>
            </w:r>
          </w:p>
        </w:tc>
      </w:tr>
      <w:tr w:rsidR="000C4303" w:rsidRPr="00D721A6" w:rsidTr="00E06430">
        <w:tc>
          <w:tcPr>
            <w:tcW w:w="9180" w:type="dxa"/>
            <w:gridSpan w:val="4"/>
            <w:shd w:val="clear" w:color="auto" w:fill="FFFFFF"/>
          </w:tcPr>
          <w:p w:rsidR="000C4303" w:rsidRPr="00D721A6" w:rsidRDefault="000C4303" w:rsidP="00E06430">
            <w:pPr>
              <w:rPr>
                <w:b/>
                <w:bCs/>
                <w:sz w:val="20"/>
              </w:rPr>
            </w:pPr>
          </w:p>
          <w:p w:rsidR="000C4303" w:rsidRPr="00D721A6" w:rsidRDefault="000C4303" w:rsidP="00E06430">
            <w:pPr>
              <w:rPr>
                <w:b/>
                <w:bCs/>
                <w:sz w:val="20"/>
              </w:rPr>
            </w:pPr>
          </w:p>
          <w:p w:rsidR="000C4303" w:rsidRPr="00D721A6" w:rsidRDefault="000C4303" w:rsidP="00E06430">
            <w:pPr>
              <w:rPr>
                <w:b/>
                <w:bCs/>
                <w:sz w:val="20"/>
              </w:rPr>
            </w:pPr>
          </w:p>
          <w:p w:rsidR="000C4303" w:rsidRPr="00D721A6" w:rsidRDefault="000C4303" w:rsidP="00E06430">
            <w:pPr>
              <w:rPr>
                <w:b/>
                <w:bCs/>
                <w:sz w:val="20"/>
              </w:rPr>
            </w:pPr>
            <w:r w:rsidRPr="00D721A6">
              <w:rPr>
                <w:b/>
                <w:bCs/>
                <w:sz w:val="20"/>
              </w:rPr>
              <w:t>Actions from the Montreal meeting of SWG October 2017 (SWG5):</w:t>
            </w:r>
          </w:p>
          <w:p w:rsidR="000C4303" w:rsidRPr="00D721A6" w:rsidRDefault="000C4303" w:rsidP="00E06430">
            <w:pPr>
              <w:pStyle w:val="Header"/>
              <w:rPr>
                <w:sz w:val="20"/>
              </w:rPr>
            </w:pP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GWG Action216</w:t>
            </w:r>
          </w:p>
        </w:tc>
        <w:tc>
          <w:tcPr>
            <w:tcW w:w="4961" w:type="dxa"/>
            <w:shd w:val="clear" w:color="auto" w:fill="FFFFFF"/>
          </w:tcPr>
          <w:p w:rsidR="000C4303" w:rsidRPr="00D721A6" w:rsidRDefault="000C4303" w:rsidP="00E06430">
            <w:pPr>
              <w:pStyle w:val="Header"/>
              <w:rPr>
                <w:sz w:val="20"/>
              </w:rPr>
            </w:pPr>
            <w:r w:rsidRPr="00D721A6">
              <w:rPr>
                <w:sz w:val="20"/>
              </w:rPr>
              <w:t>To contribute to the development of a specification to be included into ICAO Doc 8071, Vol. II, how to evaluate fieldstrength measurement results.</w:t>
            </w:r>
          </w:p>
        </w:tc>
        <w:tc>
          <w:tcPr>
            <w:tcW w:w="1237" w:type="dxa"/>
            <w:shd w:val="clear" w:color="auto" w:fill="FFFFFF"/>
          </w:tcPr>
          <w:p w:rsidR="000C4303" w:rsidRPr="00D721A6" w:rsidRDefault="000C4303" w:rsidP="00E06430">
            <w:pPr>
              <w:pStyle w:val="Header"/>
              <w:rPr>
                <w:sz w:val="20"/>
              </w:rPr>
            </w:pPr>
            <w:r w:rsidRPr="00D721A6">
              <w:rPr>
                <w:sz w:val="20"/>
              </w:rPr>
              <w:t>GWG members</w:t>
            </w:r>
          </w:p>
        </w:tc>
        <w:tc>
          <w:tcPr>
            <w:tcW w:w="1790" w:type="dxa"/>
            <w:shd w:val="clear" w:color="auto" w:fill="FFFFFF"/>
          </w:tcPr>
          <w:p w:rsidR="000C4303" w:rsidRPr="00D721A6" w:rsidRDefault="000C4303" w:rsidP="00E06430">
            <w:pPr>
              <w:pStyle w:val="Header"/>
              <w:rPr>
                <w:sz w:val="20"/>
              </w:rPr>
            </w:pPr>
            <w:r w:rsidRPr="00D721A6">
              <w:rPr>
                <w:sz w:val="20"/>
              </w:rPr>
              <w:t>See GWG meeting report!</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GWG Action217</w:t>
            </w:r>
          </w:p>
        </w:tc>
        <w:tc>
          <w:tcPr>
            <w:tcW w:w="4961" w:type="dxa"/>
            <w:shd w:val="clear" w:color="auto" w:fill="FFFFFF"/>
          </w:tcPr>
          <w:p w:rsidR="000C4303" w:rsidRPr="00D721A6" w:rsidRDefault="000C4303" w:rsidP="00E06430">
            <w:pPr>
              <w:pStyle w:val="Header"/>
              <w:rPr>
                <w:sz w:val="20"/>
              </w:rPr>
            </w:pPr>
            <w:r w:rsidRPr="00D721A6">
              <w:rPr>
                <w:sz w:val="20"/>
              </w:rPr>
              <w:t xml:space="preserve">To provide a derivation of the impact of VDB fieldstrength fluctuations on the Message Failure Rate in the context of GWG developing a specification to be included into ICAO Doc 8071, Vol. </w:t>
            </w:r>
            <w:r w:rsidR="00E208E9" w:rsidRPr="00D721A6">
              <w:rPr>
                <w:sz w:val="20"/>
              </w:rPr>
              <w:t>II,</w:t>
            </w:r>
            <w:r w:rsidRPr="00D721A6">
              <w:rPr>
                <w:sz w:val="20"/>
              </w:rPr>
              <w:t xml:space="preserve"> how to evaluate fieldstrength measurement results.</w:t>
            </w:r>
          </w:p>
        </w:tc>
        <w:tc>
          <w:tcPr>
            <w:tcW w:w="1237" w:type="dxa"/>
            <w:shd w:val="clear" w:color="auto" w:fill="FFFFFF"/>
          </w:tcPr>
          <w:p w:rsidR="000C4303" w:rsidRPr="00D721A6" w:rsidRDefault="000C4303" w:rsidP="00E06430">
            <w:pPr>
              <w:pStyle w:val="Header"/>
              <w:rPr>
                <w:sz w:val="20"/>
              </w:rPr>
            </w:pPr>
            <w:r w:rsidRPr="00D721A6">
              <w:rPr>
                <w:sz w:val="20"/>
              </w:rPr>
              <w:t>Matt Harris</w:t>
            </w:r>
          </w:p>
        </w:tc>
        <w:tc>
          <w:tcPr>
            <w:tcW w:w="1790" w:type="dxa"/>
            <w:shd w:val="clear" w:color="auto" w:fill="FFFFFF"/>
          </w:tcPr>
          <w:p w:rsidR="000C4303" w:rsidRPr="00D721A6" w:rsidRDefault="000C4303" w:rsidP="00E06430">
            <w:pPr>
              <w:pStyle w:val="Header"/>
              <w:rPr>
                <w:sz w:val="20"/>
              </w:rPr>
            </w:pPr>
            <w:r w:rsidRPr="00D721A6">
              <w:rPr>
                <w:sz w:val="20"/>
              </w:rPr>
              <w:t>See GWG meeting report!</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SWG05/03</w:t>
            </w:r>
          </w:p>
        </w:tc>
        <w:tc>
          <w:tcPr>
            <w:tcW w:w="4961" w:type="dxa"/>
            <w:shd w:val="clear" w:color="auto" w:fill="FFFFFF"/>
          </w:tcPr>
          <w:p w:rsidR="000C4303" w:rsidRPr="00D721A6" w:rsidRDefault="000C4303" w:rsidP="00E06430">
            <w:pPr>
              <w:pStyle w:val="Header"/>
              <w:rPr>
                <w:sz w:val="20"/>
              </w:rPr>
            </w:pPr>
            <w:r w:rsidRPr="00D721A6">
              <w:rPr>
                <w:sz w:val="20"/>
              </w:rPr>
              <w:t xml:space="preserve">To provide to ICAO NSP SWG results of the frequency planning exercise for LDACS based on ICAO frequency list of European Aeronautical Radionavigation systems in the band 960 to 1215 MHz. </w:t>
            </w:r>
          </w:p>
        </w:tc>
        <w:tc>
          <w:tcPr>
            <w:tcW w:w="1237" w:type="dxa"/>
            <w:shd w:val="clear" w:color="auto" w:fill="FFFFFF"/>
          </w:tcPr>
          <w:p w:rsidR="000C4303" w:rsidRPr="00D721A6" w:rsidRDefault="000C4303" w:rsidP="00E06430">
            <w:pPr>
              <w:pStyle w:val="Header"/>
              <w:rPr>
                <w:sz w:val="20"/>
              </w:rPr>
            </w:pPr>
            <w:r w:rsidRPr="00D721A6">
              <w:rPr>
                <w:sz w:val="20"/>
              </w:rPr>
              <w:t>Michael Schnell</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SWG05/06</w:t>
            </w:r>
          </w:p>
        </w:tc>
        <w:tc>
          <w:tcPr>
            <w:tcW w:w="4961" w:type="dxa"/>
            <w:shd w:val="clear" w:color="auto" w:fill="FFFFFF"/>
          </w:tcPr>
          <w:p w:rsidR="000C4303" w:rsidRPr="00D721A6" w:rsidRDefault="000C4303" w:rsidP="00E06430">
            <w:pPr>
              <w:pStyle w:val="Header"/>
              <w:rPr>
                <w:sz w:val="20"/>
              </w:rPr>
            </w:pPr>
            <w:r w:rsidRPr="00D721A6">
              <w:rPr>
                <w:sz w:val="20"/>
              </w:rPr>
              <w:t>To provide to ICAO NSP “IATA Technical Information Briefings on Harmful Interference to Global Navigation Satellite System (GNSS)” regularly</w:t>
            </w:r>
          </w:p>
        </w:tc>
        <w:tc>
          <w:tcPr>
            <w:tcW w:w="1237" w:type="dxa"/>
            <w:shd w:val="clear" w:color="auto" w:fill="FFFFFF"/>
          </w:tcPr>
          <w:p w:rsidR="000C4303" w:rsidRPr="00D721A6" w:rsidRDefault="000C4303" w:rsidP="00E06430">
            <w:pPr>
              <w:pStyle w:val="Header"/>
              <w:rPr>
                <w:sz w:val="20"/>
              </w:rPr>
            </w:pPr>
            <w:r w:rsidRPr="00D721A6">
              <w:rPr>
                <w:sz w:val="20"/>
              </w:rPr>
              <w:t>Noppadol Pringvanich</w:t>
            </w:r>
          </w:p>
        </w:tc>
        <w:tc>
          <w:tcPr>
            <w:tcW w:w="1790" w:type="dxa"/>
            <w:shd w:val="clear" w:color="auto" w:fill="FFFFFF"/>
          </w:tcPr>
          <w:p w:rsidR="000C4303" w:rsidRPr="00D721A6" w:rsidRDefault="000C4303" w:rsidP="00E06430">
            <w:pPr>
              <w:pStyle w:val="Header"/>
              <w:rPr>
                <w:sz w:val="20"/>
              </w:rPr>
            </w:pPr>
            <w:r w:rsidRPr="00D721A6">
              <w:rPr>
                <w:sz w:val="20"/>
              </w:rPr>
              <w:t>Standing action item</w:t>
            </w: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tc>
      </w:tr>
      <w:tr w:rsidR="000C4303" w:rsidRPr="00D721A6" w:rsidTr="00E06430">
        <w:tc>
          <w:tcPr>
            <w:tcW w:w="9180" w:type="dxa"/>
            <w:gridSpan w:val="4"/>
            <w:shd w:val="clear" w:color="auto" w:fill="FFFFFF"/>
          </w:tcPr>
          <w:p w:rsidR="000C4303" w:rsidRPr="00D721A6" w:rsidRDefault="000C4303" w:rsidP="00E06430">
            <w:pPr>
              <w:rPr>
                <w:sz w:val="20"/>
              </w:rPr>
            </w:pPr>
            <w:r w:rsidRPr="00D721A6">
              <w:rPr>
                <w:b/>
                <w:bCs/>
                <w:sz w:val="20"/>
              </w:rPr>
              <w:t>Actions from the Montreal meeting of SWG April 2018 (SWG6):</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GWG 224</w:t>
            </w:r>
          </w:p>
        </w:tc>
        <w:tc>
          <w:tcPr>
            <w:tcW w:w="4961" w:type="dxa"/>
            <w:shd w:val="clear" w:color="auto" w:fill="FFFFFF"/>
          </w:tcPr>
          <w:p w:rsidR="000C4303" w:rsidRPr="00D721A6" w:rsidRDefault="000C4303" w:rsidP="00E06430">
            <w:pPr>
              <w:pStyle w:val="Header"/>
              <w:rPr>
                <w:sz w:val="20"/>
              </w:rPr>
            </w:pPr>
            <w:r w:rsidRPr="00D721A6">
              <w:rPr>
                <w:sz w:val="20"/>
              </w:rPr>
              <w:t>To develop new guidance material on the conversion from receiver performance requirements to Signal-in-Space requirements regarding maximum undesired Power Flux Density levels for GBAS operations and desired-to-undesired (D/U) as well as the impact of spurious emissions based on JWGs/3, WP18, rev.1 and the new Appendix K of RTCA DO</w:t>
            </w:r>
            <w:r w:rsidRPr="00D721A6">
              <w:rPr>
                <w:sz w:val="20"/>
              </w:rPr>
              <w:noBreakHyphen/>
              <w:t>253</w:t>
            </w:r>
            <w:r>
              <w:rPr>
                <w:sz w:val="20"/>
              </w:rPr>
              <w:t>D – change 1</w:t>
            </w:r>
            <w:r w:rsidRPr="00D721A6">
              <w:rPr>
                <w:sz w:val="20"/>
              </w:rPr>
              <w:t>.</w:t>
            </w:r>
          </w:p>
        </w:tc>
        <w:tc>
          <w:tcPr>
            <w:tcW w:w="1237" w:type="dxa"/>
            <w:shd w:val="clear" w:color="auto" w:fill="FFFFFF"/>
          </w:tcPr>
          <w:p w:rsidR="000C4303" w:rsidRPr="00D721A6" w:rsidRDefault="000C4303" w:rsidP="00E06430">
            <w:pPr>
              <w:pStyle w:val="Header"/>
              <w:rPr>
                <w:sz w:val="20"/>
              </w:rPr>
            </w:pPr>
            <w:r w:rsidRPr="00D721A6">
              <w:rPr>
                <w:sz w:val="20"/>
              </w:rPr>
              <w:t>ICAO NSP</w:t>
            </w:r>
          </w:p>
        </w:tc>
        <w:tc>
          <w:tcPr>
            <w:tcW w:w="1790" w:type="dxa"/>
            <w:shd w:val="clear" w:color="auto" w:fill="FFFFFF"/>
          </w:tcPr>
          <w:p w:rsidR="000C4303" w:rsidRPr="00D721A6" w:rsidRDefault="000C4303" w:rsidP="00E06430">
            <w:pPr>
              <w:pStyle w:val="Header"/>
              <w:rPr>
                <w:sz w:val="20"/>
              </w:rPr>
            </w:pPr>
            <w:r w:rsidRPr="00D721A6">
              <w:rPr>
                <w:sz w:val="20"/>
              </w:rPr>
              <w:t xml:space="preserve"> Open. (Carried over to SWG according to GWG report from April 2019). </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SWG6/10</w:t>
            </w:r>
          </w:p>
        </w:tc>
        <w:tc>
          <w:tcPr>
            <w:tcW w:w="4961" w:type="dxa"/>
            <w:shd w:val="clear" w:color="auto" w:fill="FFFFFF"/>
          </w:tcPr>
          <w:p w:rsidR="000C4303" w:rsidRPr="00D721A6" w:rsidRDefault="000C4303" w:rsidP="00E06430">
            <w:pPr>
              <w:pStyle w:val="Header"/>
              <w:rPr>
                <w:sz w:val="20"/>
              </w:rPr>
            </w:pPr>
            <w:r w:rsidRPr="00D721A6">
              <w:rPr>
                <w:sz w:val="20"/>
              </w:rPr>
              <w:t>To analyse the expected range of potential interference by LED lighting devices to aeronautical radio navigation systems based on the applicable radiated emission limits for LED lighting devices based on JWGs/3-IP24.</w:t>
            </w:r>
          </w:p>
        </w:tc>
        <w:tc>
          <w:tcPr>
            <w:tcW w:w="1237" w:type="dxa"/>
            <w:shd w:val="clear" w:color="auto" w:fill="FFFFFF"/>
          </w:tcPr>
          <w:p w:rsidR="000C4303" w:rsidRPr="00D721A6" w:rsidRDefault="000C4303" w:rsidP="00E06430">
            <w:pPr>
              <w:pStyle w:val="Header"/>
              <w:rPr>
                <w:sz w:val="20"/>
              </w:rPr>
            </w:pPr>
            <w:r w:rsidRPr="00D721A6">
              <w:rPr>
                <w:sz w:val="20"/>
              </w:rPr>
              <w:t>SWG members</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tc>
      </w:tr>
      <w:tr w:rsidR="000C4303" w:rsidRPr="00D721A6" w:rsidTr="00E06430">
        <w:tc>
          <w:tcPr>
            <w:tcW w:w="9180" w:type="dxa"/>
            <w:gridSpan w:val="4"/>
            <w:shd w:val="clear" w:color="auto" w:fill="FFFFFF"/>
          </w:tcPr>
          <w:p w:rsidR="000C4303" w:rsidRPr="00D721A6" w:rsidRDefault="000C4303" w:rsidP="00E06430">
            <w:pPr>
              <w:rPr>
                <w:b/>
                <w:bCs/>
                <w:sz w:val="20"/>
              </w:rPr>
            </w:pPr>
            <w:r w:rsidRPr="00D721A6">
              <w:rPr>
                <w:b/>
                <w:bCs/>
                <w:sz w:val="20"/>
              </w:rPr>
              <w:t>Actions from the Montreal meeting of SWG November 2018 (SWG7):</w:t>
            </w:r>
          </w:p>
          <w:p w:rsidR="000C4303" w:rsidRPr="00D721A6" w:rsidRDefault="000C4303" w:rsidP="00E06430">
            <w:pPr>
              <w:pStyle w:val="Header"/>
              <w:rPr>
                <w:sz w:val="20"/>
              </w:rPr>
            </w:pPr>
          </w:p>
        </w:tc>
      </w:tr>
      <w:tr w:rsidR="000C4303" w:rsidRPr="00D721A6" w:rsidTr="00E06430">
        <w:tc>
          <w:tcPr>
            <w:tcW w:w="1192" w:type="dxa"/>
            <w:shd w:val="clear" w:color="auto" w:fill="FFFFFF"/>
          </w:tcPr>
          <w:p w:rsidR="000C4303" w:rsidRPr="00D721A6" w:rsidRDefault="000C4303" w:rsidP="00E06430">
            <w:pPr>
              <w:ind w:left="426" w:hanging="426"/>
              <w:rPr>
                <w:sz w:val="20"/>
              </w:rPr>
            </w:pPr>
            <w:r w:rsidRPr="00D721A6">
              <w:rPr>
                <w:sz w:val="20"/>
              </w:rPr>
              <w:t>GWG-</w:t>
            </w:r>
          </w:p>
          <w:p w:rsidR="000C4303" w:rsidRPr="00D721A6" w:rsidRDefault="000C4303" w:rsidP="00E06430">
            <w:pPr>
              <w:ind w:left="426" w:hanging="426"/>
              <w:rPr>
                <w:sz w:val="20"/>
              </w:rPr>
            </w:pPr>
            <w:r w:rsidRPr="00D721A6">
              <w:rPr>
                <w:sz w:val="20"/>
              </w:rPr>
              <w:t>action 231</w:t>
            </w:r>
          </w:p>
        </w:tc>
        <w:tc>
          <w:tcPr>
            <w:tcW w:w="4961" w:type="dxa"/>
            <w:shd w:val="clear" w:color="auto" w:fill="FFFFFF"/>
          </w:tcPr>
          <w:p w:rsidR="000C4303" w:rsidRPr="00D721A6" w:rsidRDefault="000C4303" w:rsidP="00E06430">
            <w:pPr>
              <w:pStyle w:val="Header"/>
              <w:rPr>
                <w:sz w:val="20"/>
              </w:rPr>
            </w:pPr>
            <w:r w:rsidRPr="00D721A6">
              <w:rPr>
                <w:sz w:val="20"/>
              </w:rPr>
              <w:t>To develop guidance material on GBAS/VDB siting and same-airport compatibility with other VHF-navigation aids for inclusion into ICAO Annex 10, Vol. I, Attachment D, t</w:t>
            </w:r>
          </w:p>
        </w:tc>
        <w:tc>
          <w:tcPr>
            <w:tcW w:w="1237" w:type="dxa"/>
            <w:shd w:val="clear" w:color="auto" w:fill="FFFFFF"/>
          </w:tcPr>
          <w:p w:rsidR="000C4303" w:rsidRPr="00D721A6" w:rsidRDefault="000C4303" w:rsidP="00E06430">
            <w:pPr>
              <w:pStyle w:val="Header"/>
              <w:rPr>
                <w:sz w:val="20"/>
              </w:rPr>
            </w:pPr>
            <w:r w:rsidRPr="00D721A6">
              <w:rPr>
                <w:sz w:val="20"/>
              </w:rPr>
              <w:t>GWG and SWG</w:t>
            </w:r>
          </w:p>
        </w:tc>
        <w:tc>
          <w:tcPr>
            <w:tcW w:w="1790" w:type="dxa"/>
            <w:shd w:val="clear" w:color="auto" w:fill="FFFFFF"/>
          </w:tcPr>
          <w:p w:rsidR="000C4303" w:rsidRPr="00D721A6" w:rsidRDefault="000C4303" w:rsidP="00E06430">
            <w:pPr>
              <w:pStyle w:val="Header"/>
              <w:rPr>
                <w:sz w:val="20"/>
              </w:rPr>
            </w:pPr>
            <w:r w:rsidRPr="00D721A6">
              <w:rPr>
                <w:sz w:val="20"/>
              </w:rPr>
              <w:t>See GWG meeting report =&gt; Open</w:t>
            </w:r>
          </w:p>
          <w:p w:rsidR="000C4303" w:rsidRPr="00D721A6" w:rsidRDefault="000C4303" w:rsidP="00E06430">
            <w:pPr>
              <w:pStyle w:val="Header"/>
              <w:rPr>
                <w:sz w:val="20"/>
              </w:rPr>
            </w:pPr>
            <w:r w:rsidRPr="00D721A6">
              <w:rPr>
                <w:sz w:val="20"/>
              </w:rPr>
              <w:t xml:space="preserve">Partly fulfilled by </w:t>
            </w:r>
            <w:r w:rsidR="00E208E9" w:rsidRPr="00D721A6">
              <w:rPr>
                <w:sz w:val="20"/>
              </w:rPr>
              <w:t>J</w:t>
            </w:r>
            <w:r w:rsidR="00E208E9">
              <w:rPr>
                <w:sz w:val="20"/>
              </w:rPr>
              <w:t>WGs</w:t>
            </w:r>
            <w:r>
              <w:rPr>
                <w:sz w:val="20"/>
              </w:rPr>
              <w:t>/5, WP24</w:t>
            </w:r>
            <w:r w:rsidRPr="00D721A6">
              <w:rPr>
                <w:sz w:val="20"/>
              </w:rPr>
              <w:t xml:space="preserve"> </w:t>
            </w: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tc>
      </w:tr>
      <w:tr w:rsidR="000C4303" w:rsidRPr="00D721A6" w:rsidTr="00E06430">
        <w:tc>
          <w:tcPr>
            <w:tcW w:w="9180" w:type="dxa"/>
            <w:gridSpan w:val="4"/>
            <w:shd w:val="clear" w:color="auto" w:fill="FFFFFF"/>
          </w:tcPr>
          <w:p w:rsidR="000C4303" w:rsidRPr="00D721A6" w:rsidRDefault="000C4303" w:rsidP="00E06430">
            <w:pPr>
              <w:rPr>
                <w:b/>
                <w:bCs/>
                <w:sz w:val="20"/>
              </w:rPr>
            </w:pPr>
          </w:p>
          <w:p w:rsidR="000C4303" w:rsidRPr="00D721A6" w:rsidRDefault="000C4303" w:rsidP="00E06430">
            <w:pPr>
              <w:rPr>
                <w:b/>
                <w:bCs/>
                <w:sz w:val="20"/>
              </w:rPr>
            </w:pPr>
            <w:r w:rsidRPr="00D721A6">
              <w:rPr>
                <w:b/>
                <w:bCs/>
                <w:sz w:val="20"/>
              </w:rPr>
              <w:t>Actions from the Montreal meeting of SWG April 2019 (SWG8):</w:t>
            </w:r>
          </w:p>
          <w:p w:rsidR="000C4303" w:rsidRPr="00D721A6" w:rsidRDefault="000C4303" w:rsidP="00E06430">
            <w:pPr>
              <w:pStyle w:val="Header"/>
              <w:rPr>
                <w:sz w:val="20"/>
              </w:rPr>
            </w:pP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SWG08/01</w:t>
            </w:r>
          </w:p>
        </w:tc>
        <w:tc>
          <w:tcPr>
            <w:tcW w:w="4961" w:type="dxa"/>
            <w:shd w:val="clear" w:color="auto" w:fill="FFFFFF"/>
          </w:tcPr>
          <w:p w:rsidR="000C4303" w:rsidRPr="00D721A6" w:rsidRDefault="000C4303" w:rsidP="00E06430">
            <w:pPr>
              <w:pStyle w:val="Header"/>
              <w:rPr>
                <w:sz w:val="20"/>
              </w:rPr>
            </w:pPr>
            <w:r w:rsidRPr="00D721A6">
              <w:rPr>
                <w:sz w:val="20"/>
              </w:rPr>
              <w:t>To analyse the impact of the site-elevations of the desired and undesired facility on the D/U in the calculation of the minimum separation distance.</w:t>
            </w:r>
          </w:p>
        </w:tc>
        <w:tc>
          <w:tcPr>
            <w:tcW w:w="1237" w:type="dxa"/>
            <w:shd w:val="clear" w:color="auto" w:fill="FFFFFF"/>
          </w:tcPr>
          <w:p w:rsidR="000C4303" w:rsidRPr="00D721A6" w:rsidRDefault="000C4303" w:rsidP="00E06430">
            <w:pPr>
              <w:pStyle w:val="Header"/>
              <w:rPr>
                <w:sz w:val="20"/>
              </w:rPr>
            </w:pPr>
            <w:r w:rsidRPr="00D721A6">
              <w:rPr>
                <w:sz w:val="20"/>
              </w:rPr>
              <w:t>Robert Witzen</w:t>
            </w:r>
          </w:p>
        </w:tc>
        <w:tc>
          <w:tcPr>
            <w:tcW w:w="1790" w:type="dxa"/>
            <w:shd w:val="clear" w:color="auto" w:fill="FFFFFF"/>
          </w:tcPr>
          <w:p w:rsidR="000C4303" w:rsidRPr="00D721A6" w:rsidRDefault="000C4303" w:rsidP="00E06430">
            <w:pPr>
              <w:pStyle w:val="Header"/>
              <w:rPr>
                <w:sz w:val="20"/>
              </w:rPr>
            </w:pPr>
            <w:r>
              <w:rPr>
                <w:sz w:val="20"/>
              </w:rPr>
              <w:t>Closed by JWGs/5, WP11</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lastRenderedPageBreak/>
              <w:t xml:space="preserve"> SWG08/02</w:t>
            </w:r>
          </w:p>
        </w:tc>
        <w:tc>
          <w:tcPr>
            <w:tcW w:w="4961" w:type="dxa"/>
            <w:shd w:val="clear" w:color="auto" w:fill="FFFFFF"/>
          </w:tcPr>
          <w:p w:rsidR="000C4303" w:rsidRPr="00D721A6" w:rsidRDefault="000C4303" w:rsidP="00E06430">
            <w:pPr>
              <w:pStyle w:val="Header"/>
              <w:rPr>
                <w:sz w:val="20"/>
              </w:rPr>
            </w:pPr>
            <w:r w:rsidRPr="00D721A6">
              <w:rPr>
                <w:sz w:val="20"/>
              </w:rPr>
              <w:t>To further explore, whether an increase of the protection ratio (D/U) by 3 dB should be applied in order to take into, account that a monitor-alarm of a navigation aid would be triggered if the transmit power would drop by 3 dB.</w:t>
            </w:r>
          </w:p>
        </w:tc>
        <w:tc>
          <w:tcPr>
            <w:tcW w:w="1237" w:type="dxa"/>
            <w:shd w:val="clear" w:color="auto" w:fill="FFFFFF"/>
          </w:tcPr>
          <w:p w:rsidR="000C4303" w:rsidRPr="00D721A6" w:rsidRDefault="000C4303" w:rsidP="00E06430">
            <w:pPr>
              <w:pStyle w:val="Header"/>
              <w:rPr>
                <w:sz w:val="20"/>
              </w:rPr>
            </w:pPr>
            <w:r w:rsidRPr="00D721A6">
              <w:rPr>
                <w:sz w:val="20"/>
              </w:rPr>
              <w:t>SWG members</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SWG08/03</w:t>
            </w:r>
          </w:p>
        </w:tc>
        <w:tc>
          <w:tcPr>
            <w:tcW w:w="4961" w:type="dxa"/>
            <w:shd w:val="clear" w:color="auto" w:fill="FFFFFF"/>
          </w:tcPr>
          <w:p w:rsidR="000C4303" w:rsidRPr="00D721A6" w:rsidRDefault="000C4303" w:rsidP="00E06430">
            <w:pPr>
              <w:pStyle w:val="Header"/>
              <w:rPr>
                <w:sz w:val="20"/>
              </w:rPr>
            </w:pPr>
            <w:r w:rsidRPr="00D721A6">
              <w:rPr>
                <w:sz w:val="20"/>
              </w:rPr>
              <w:t>To explore the possibility to apply the site elevations of the Desired and Undesired transmitters for the compatibility analysis of GBAS VDB.</w:t>
            </w:r>
          </w:p>
        </w:tc>
        <w:tc>
          <w:tcPr>
            <w:tcW w:w="1237" w:type="dxa"/>
            <w:shd w:val="clear" w:color="auto" w:fill="FFFFFF"/>
          </w:tcPr>
          <w:p w:rsidR="000C4303" w:rsidRPr="00D721A6" w:rsidRDefault="000C4303" w:rsidP="00E06430">
            <w:pPr>
              <w:pStyle w:val="Header"/>
              <w:rPr>
                <w:sz w:val="20"/>
              </w:rPr>
            </w:pPr>
            <w:r w:rsidRPr="00D721A6">
              <w:rPr>
                <w:sz w:val="20"/>
              </w:rPr>
              <w:t>Robert Witzen</w:t>
            </w:r>
          </w:p>
        </w:tc>
        <w:tc>
          <w:tcPr>
            <w:tcW w:w="1790" w:type="dxa"/>
            <w:shd w:val="clear" w:color="auto" w:fill="FFFFFF"/>
          </w:tcPr>
          <w:p w:rsidR="000C4303" w:rsidRPr="00D721A6" w:rsidRDefault="000C4303" w:rsidP="00E06430">
            <w:pPr>
              <w:pStyle w:val="Header"/>
              <w:rPr>
                <w:sz w:val="20"/>
              </w:rPr>
            </w:pPr>
            <w:r>
              <w:rPr>
                <w:sz w:val="20"/>
              </w:rPr>
              <w:t>Closed by JWGs/5, WP12</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SWG08/04</w:t>
            </w:r>
          </w:p>
        </w:tc>
        <w:tc>
          <w:tcPr>
            <w:tcW w:w="4961" w:type="dxa"/>
            <w:shd w:val="clear" w:color="auto" w:fill="FFFFFF"/>
          </w:tcPr>
          <w:p w:rsidR="000C4303" w:rsidRPr="00D721A6" w:rsidRDefault="000C4303" w:rsidP="00E06430">
            <w:pPr>
              <w:pStyle w:val="Header"/>
              <w:rPr>
                <w:sz w:val="20"/>
              </w:rPr>
            </w:pPr>
            <w:r w:rsidRPr="00D721A6">
              <w:rPr>
                <w:sz w:val="20"/>
              </w:rPr>
              <w:t>To take into account a 0.9° slope representing the lower limit of the vertical coverage for the compatibility analysis of GBAS VDB</w:t>
            </w:r>
          </w:p>
        </w:tc>
        <w:tc>
          <w:tcPr>
            <w:tcW w:w="1237" w:type="dxa"/>
            <w:shd w:val="clear" w:color="auto" w:fill="FFFFFF"/>
          </w:tcPr>
          <w:p w:rsidR="000C4303" w:rsidRPr="00D721A6" w:rsidRDefault="000C4303" w:rsidP="00E06430">
            <w:pPr>
              <w:pStyle w:val="Header"/>
              <w:rPr>
                <w:sz w:val="20"/>
              </w:rPr>
            </w:pPr>
            <w:r w:rsidRPr="00D721A6">
              <w:rPr>
                <w:sz w:val="20"/>
              </w:rPr>
              <w:t>Robert Witzen</w:t>
            </w:r>
          </w:p>
        </w:tc>
        <w:tc>
          <w:tcPr>
            <w:tcW w:w="1790" w:type="dxa"/>
            <w:shd w:val="clear" w:color="auto" w:fill="FFFFFF"/>
          </w:tcPr>
          <w:p w:rsidR="000C4303" w:rsidRPr="00D721A6" w:rsidRDefault="000C4303" w:rsidP="00E06430">
            <w:pPr>
              <w:pStyle w:val="Header"/>
              <w:rPr>
                <w:sz w:val="20"/>
              </w:rPr>
            </w:pPr>
            <w:r>
              <w:rPr>
                <w:sz w:val="20"/>
              </w:rPr>
              <w:t>Closed by JWGs/5, WP12 and WP24</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SWG08/05</w:t>
            </w:r>
          </w:p>
        </w:tc>
        <w:tc>
          <w:tcPr>
            <w:tcW w:w="4961" w:type="dxa"/>
            <w:shd w:val="clear" w:color="auto" w:fill="FFFFFF"/>
          </w:tcPr>
          <w:p w:rsidR="000C4303" w:rsidRPr="00D721A6" w:rsidRDefault="000C4303" w:rsidP="00E06430">
            <w:pPr>
              <w:pStyle w:val="Header"/>
              <w:rPr>
                <w:sz w:val="20"/>
              </w:rPr>
            </w:pPr>
            <w:r w:rsidRPr="00D721A6">
              <w:rPr>
                <w:sz w:val="20"/>
              </w:rPr>
              <w:t>To explore the basis for applying a cross-polar isolation, when analysing the compatibility between a horizontally polarized GBAS VDB and vertically polarized undesired systems like VHF COM and VDL4</w:t>
            </w:r>
          </w:p>
        </w:tc>
        <w:tc>
          <w:tcPr>
            <w:tcW w:w="1237" w:type="dxa"/>
            <w:shd w:val="clear" w:color="auto" w:fill="FFFFFF"/>
          </w:tcPr>
          <w:p w:rsidR="000C4303" w:rsidRPr="00D721A6" w:rsidRDefault="000C4303" w:rsidP="00E06430">
            <w:pPr>
              <w:pStyle w:val="Header"/>
              <w:rPr>
                <w:sz w:val="20"/>
              </w:rPr>
            </w:pPr>
            <w:r w:rsidRPr="00D721A6">
              <w:rPr>
                <w:sz w:val="20"/>
              </w:rPr>
              <w:t>SWG members</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SWG08/06</w:t>
            </w:r>
          </w:p>
        </w:tc>
        <w:tc>
          <w:tcPr>
            <w:tcW w:w="4961" w:type="dxa"/>
            <w:shd w:val="clear" w:color="auto" w:fill="FFFFFF"/>
          </w:tcPr>
          <w:p w:rsidR="000C4303" w:rsidRPr="00D721A6" w:rsidRDefault="000C4303" w:rsidP="00E06430">
            <w:pPr>
              <w:pStyle w:val="Header"/>
              <w:rPr>
                <w:sz w:val="20"/>
              </w:rPr>
            </w:pPr>
            <w:r w:rsidRPr="00D721A6">
              <w:rPr>
                <w:sz w:val="20"/>
              </w:rPr>
              <w:t>To lead the team developing ‘same-airport compatibility guidance’ and ‘siting guidance’ for GBAS VDB.</w:t>
            </w:r>
          </w:p>
        </w:tc>
        <w:tc>
          <w:tcPr>
            <w:tcW w:w="1237" w:type="dxa"/>
            <w:shd w:val="clear" w:color="auto" w:fill="FFFFFF"/>
          </w:tcPr>
          <w:p w:rsidR="000C4303" w:rsidRPr="00D721A6" w:rsidRDefault="000C4303" w:rsidP="00E06430">
            <w:pPr>
              <w:pStyle w:val="Header"/>
              <w:rPr>
                <w:sz w:val="20"/>
              </w:rPr>
            </w:pPr>
            <w:r w:rsidRPr="00D721A6">
              <w:rPr>
                <w:sz w:val="20"/>
              </w:rPr>
              <w:t xml:space="preserve">Felix Butsch </w:t>
            </w:r>
          </w:p>
        </w:tc>
        <w:tc>
          <w:tcPr>
            <w:tcW w:w="1790" w:type="dxa"/>
            <w:shd w:val="clear" w:color="auto" w:fill="FFFFFF"/>
          </w:tcPr>
          <w:p w:rsidR="000C4303" w:rsidRPr="00D721A6" w:rsidRDefault="000C4303" w:rsidP="00E06430">
            <w:pPr>
              <w:pStyle w:val="Header"/>
              <w:rPr>
                <w:sz w:val="20"/>
              </w:rPr>
            </w:pPr>
            <w:r>
              <w:rPr>
                <w:sz w:val="20"/>
              </w:rPr>
              <w:t xml:space="preserve"> Ongoing</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SWG08/07</w:t>
            </w:r>
          </w:p>
        </w:tc>
        <w:tc>
          <w:tcPr>
            <w:tcW w:w="4961" w:type="dxa"/>
            <w:shd w:val="clear" w:color="auto" w:fill="FFFFFF"/>
          </w:tcPr>
          <w:p w:rsidR="000C4303" w:rsidRPr="00D721A6" w:rsidRDefault="000C4303" w:rsidP="00E06430">
            <w:pPr>
              <w:pStyle w:val="Header"/>
              <w:rPr>
                <w:sz w:val="20"/>
              </w:rPr>
            </w:pPr>
            <w:r w:rsidRPr="00D721A6">
              <w:rPr>
                <w:sz w:val="20"/>
              </w:rPr>
              <w:t>To develop frequency assignment planning criteria for VDB versus ILS Localizer signals</w:t>
            </w:r>
          </w:p>
        </w:tc>
        <w:tc>
          <w:tcPr>
            <w:tcW w:w="1237" w:type="dxa"/>
            <w:shd w:val="clear" w:color="auto" w:fill="FFFFFF"/>
          </w:tcPr>
          <w:p w:rsidR="000C4303" w:rsidRPr="00D721A6" w:rsidRDefault="000C4303" w:rsidP="00E06430">
            <w:pPr>
              <w:pStyle w:val="Header"/>
              <w:rPr>
                <w:sz w:val="20"/>
              </w:rPr>
            </w:pPr>
            <w:r w:rsidRPr="00D721A6">
              <w:rPr>
                <w:sz w:val="20"/>
              </w:rPr>
              <w:t>Robert Witzen</w:t>
            </w:r>
          </w:p>
        </w:tc>
        <w:tc>
          <w:tcPr>
            <w:tcW w:w="1790" w:type="dxa"/>
            <w:shd w:val="clear" w:color="auto" w:fill="FFFFFF"/>
          </w:tcPr>
          <w:p w:rsidR="000C4303" w:rsidRPr="00D721A6" w:rsidRDefault="000C4303" w:rsidP="00E06430">
            <w:pPr>
              <w:pStyle w:val="Header"/>
              <w:rPr>
                <w:sz w:val="20"/>
              </w:rPr>
            </w:pPr>
            <w:r>
              <w:rPr>
                <w:sz w:val="20"/>
              </w:rPr>
              <w:t>Closed JWGs/5 WP7</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SWG08/08</w:t>
            </w:r>
          </w:p>
        </w:tc>
        <w:tc>
          <w:tcPr>
            <w:tcW w:w="4961" w:type="dxa"/>
            <w:shd w:val="clear" w:color="auto" w:fill="FFFFFF"/>
          </w:tcPr>
          <w:p w:rsidR="000C4303" w:rsidRPr="00D721A6" w:rsidRDefault="000C4303" w:rsidP="00E06430">
            <w:pPr>
              <w:pStyle w:val="Header"/>
              <w:rPr>
                <w:sz w:val="20"/>
              </w:rPr>
            </w:pPr>
            <w:r>
              <w:rPr>
                <w:sz w:val="20"/>
              </w:rPr>
              <w:t>T</w:t>
            </w:r>
            <w:r w:rsidRPr="00D721A6">
              <w:rPr>
                <w:sz w:val="20"/>
              </w:rPr>
              <w:t xml:space="preserve">o develop frequency assignment planning criteria for </w:t>
            </w:r>
            <w:r>
              <w:rPr>
                <w:sz w:val="20"/>
              </w:rPr>
              <w:t xml:space="preserve">GBAS </w:t>
            </w:r>
            <w:r w:rsidRPr="00D721A6">
              <w:rPr>
                <w:sz w:val="20"/>
              </w:rPr>
              <w:t>VDB versus VDL Mode 4 signals</w:t>
            </w:r>
          </w:p>
        </w:tc>
        <w:tc>
          <w:tcPr>
            <w:tcW w:w="1237" w:type="dxa"/>
            <w:shd w:val="clear" w:color="auto" w:fill="FFFFFF"/>
          </w:tcPr>
          <w:p w:rsidR="000C4303" w:rsidRPr="00D721A6" w:rsidRDefault="000C4303" w:rsidP="00E06430">
            <w:pPr>
              <w:pStyle w:val="Header"/>
              <w:rPr>
                <w:sz w:val="20"/>
              </w:rPr>
            </w:pPr>
            <w:r w:rsidRPr="00D721A6">
              <w:rPr>
                <w:sz w:val="20"/>
              </w:rPr>
              <w:t>Robert Witzen</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SWG08/09</w:t>
            </w:r>
          </w:p>
        </w:tc>
        <w:tc>
          <w:tcPr>
            <w:tcW w:w="4961" w:type="dxa"/>
            <w:shd w:val="clear" w:color="auto" w:fill="FFFFFF"/>
          </w:tcPr>
          <w:p w:rsidR="000C4303" w:rsidRPr="00D721A6" w:rsidRDefault="000C4303" w:rsidP="00E06430">
            <w:pPr>
              <w:pStyle w:val="Header"/>
              <w:rPr>
                <w:sz w:val="20"/>
              </w:rPr>
            </w:pPr>
            <w:r w:rsidRPr="00D721A6">
              <w:rPr>
                <w:sz w:val="20"/>
              </w:rPr>
              <w:t xml:space="preserve">To develop frequency assignment planning criteria for </w:t>
            </w:r>
            <w:r>
              <w:rPr>
                <w:sz w:val="20"/>
              </w:rPr>
              <w:t xml:space="preserve">GBAS </w:t>
            </w:r>
            <w:r w:rsidRPr="00D721A6">
              <w:rPr>
                <w:sz w:val="20"/>
              </w:rPr>
              <w:t>VDB versus VHF COM signals with support of VDB ad-hoc group.</w:t>
            </w:r>
          </w:p>
        </w:tc>
        <w:tc>
          <w:tcPr>
            <w:tcW w:w="1237" w:type="dxa"/>
            <w:shd w:val="clear" w:color="auto" w:fill="FFFFFF"/>
          </w:tcPr>
          <w:p w:rsidR="000C4303" w:rsidRPr="005A6E12" w:rsidRDefault="000C4303" w:rsidP="00E06430">
            <w:pPr>
              <w:pStyle w:val="Header"/>
              <w:rPr>
                <w:sz w:val="20"/>
                <w:lang w:val="de-DE"/>
              </w:rPr>
            </w:pPr>
            <w:r w:rsidRPr="005A6E12">
              <w:rPr>
                <w:sz w:val="20"/>
                <w:lang w:val="de-DE"/>
              </w:rPr>
              <w:t>Robert Witzen and Felix Butsch</w:t>
            </w:r>
          </w:p>
        </w:tc>
        <w:tc>
          <w:tcPr>
            <w:tcW w:w="1790" w:type="dxa"/>
            <w:shd w:val="clear" w:color="auto" w:fill="FFFFFF"/>
          </w:tcPr>
          <w:p w:rsidR="000C4303" w:rsidRPr="00D721A6" w:rsidRDefault="000C4303" w:rsidP="00E06430">
            <w:pPr>
              <w:pStyle w:val="Header"/>
              <w:rPr>
                <w:sz w:val="20"/>
              </w:rPr>
            </w:pPr>
            <w:r w:rsidRPr="00D721A6">
              <w:rPr>
                <w:sz w:val="20"/>
              </w:rPr>
              <w:t>Open</w:t>
            </w:r>
          </w:p>
        </w:tc>
      </w:tr>
      <w:tr w:rsidR="000C4303" w:rsidRPr="00D721A6" w:rsidTr="00E06430">
        <w:tc>
          <w:tcPr>
            <w:tcW w:w="1192" w:type="dxa"/>
            <w:shd w:val="clear" w:color="auto" w:fill="FFFFFF"/>
          </w:tcPr>
          <w:p w:rsidR="000C4303" w:rsidRPr="00D721A6" w:rsidRDefault="000C4303" w:rsidP="00E06430">
            <w:pPr>
              <w:pStyle w:val="Header"/>
              <w:rPr>
                <w:sz w:val="20"/>
              </w:rPr>
            </w:pPr>
            <w:r w:rsidRPr="00D721A6">
              <w:rPr>
                <w:sz w:val="20"/>
              </w:rPr>
              <w:t xml:space="preserve"> SWG08/10</w:t>
            </w:r>
          </w:p>
        </w:tc>
        <w:tc>
          <w:tcPr>
            <w:tcW w:w="4961" w:type="dxa"/>
            <w:shd w:val="clear" w:color="auto" w:fill="FFFFFF"/>
          </w:tcPr>
          <w:p w:rsidR="000C4303" w:rsidRPr="00D721A6" w:rsidRDefault="000C4303" w:rsidP="00E06430">
            <w:pPr>
              <w:pStyle w:val="Header"/>
              <w:rPr>
                <w:sz w:val="20"/>
              </w:rPr>
            </w:pPr>
            <w:r w:rsidRPr="00D721A6">
              <w:rPr>
                <w:sz w:val="20"/>
              </w:rPr>
              <w:t>To contribute to the interpretation of the meaning of D/U values for DME contained in Table C-6 of ICAO Annex 10, Vol. I, Att. C, section 7.1.8.</w:t>
            </w:r>
          </w:p>
        </w:tc>
        <w:tc>
          <w:tcPr>
            <w:tcW w:w="1237" w:type="dxa"/>
            <w:shd w:val="clear" w:color="auto" w:fill="FFFFFF"/>
          </w:tcPr>
          <w:p w:rsidR="000C4303" w:rsidRPr="00D721A6" w:rsidRDefault="000C4303" w:rsidP="00E06430">
            <w:pPr>
              <w:pStyle w:val="Header"/>
              <w:rPr>
                <w:sz w:val="20"/>
              </w:rPr>
            </w:pPr>
            <w:r w:rsidRPr="00D721A6">
              <w:rPr>
                <w:sz w:val="20"/>
              </w:rPr>
              <w:t>SWG members</w:t>
            </w:r>
          </w:p>
        </w:tc>
        <w:tc>
          <w:tcPr>
            <w:tcW w:w="1790" w:type="dxa"/>
            <w:shd w:val="clear" w:color="auto" w:fill="FFFFFF"/>
          </w:tcPr>
          <w:p w:rsidR="000C4303" w:rsidRPr="00D721A6" w:rsidRDefault="000C4303" w:rsidP="00E06430">
            <w:pPr>
              <w:pStyle w:val="Header"/>
              <w:rPr>
                <w:sz w:val="20"/>
              </w:rPr>
            </w:pPr>
            <w:r>
              <w:rPr>
                <w:sz w:val="20"/>
              </w:rPr>
              <w:t xml:space="preserve"> Closed</w:t>
            </w:r>
          </w:p>
        </w:tc>
      </w:tr>
      <w:tr w:rsidR="000C4303" w:rsidRPr="00D721A6" w:rsidTr="00E06430">
        <w:tc>
          <w:tcPr>
            <w:tcW w:w="9180" w:type="dxa"/>
            <w:gridSpan w:val="4"/>
            <w:shd w:val="clear" w:color="auto" w:fill="FFFFFF"/>
          </w:tcPr>
          <w:p w:rsidR="000C4303" w:rsidRPr="00D721A6" w:rsidRDefault="000C4303" w:rsidP="00E06430">
            <w:pPr>
              <w:pStyle w:val="Header"/>
              <w:rPr>
                <w:sz w:val="20"/>
              </w:rPr>
            </w:pPr>
          </w:p>
        </w:tc>
      </w:tr>
      <w:tr w:rsidR="000C4303" w:rsidRPr="00D721A6" w:rsidTr="00E06430">
        <w:tc>
          <w:tcPr>
            <w:tcW w:w="9180" w:type="dxa"/>
            <w:gridSpan w:val="4"/>
            <w:shd w:val="clear" w:color="auto" w:fill="FFFFFF"/>
          </w:tcPr>
          <w:p w:rsidR="000C4303" w:rsidRPr="00AB2EEC" w:rsidRDefault="000C4303" w:rsidP="00E06430">
            <w:pPr>
              <w:rPr>
                <w:b/>
                <w:bCs/>
                <w:sz w:val="20"/>
              </w:rPr>
            </w:pPr>
            <w:r w:rsidRPr="00AB2EEC">
              <w:rPr>
                <w:b/>
                <w:bCs/>
                <w:sz w:val="20"/>
              </w:rPr>
              <w:t>Actions from the Montreal meeting of SWG October 2019 (SWG9):</w:t>
            </w:r>
          </w:p>
          <w:p w:rsidR="000C4303" w:rsidRPr="00AB2EEC" w:rsidRDefault="000C4303" w:rsidP="00E06430">
            <w:pPr>
              <w:pStyle w:val="Header"/>
              <w:rPr>
                <w:sz w:val="20"/>
              </w:rPr>
            </w:pP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 xml:space="preserve"> SWG09/01</w:t>
            </w:r>
          </w:p>
        </w:tc>
        <w:tc>
          <w:tcPr>
            <w:tcW w:w="4961" w:type="dxa"/>
            <w:shd w:val="clear" w:color="auto" w:fill="FFFFFF"/>
          </w:tcPr>
          <w:p w:rsidR="000C4303" w:rsidRPr="00AB2EEC" w:rsidRDefault="000C4303" w:rsidP="00E06430">
            <w:pPr>
              <w:pStyle w:val="Header"/>
              <w:rPr>
                <w:sz w:val="20"/>
              </w:rPr>
            </w:pPr>
            <w:r w:rsidRPr="00AB2EEC">
              <w:rPr>
                <w:sz w:val="20"/>
              </w:rPr>
              <w:t>To analyse the impact of the frequency difference between 108 MHz and 125 MHz on the propagation loss calculated by the software implementation of ITU-R Recommendation P.528-4.</w:t>
            </w:r>
          </w:p>
        </w:tc>
        <w:tc>
          <w:tcPr>
            <w:tcW w:w="1237" w:type="dxa"/>
            <w:shd w:val="clear" w:color="auto" w:fill="FFFFFF"/>
          </w:tcPr>
          <w:p w:rsidR="000C4303" w:rsidRPr="00AB2EEC" w:rsidRDefault="000C4303" w:rsidP="00E06430">
            <w:pPr>
              <w:pStyle w:val="Header"/>
              <w:rPr>
                <w:sz w:val="20"/>
              </w:rPr>
            </w:pPr>
            <w:r w:rsidRPr="00AB2EEC">
              <w:rPr>
                <w:sz w:val="20"/>
              </w:rPr>
              <w:t>Robert Witzen</w:t>
            </w:r>
          </w:p>
        </w:tc>
        <w:tc>
          <w:tcPr>
            <w:tcW w:w="1790" w:type="dxa"/>
            <w:shd w:val="clear" w:color="auto" w:fill="FFFFFF"/>
          </w:tcPr>
          <w:p w:rsidR="000C4303" w:rsidRPr="00AB2EEC" w:rsidRDefault="000C4303" w:rsidP="00E06430">
            <w:pPr>
              <w:pStyle w:val="Header"/>
              <w:rPr>
                <w:sz w:val="20"/>
              </w:rPr>
            </w:pPr>
            <w:r w:rsidRPr="00AB2EEC">
              <w:rPr>
                <w:sz w:val="20"/>
              </w:rPr>
              <w:t>Open</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 xml:space="preserve"> SWG09/02</w:t>
            </w:r>
          </w:p>
        </w:tc>
        <w:tc>
          <w:tcPr>
            <w:tcW w:w="4961" w:type="dxa"/>
            <w:shd w:val="clear" w:color="auto" w:fill="FFFFFF"/>
          </w:tcPr>
          <w:p w:rsidR="000C4303" w:rsidRPr="00AB2EEC" w:rsidRDefault="000C4303" w:rsidP="00E06430">
            <w:pPr>
              <w:pStyle w:val="Header"/>
              <w:rPr>
                <w:sz w:val="20"/>
              </w:rPr>
            </w:pPr>
            <w:r w:rsidRPr="00AB2EEC">
              <w:rPr>
                <w:sz w:val="20"/>
              </w:rPr>
              <w:t xml:space="preserve">To contact NTIA (member of ITU-R study group 3) with the request to officially extend the </w:t>
            </w:r>
            <w:r>
              <w:rPr>
                <w:sz w:val="20"/>
              </w:rPr>
              <w:t xml:space="preserve">frequency </w:t>
            </w:r>
            <w:r w:rsidRPr="00AB2EEC">
              <w:rPr>
                <w:sz w:val="20"/>
              </w:rPr>
              <w:t>range of applicability of ITU-R Recommendation P.528-4 down to 108 MHz</w:t>
            </w:r>
          </w:p>
        </w:tc>
        <w:tc>
          <w:tcPr>
            <w:tcW w:w="1237" w:type="dxa"/>
            <w:shd w:val="clear" w:color="auto" w:fill="FFFFFF"/>
          </w:tcPr>
          <w:p w:rsidR="000C4303" w:rsidRPr="00AB2EEC" w:rsidRDefault="000C4303" w:rsidP="00E06430">
            <w:pPr>
              <w:pStyle w:val="Header"/>
              <w:rPr>
                <w:sz w:val="20"/>
              </w:rPr>
            </w:pPr>
            <w:r w:rsidRPr="00AB2EEC">
              <w:rPr>
                <w:sz w:val="20"/>
              </w:rPr>
              <w:t>Robert Witzen</w:t>
            </w:r>
          </w:p>
        </w:tc>
        <w:tc>
          <w:tcPr>
            <w:tcW w:w="1790" w:type="dxa"/>
            <w:shd w:val="clear" w:color="auto" w:fill="FFFFFF"/>
          </w:tcPr>
          <w:p w:rsidR="000C4303" w:rsidRPr="00AB2EEC" w:rsidRDefault="000C4303" w:rsidP="00E06430">
            <w:pPr>
              <w:pStyle w:val="Header"/>
              <w:rPr>
                <w:sz w:val="20"/>
              </w:rPr>
            </w:pPr>
            <w:r>
              <w:rPr>
                <w:sz w:val="20"/>
              </w:rPr>
              <w:t>Ongoing</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SWG09/03</w:t>
            </w:r>
          </w:p>
        </w:tc>
        <w:tc>
          <w:tcPr>
            <w:tcW w:w="4961" w:type="dxa"/>
            <w:shd w:val="clear" w:color="auto" w:fill="FFFFFF"/>
          </w:tcPr>
          <w:p w:rsidR="000C4303" w:rsidRPr="00AB2EEC" w:rsidRDefault="000C4303" w:rsidP="00E06430">
            <w:pPr>
              <w:pStyle w:val="Header"/>
              <w:rPr>
                <w:sz w:val="20"/>
              </w:rPr>
            </w:pPr>
            <w:r w:rsidRPr="00AB2EEC">
              <w:rPr>
                <w:sz w:val="20"/>
              </w:rPr>
              <w:t xml:space="preserve">To further, evolve the draft ICAO guidance on ‘GBAS/VDB siting’ and ‘Same-airport frequency compatibility’ until the </w:t>
            </w:r>
            <w:r>
              <w:rPr>
                <w:sz w:val="20"/>
              </w:rPr>
              <w:t>April</w:t>
            </w:r>
            <w:r w:rsidRPr="00AB2EEC">
              <w:rPr>
                <w:sz w:val="20"/>
              </w:rPr>
              <w:t xml:space="preserve"> 2020 meeting of ICAO NSP.</w:t>
            </w:r>
          </w:p>
        </w:tc>
        <w:tc>
          <w:tcPr>
            <w:tcW w:w="1237" w:type="dxa"/>
            <w:shd w:val="clear" w:color="auto" w:fill="FFFFFF"/>
          </w:tcPr>
          <w:p w:rsidR="000C4303" w:rsidRPr="00AB2EEC" w:rsidRDefault="000C4303" w:rsidP="00E06430">
            <w:pPr>
              <w:pStyle w:val="Header"/>
              <w:rPr>
                <w:sz w:val="20"/>
              </w:rPr>
            </w:pPr>
            <w:r w:rsidRPr="00AB2EEC">
              <w:rPr>
                <w:sz w:val="18"/>
              </w:rPr>
              <w:t>‘GBAS/VDB same-airport com</w:t>
            </w:r>
            <w:r w:rsidRPr="00AB2EEC">
              <w:rPr>
                <w:sz w:val="18"/>
              </w:rPr>
              <w:softHyphen/>
              <w:t>patibility corres</w:t>
            </w:r>
            <w:r w:rsidRPr="00AB2EEC">
              <w:rPr>
                <w:sz w:val="18"/>
              </w:rPr>
              <w:softHyphen/>
              <w:t>pondence group</w:t>
            </w:r>
          </w:p>
        </w:tc>
        <w:tc>
          <w:tcPr>
            <w:tcW w:w="1790" w:type="dxa"/>
            <w:shd w:val="clear" w:color="auto" w:fill="FFFFFF"/>
          </w:tcPr>
          <w:p w:rsidR="000C4303" w:rsidRPr="00AB2EEC" w:rsidRDefault="000C4303" w:rsidP="00E06430">
            <w:pPr>
              <w:pStyle w:val="Header"/>
              <w:rPr>
                <w:sz w:val="20"/>
              </w:rPr>
            </w:pPr>
            <w:r w:rsidRPr="00AB2EEC">
              <w:rPr>
                <w:sz w:val="20"/>
              </w:rPr>
              <w:t>Open</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SWG09/04</w:t>
            </w:r>
          </w:p>
        </w:tc>
        <w:tc>
          <w:tcPr>
            <w:tcW w:w="4961" w:type="dxa"/>
            <w:shd w:val="clear" w:color="auto" w:fill="FFFFFF"/>
          </w:tcPr>
          <w:p w:rsidR="000C4303" w:rsidRPr="00AB2EEC" w:rsidRDefault="000C4303" w:rsidP="00E06430">
            <w:pPr>
              <w:pStyle w:val="Header"/>
              <w:rPr>
                <w:sz w:val="20"/>
              </w:rPr>
            </w:pPr>
            <w:r w:rsidRPr="00AB2EEC">
              <w:rPr>
                <w:sz w:val="20"/>
              </w:rPr>
              <w:t>To edit section 6.1 of the draft guidance on ‘Same-airport frequency compatibility’ to define ‘short duration outage’ and reference material on continuity in RTCA/DO-253.</w:t>
            </w:r>
          </w:p>
        </w:tc>
        <w:tc>
          <w:tcPr>
            <w:tcW w:w="1237" w:type="dxa"/>
            <w:shd w:val="clear" w:color="auto" w:fill="FFFFFF"/>
          </w:tcPr>
          <w:p w:rsidR="000C4303" w:rsidRPr="00AB2EEC" w:rsidRDefault="000C4303" w:rsidP="00E06430">
            <w:pPr>
              <w:pStyle w:val="Header"/>
              <w:rPr>
                <w:sz w:val="20"/>
              </w:rPr>
            </w:pPr>
            <w:r w:rsidRPr="00AB2EEC">
              <w:rPr>
                <w:sz w:val="20"/>
              </w:rPr>
              <w:t>Matt Harris</w:t>
            </w:r>
          </w:p>
        </w:tc>
        <w:tc>
          <w:tcPr>
            <w:tcW w:w="1790" w:type="dxa"/>
            <w:shd w:val="clear" w:color="auto" w:fill="FFFFFF"/>
          </w:tcPr>
          <w:p w:rsidR="000C4303" w:rsidRPr="00AB2EEC" w:rsidRDefault="000C4303" w:rsidP="00E06430">
            <w:pPr>
              <w:pStyle w:val="Header"/>
              <w:rPr>
                <w:sz w:val="20"/>
              </w:rPr>
            </w:pPr>
            <w:r w:rsidRPr="00AB2EEC">
              <w:rPr>
                <w:sz w:val="20"/>
              </w:rPr>
              <w:t>Open</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 xml:space="preserve"> SWG09/05</w:t>
            </w:r>
          </w:p>
        </w:tc>
        <w:tc>
          <w:tcPr>
            <w:tcW w:w="4961" w:type="dxa"/>
            <w:shd w:val="clear" w:color="auto" w:fill="FFFFFF"/>
          </w:tcPr>
          <w:p w:rsidR="000C4303" w:rsidRPr="00AB2EEC" w:rsidRDefault="000C4303" w:rsidP="00E06430">
            <w:pPr>
              <w:pStyle w:val="Header"/>
              <w:rPr>
                <w:sz w:val="20"/>
              </w:rPr>
            </w:pPr>
            <w:r w:rsidRPr="00AB2EEC">
              <w:rPr>
                <w:sz w:val="20"/>
              </w:rPr>
              <w:t>To check definitions (like Altitude, Elevation, Height) in chapter 8.3 of JWGs/5, WP11 for conformance with Annex 10.</w:t>
            </w:r>
          </w:p>
        </w:tc>
        <w:tc>
          <w:tcPr>
            <w:tcW w:w="1237" w:type="dxa"/>
            <w:shd w:val="clear" w:color="auto" w:fill="FFFFFF"/>
          </w:tcPr>
          <w:p w:rsidR="000C4303" w:rsidRPr="00AB2EEC" w:rsidRDefault="000C4303" w:rsidP="00E06430">
            <w:pPr>
              <w:pStyle w:val="Header"/>
              <w:rPr>
                <w:sz w:val="20"/>
              </w:rPr>
            </w:pPr>
            <w:r w:rsidRPr="00AB2EEC">
              <w:rPr>
                <w:sz w:val="20"/>
              </w:rPr>
              <w:t>Robert Witzen</w:t>
            </w:r>
          </w:p>
        </w:tc>
        <w:tc>
          <w:tcPr>
            <w:tcW w:w="1790" w:type="dxa"/>
            <w:shd w:val="clear" w:color="auto" w:fill="FFFFFF"/>
          </w:tcPr>
          <w:p w:rsidR="000C4303" w:rsidRPr="00AB2EEC" w:rsidRDefault="000C4303" w:rsidP="00E06430">
            <w:pPr>
              <w:pStyle w:val="Header"/>
              <w:rPr>
                <w:sz w:val="20"/>
              </w:rPr>
            </w:pPr>
            <w:r w:rsidRPr="00AB2EEC">
              <w:rPr>
                <w:sz w:val="20"/>
              </w:rPr>
              <w:t>Open</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SWG09/06:</w:t>
            </w:r>
          </w:p>
        </w:tc>
        <w:tc>
          <w:tcPr>
            <w:tcW w:w="4961" w:type="dxa"/>
            <w:shd w:val="clear" w:color="auto" w:fill="FFFFFF"/>
          </w:tcPr>
          <w:p w:rsidR="000C4303" w:rsidRPr="00AB2EEC" w:rsidRDefault="000C4303" w:rsidP="00E06430">
            <w:pPr>
              <w:pStyle w:val="Header"/>
              <w:rPr>
                <w:sz w:val="20"/>
              </w:rPr>
            </w:pPr>
            <w:r w:rsidRPr="00AB2EEC">
              <w:rPr>
                <w:sz w:val="20"/>
              </w:rPr>
              <w:t>To provide specification of JTIDS foreground and background power levels, which were applied in the US for JTIDS versus DME compatibility tests.</w:t>
            </w:r>
          </w:p>
        </w:tc>
        <w:tc>
          <w:tcPr>
            <w:tcW w:w="1237" w:type="dxa"/>
            <w:shd w:val="clear" w:color="auto" w:fill="FFFFFF"/>
          </w:tcPr>
          <w:p w:rsidR="000C4303" w:rsidRPr="00AB2EEC" w:rsidRDefault="000C4303" w:rsidP="00E06430">
            <w:pPr>
              <w:pStyle w:val="Header"/>
              <w:rPr>
                <w:sz w:val="20"/>
              </w:rPr>
            </w:pPr>
            <w:r w:rsidRPr="00AB2EEC">
              <w:rPr>
                <w:sz w:val="20"/>
              </w:rPr>
              <w:t>Mike Biggs</w:t>
            </w:r>
          </w:p>
        </w:tc>
        <w:tc>
          <w:tcPr>
            <w:tcW w:w="1790" w:type="dxa"/>
            <w:shd w:val="clear" w:color="auto" w:fill="FFFFFF"/>
          </w:tcPr>
          <w:p w:rsidR="000C4303" w:rsidRPr="00AB2EEC" w:rsidRDefault="000C4303" w:rsidP="000C4303">
            <w:pPr>
              <w:pStyle w:val="Header"/>
              <w:jc w:val="left"/>
              <w:rPr>
                <w:sz w:val="20"/>
              </w:rPr>
            </w:pPr>
            <w:r w:rsidRPr="00AB2EEC">
              <w:rPr>
                <w:sz w:val="20"/>
              </w:rPr>
              <w:t>Closed by JWGs5/Flimsy 11</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SWG09/07</w:t>
            </w:r>
          </w:p>
        </w:tc>
        <w:tc>
          <w:tcPr>
            <w:tcW w:w="4961" w:type="dxa"/>
            <w:shd w:val="clear" w:color="auto" w:fill="FFFFFF"/>
          </w:tcPr>
          <w:p w:rsidR="000C4303" w:rsidRPr="00AB2EEC" w:rsidRDefault="000C4303" w:rsidP="00E06430">
            <w:pPr>
              <w:pStyle w:val="Header"/>
              <w:rPr>
                <w:sz w:val="20"/>
              </w:rPr>
            </w:pPr>
            <w:r w:rsidRPr="00AB2EEC">
              <w:rPr>
                <w:sz w:val="20"/>
              </w:rPr>
              <w:t>To check, why there is no need to do D/U-checks for the ground transponder receivers, if you consider X- and Y-</w:t>
            </w:r>
            <w:r w:rsidRPr="00AB2EEC">
              <w:rPr>
                <w:sz w:val="20"/>
              </w:rPr>
              <w:lastRenderedPageBreak/>
              <w:t>code signals with the same interrogation frequency</w:t>
            </w:r>
          </w:p>
        </w:tc>
        <w:tc>
          <w:tcPr>
            <w:tcW w:w="1237" w:type="dxa"/>
            <w:shd w:val="clear" w:color="auto" w:fill="FFFFFF"/>
          </w:tcPr>
          <w:p w:rsidR="000C4303" w:rsidRPr="00AB2EEC" w:rsidRDefault="000C4303" w:rsidP="00E06430">
            <w:pPr>
              <w:pStyle w:val="Header"/>
              <w:rPr>
                <w:sz w:val="20"/>
              </w:rPr>
            </w:pPr>
            <w:r w:rsidRPr="00AB2EEC">
              <w:rPr>
                <w:sz w:val="20"/>
              </w:rPr>
              <w:lastRenderedPageBreak/>
              <w:t>Mike Biggs</w:t>
            </w:r>
          </w:p>
        </w:tc>
        <w:tc>
          <w:tcPr>
            <w:tcW w:w="1790" w:type="dxa"/>
            <w:shd w:val="clear" w:color="auto" w:fill="FFFFFF"/>
          </w:tcPr>
          <w:p w:rsidR="000C4303" w:rsidRPr="00AB2EEC" w:rsidRDefault="000C4303" w:rsidP="00E06430">
            <w:pPr>
              <w:pStyle w:val="Header"/>
              <w:rPr>
                <w:sz w:val="20"/>
              </w:rPr>
            </w:pPr>
            <w:r w:rsidRPr="00AB2EEC">
              <w:rPr>
                <w:sz w:val="20"/>
              </w:rPr>
              <w:t>Open</w:t>
            </w:r>
          </w:p>
        </w:tc>
      </w:tr>
      <w:tr w:rsidR="000C4303" w:rsidRPr="00D721A6" w:rsidTr="00E06430">
        <w:tc>
          <w:tcPr>
            <w:tcW w:w="1192" w:type="dxa"/>
            <w:shd w:val="clear" w:color="auto" w:fill="FFFFFF"/>
          </w:tcPr>
          <w:p w:rsidR="000C4303" w:rsidRPr="00AB2EEC" w:rsidRDefault="000C4303" w:rsidP="00E06430">
            <w:pPr>
              <w:pStyle w:val="Header"/>
              <w:rPr>
                <w:sz w:val="20"/>
              </w:rPr>
            </w:pPr>
            <w:r w:rsidRPr="00AB2EEC">
              <w:rPr>
                <w:sz w:val="20"/>
              </w:rPr>
              <w:t>SWG09/08</w:t>
            </w:r>
          </w:p>
        </w:tc>
        <w:tc>
          <w:tcPr>
            <w:tcW w:w="4961" w:type="dxa"/>
            <w:shd w:val="clear" w:color="auto" w:fill="FFFFFF"/>
          </w:tcPr>
          <w:p w:rsidR="000C4303" w:rsidRPr="00AB2EEC" w:rsidRDefault="000C4303" w:rsidP="00E06430">
            <w:pPr>
              <w:pStyle w:val="Header"/>
              <w:rPr>
                <w:sz w:val="20"/>
              </w:rPr>
            </w:pPr>
            <w:r w:rsidRPr="00AB2EEC">
              <w:rPr>
                <w:sz w:val="20"/>
              </w:rPr>
              <w:t>To check, whether the UAT-Manual (ICAO Doc 9861) contains frequency assignment planning rules and reflect those in Chapter 5 of Doc 9718, Vol. II.</w:t>
            </w:r>
          </w:p>
        </w:tc>
        <w:tc>
          <w:tcPr>
            <w:tcW w:w="1237" w:type="dxa"/>
            <w:shd w:val="clear" w:color="auto" w:fill="FFFFFF"/>
          </w:tcPr>
          <w:p w:rsidR="000C4303" w:rsidRPr="00AB2EEC" w:rsidRDefault="000C4303" w:rsidP="00E06430">
            <w:pPr>
              <w:pStyle w:val="Header"/>
              <w:rPr>
                <w:sz w:val="20"/>
              </w:rPr>
            </w:pPr>
            <w:r w:rsidRPr="00AB2EEC">
              <w:rPr>
                <w:sz w:val="20"/>
              </w:rPr>
              <w:t>Robert Witzen</w:t>
            </w:r>
          </w:p>
        </w:tc>
        <w:tc>
          <w:tcPr>
            <w:tcW w:w="1790" w:type="dxa"/>
            <w:shd w:val="clear" w:color="auto" w:fill="FFFFFF"/>
          </w:tcPr>
          <w:p w:rsidR="000C4303" w:rsidRPr="00AB2EEC" w:rsidRDefault="000C4303" w:rsidP="00E06430">
            <w:pPr>
              <w:pStyle w:val="Header"/>
              <w:rPr>
                <w:sz w:val="20"/>
              </w:rPr>
            </w:pPr>
            <w:r w:rsidRPr="00AB2EEC">
              <w:rPr>
                <w:sz w:val="20"/>
              </w:rPr>
              <w:t>Open</w:t>
            </w:r>
          </w:p>
        </w:tc>
      </w:tr>
    </w:tbl>
    <w:p w:rsidR="000C4303" w:rsidRPr="00D721A6" w:rsidRDefault="000C4303" w:rsidP="000C4303"/>
    <w:p w:rsidR="000C4303" w:rsidRPr="00D721A6" w:rsidRDefault="000C4303" w:rsidP="000C4303">
      <w:pPr>
        <w:rPr>
          <w:b/>
          <w:bCs/>
        </w:rPr>
      </w:pPr>
    </w:p>
    <w:p w:rsidR="000C4303" w:rsidRPr="00D721A6" w:rsidRDefault="000C4303" w:rsidP="000C4303">
      <w:pPr>
        <w:rPr>
          <w:b/>
          <w:bCs/>
        </w:rPr>
      </w:pPr>
      <w:r w:rsidRPr="00D721A6">
        <w:rPr>
          <w:b/>
          <w:bCs/>
        </w:rPr>
        <w:t>A</w:t>
      </w:r>
      <w:r>
        <w:rPr>
          <w:b/>
          <w:bCs/>
        </w:rPr>
        <w:t xml:space="preserve">PPENDIX </w:t>
      </w:r>
      <w:r w:rsidRPr="00D721A6">
        <w:rPr>
          <w:b/>
          <w:bCs/>
        </w:rPr>
        <w:t>B: LIST OF PARTICIPANTS OF THE SWG</w:t>
      </w:r>
    </w:p>
    <w:tbl>
      <w:tblPr>
        <w:tblW w:w="93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271"/>
        <w:gridCol w:w="1847"/>
        <w:gridCol w:w="3711"/>
      </w:tblGrid>
      <w:tr w:rsidR="000C4303" w:rsidRPr="00D721A6" w:rsidTr="00B00CF0">
        <w:trPr>
          <w:jc w:val="right"/>
        </w:trPr>
        <w:tc>
          <w:tcPr>
            <w:tcW w:w="2552" w:type="dxa"/>
            <w:vAlign w:val="center"/>
          </w:tcPr>
          <w:p w:rsidR="000C4303" w:rsidRPr="00D721A6" w:rsidRDefault="000C4303" w:rsidP="00E06430">
            <w:pPr>
              <w:rPr>
                <w:b/>
                <w:sz w:val="20"/>
              </w:rPr>
            </w:pPr>
            <w:r w:rsidRPr="00D721A6">
              <w:rPr>
                <w:b/>
                <w:sz w:val="20"/>
              </w:rPr>
              <w:t>Name</w:t>
            </w:r>
          </w:p>
        </w:tc>
        <w:tc>
          <w:tcPr>
            <w:tcW w:w="1271" w:type="dxa"/>
            <w:vAlign w:val="center"/>
          </w:tcPr>
          <w:p w:rsidR="000C4303" w:rsidRPr="00D721A6" w:rsidRDefault="000C4303" w:rsidP="00E06430">
            <w:pPr>
              <w:rPr>
                <w:b/>
                <w:sz w:val="20"/>
              </w:rPr>
            </w:pPr>
            <w:r w:rsidRPr="00D721A6">
              <w:rPr>
                <w:b/>
                <w:sz w:val="20"/>
              </w:rPr>
              <w:t>Atten</w:t>
            </w:r>
            <w:r w:rsidRPr="00D721A6">
              <w:rPr>
                <w:b/>
                <w:sz w:val="20"/>
              </w:rPr>
              <w:softHyphen/>
              <w:t>dance</w:t>
            </w:r>
          </w:p>
          <w:p w:rsidR="000C4303" w:rsidRPr="00D721A6" w:rsidRDefault="000C4303" w:rsidP="00E06430">
            <w:pPr>
              <w:rPr>
                <w:b/>
                <w:sz w:val="20"/>
              </w:rPr>
            </w:pPr>
            <w:r w:rsidRPr="00D721A6">
              <w:rPr>
                <w:b/>
                <w:sz w:val="20"/>
              </w:rPr>
              <w:t>(full-time/</w:t>
            </w:r>
          </w:p>
          <w:p w:rsidR="000C4303" w:rsidRPr="00D721A6" w:rsidRDefault="000C4303" w:rsidP="00E06430">
            <w:pPr>
              <w:rPr>
                <w:b/>
                <w:sz w:val="20"/>
              </w:rPr>
            </w:pPr>
            <w:r w:rsidRPr="00D721A6">
              <w:rPr>
                <w:b/>
                <w:sz w:val="20"/>
              </w:rPr>
              <w:t>part-time)</w:t>
            </w:r>
          </w:p>
        </w:tc>
        <w:tc>
          <w:tcPr>
            <w:tcW w:w="1847" w:type="dxa"/>
            <w:vAlign w:val="center"/>
          </w:tcPr>
          <w:p w:rsidR="000C4303" w:rsidRPr="00D721A6" w:rsidRDefault="000C4303" w:rsidP="00E06430">
            <w:pPr>
              <w:rPr>
                <w:b/>
                <w:sz w:val="20"/>
              </w:rPr>
            </w:pPr>
            <w:r w:rsidRPr="00D721A6">
              <w:rPr>
                <w:b/>
                <w:sz w:val="20"/>
              </w:rPr>
              <w:t xml:space="preserve">Organisation </w:t>
            </w:r>
          </w:p>
        </w:tc>
        <w:tc>
          <w:tcPr>
            <w:tcW w:w="3711" w:type="dxa"/>
            <w:vAlign w:val="center"/>
          </w:tcPr>
          <w:p w:rsidR="000C4303" w:rsidRPr="00D721A6" w:rsidRDefault="000C4303" w:rsidP="00E06430">
            <w:pPr>
              <w:rPr>
                <w:b/>
                <w:sz w:val="20"/>
              </w:rPr>
            </w:pPr>
            <w:r w:rsidRPr="00D721A6">
              <w:rPr>
                <w:b/>
                <w:sz w:val="20"/>
              </w:rPr>
              <w:t>Email</w:t>
            </w:r>
          </w:p>
        </w:tc>
      </w:tr>
      <w:tr w:rsidR="000C4303" w:rsidRPr="00D721A6" w:rsidTr="00B00CF0">
        <w:trPr>
          <w:trHeight w:val="483"/>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Alessandro Capretti</w:t>
            </w:r>
          </w:p>
        </w:tc>
        <w:tc>
          <w:tcPr>
            <w:tcW w:w="1271" w:type="dxa"/>
            <w:shd w:val="clear" w:color="auto" w:fill="FFFFFF" w:themeFill="background1"/>
            <w:vAlign w:val="center"/>
          </w:tcPr>
          <w:p w:rsidR="000C4303" w:rsidRPr="001519A5" w:rsidRDefault="000C4303" w:rsidP="00E06430">
            <w:pPr>
              <w:rPr>
                <w:sz w:val="20"/>
              </w:rPr>
            </w:pPr>
            <w:r w:rsidRPr="001519A5">
              <w:rPr>
                <w:sz w:val="20"/>
              </w:rPr>
              <w:t>P</w:t>
            </w:r>
          </w:p>
        </w:tc>
        <w:tc>
          <w:tcPr>
            <w:tcW w:w="1847" w:type="dxa"/>
            <w:shd w:val="clear" w:color="auto" w:fill="FFFFFF" w:themeFill="background1"/>
            <w:vAlign w:val="center"/>
          </w:tcPr>
          <w:p w:rsidR="000C4303" w:rsidRPr="001519A5" w:rsidRDefault="000C4303" w:rsidP="00E06430">
            <w:pPr>
              <w:rPr>
                <w:sz w:val="20"/>
              </w:rPr>
            </w:pPr>
            <w:r w:rsidRPr="001519A5">
              <w:rPr>
                <w:sz w:val="20"/>
              </w:rPr>
              <w:t>ICAO</w:t>
            </w:r>
          </w:p>
        </w:tc>
        <w:tc>
          <w:tcPr>
            <w:tcW w:w="3711" w:type="dxa"/>
            <w:shd w:val="clear" w:color="auto" w:fill="FFFFFF" w:themeFill="background1"/>
            <w:vAlign w:val="center"/>
          </w:tcPr>
          <w:p w:rsidR="000C4303" w:rsidRPr="001519A5" w:rsidRDefault="000C4303" w:rsidP="00E06430">
            <w:pPr>
              <w:rPr>
                <w:sz w:val="20"/>
              </w:rPr>
            </w:pPr>
            <w:r w:rsidRPr="001519A5">
              <w:rPr>
                <w:sz w:val="20"/>
              </w:rPr>
              <w:t>ACapretti@icao.int</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0C4303">
            <w:pPr>
              <w:jc w:val="left"/>
              <w:rPr>
                <w:sz w:val="20"/>
              </w:rPr>
            </w:pPr>
            <w:r w:rsidRPr="001519A5">
              <w:rPr>
                <w:bCs/>
                <w:sz w:val="20"/>
              </w:rPr>
              <w:t>Bhupendra Kumar Dhamu</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AAI, India</w:t>
            </w:r>
          </w:p>
        </w:tc>
        <w:tc>
          <w:tcPr>
            <w:tcW w:w="3711" w:type="dxa"/>
            <w:shd w:val="clear" w:color="auto" w:fill="FFFFFF" w:themeFill="background1"/>
            <w:vAlign w:val="center"/>
          </w:tcPr>
          <w:p w:rsidR="000C4303" w:rsidRPr="001519A5" w:rsidRDefault="000C4303" w:rsidP="00E06430">
            <w:pPr>
              <w:rPr>
                <w:sz w:val="20"/>
              </w:rPr>
            </w:pPr>
            <w:r w:rsidRPr="001519A5">
              <w:rPr>
                <w:sz w:val="20"/>
              </w:rPr>
              <w:t>bkdhamu@aai.aero</w:t>
            </w:r>
          </w:p>
        </w:tc>
      </w:tr>
      <w:tr w:rsidR="000C4303" w:rsidRPr="00D721A6" w:rsidTr="00B00CF0">
        <w:trPr>
          <w:trHeight w:val="427"/>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Felix Butsch</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DFS, Germany</w:t>
            </w:r>
          </w:p>
        </w:tc>
        <w:tc>
          <w:tcPr>
            <w:tcW w:w="3711" w:type="dxa"/>
            <w:shd w:val="clear" w:color="auto" w:fill="FFFFFF" w:themeFill="background1"/>
            <w:vAlign w:val="center"/>
          </w:tcPr>
          <w:p w:rsidR="000C4303" w:rsidRPr="001519A5" w:rsidRDefault="00456398" w:rsidP="00E06430">
            <w:pPr>
              <w:rPr>
                <w:sz w:val="20"/>
              </w:rPr>
            </w:pPr>
            <w:hyperlink r:id="rId10" w:history="1">
              <w:r w:rsidR="000C4303" w:rsidRPr="001519A5">
                <w:rPr>
                  <w:sz w:val="20"/>
                </w:rPr>
                <w:t>Felix.Butsch@dfs.de</w:t>
              </w:r>
            </w:hyperlink>
            <w:r w:rsidR="000C4303" w:rsidRPr="001519A5">
              <w:rPr>
                <w:sz w:val="20"/>
              </w:rPr>
              <w:t xml:space="preserve"> </w:t>
            </w:r>
          </w:p>
        </w:tc>
      </w:tr>
      <w:tr w:rsidR="000C4303" w:rsidRPr="00D721A6" w:rsidTr="00B00CF0">
        <w:trPr>
          <w:trHeight w:val="502"/>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Gerhard Berz</w:t>
            </w:r>
          </w:p>
        </w:tc>
        <w:tc>
          <w:tcPr>
            <w:tcW w:w="1271" w:type="dxa"/>
            <w:shd w:val="clear" w:color="auto" w:fill="FFFFFF" w:themeFill="background1"/>
            <w:vAlign w:val="center"/>
          </w:tcPr>
          <w:p w:rsidR="000C4303" w:rsidRPr="001519A5" w:rsidRDefault="000C4303" w:rsidP="00E06430">
            <w:pPr>
              <w:rPr>
                <w:sz w:val="20"/>
              </w:rPr>
            </w:pPr>
            <w:r w:rsidRPr="001519A5">
              <w:rPr>
                <w:sz w:val="20"/>
              </w:rPr>
              <w:t>P</w:t>
            </w:r>
          </w:p>
        </w:tc>
        <w:tc>
          <w:tcPr>
            <w:tcW w:w="1847" w:type="dxa"/>
            <w:shd w:val="clear" w:color="auto" w:fill="FFFFFF" w:themeFill="background1"/>
            <w:vAlign w:val="center"/>
          </w:tcPr>
          <w:p w:rsidR="000C4303" w:rsidRPr="001519A5" w:rsidRDefault="000C4303" w:rsidP="00E06430">
            <w:pPr>
              <w:rPr>
                <w:sz w:val="20"/>
              </w:rPr>
            </w:pPr>
            <w:r w:rsidRPr="001519A5">
              <w:rPr>
                <w:sz w:val="20"/>
              </w:rPr>
              <w:t>Eurocontrol</w:t>
            </w:r>
          </w:p>
        </w:tc>
        <w:tc>
          <w:tcPr>
            <w:tcW w:w="3711" w:type="dxa"/>
            <w:shd w:val="clear" w:color="auto" w:fill="FFFFFF" w:themeFill="background1"/>
            <w:vAlign w:val="center"/>
          </w:tcPr>
          <w:p w:rsidR="000C4303" w:rsidRPr="001519A5" w:rsidRDefault="000C4303" w:rsidP="00E06430">
            <w:pPr>
              <w:rPr>
                <w:sz w:val="20"/>
              </w:rPr>
            </w:pPr>
            <w:r w:rsidRPr="001519A5">
              <w:rPr>
                <w:sz w:val="20"/>
              </w:rPr>
              <w:t>gerhard.berz@eurocontrol.int</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Jeff Bollard</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Airservices Australia</w:t>
            </w:r>
          </w:p>
        </w:tc>
        <w:tc>
          <w:tcPr>
            <w:tcW w:w="3711" w:type="dxa"/>
            <w:shd w:val="clear" w:color="auto" w:fill="FFFFFF" w:themeFill="background1"/>
            <w:vAlign w:val="center"/>
          </w:tcPr>
          <w:p w:rsidR="000C4303" w:rsidRPr="001519A5" w:rsidRDefault="000C4303" w:rsidP="00E06430">
            <w:pPr>
              <w:rPr>
                <w:sz w:val="20"/>
              </w:rPr>
            </w:pPr>
            <w:r w:rsidRPr="001519A5">
              <w:rPr>
                <w:sz w:val="20"/>
              </w:rPr>
              <w:t>jeffrey.bollard@airservicesaustralia.com</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John Dys</w:t>
            </w:r>
            <w:r>
              <w:rPr>
                <w:sz w:val="20"/>
              </w:rPr>
              <w:t>o</w:t>
            </w:r>
            <w:r w:rsidRPr="001519A5">
              <w:rPr>
                <w:sz w:val="20"/>
              </w:rPr>
              <w:t>n</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NATS, UK</w:t>
            </w:r>
          </w:p>
        </w:tc>
        <w:tc>
          <w:tcPr>
            <w:tcW w:w="3711" w:type="dxa"/>
            <w:shd w:val="clear" w:color="auto" w:fill="FFFFFF" w:themeFill="background1"/>
            <w:vAlign w:val="center"/>
          </w:tcPr>
          <w:p w:rsidR="000C4303" w:rsidRPr="001519A5" w:rsidRDefault="000C4303" w:rsidP="00E06430">
            <w:pPr>
              <w:rPr>
                <w:sz w:val="20"/>
              </w:rPr>
            </w:pPr>
            <w:r w:rsidRPr="001519A5">
              <w:rPr>
                <w:sz w:val="20"/>
              </w:rPr>
              <w:t>John.dyson@nats.co.uk</w:t>
            </w:r>
          </w:p>
        </w:tc>
      </w:tr>
      <w:tr w:rsidR="000C4303" w:rsidRPr="00D721A6" w:rsidTr="00B00CF0">
        <w:trPr>
          <w:trHeight w:val="502"/>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Jules Hermens</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Netherlands Civil Aviation Authority</w:t>
            </w:r>
          </w:p>
        </w:tc>
        <w:tc>
          <w:tcPr>
            <w:tcW w:w="3711" w:type="dxa"/>
            <w:shd w:val="clear" w:color="auto" w:fill="FFFFFF" w:themeFill="background1"/>
            <w:vAlign w:val="center"/>
          </w:tcPr>
          <w:p w:rsidR="000C4303" w:rsidRPr="001519A5" w:rsidRDefault="000C4303" w:rsidP="00E06430">
            <w:pPr>
              <w:rPr>
                <w:sz w:val="20"/>
              </w:rPr>
            </w:pPr>
            <w:r w:rsidRPr="001519A5">
              <w:rPr>
                <w:sz w:val="20"/>
              </w:rPr>
              <w:t>jules.hermens@ilent.nl</w:t>
            </w:r>
          </w:p>
          <w:p w:rsidR="000C4303" w:rsidRPr="001519A5" w:rsidRDefault="000C4303" w:rsidP="00E06430">
            <w:pPr>
              <w:rPr>
                <w:sz w:val="20"/>
              </w:rPr>
            </w:pP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Li Xiao</w:t>
            </w:r>
          </w:p>
        </w:tc>
        <w:tc>
          <w:tcPr>
            <w:tcW w:w="1271" w:type="dxa"/>
            <w:shd w:val="clear" w:color="auto" w:fill="FFFFFF" w:themeFill="background1"/>
            <w:vAlign w:val="center"/>
          </w:tcPr>
          <w:p w:rsidR="000C4303" w:rsidRPr="001519A5" w:rsidRDefault="000C4303" w:rsidP="00E06430">
            <w:pPr>
              <w:rPr>
                <w:sz w:val="20"/>
              </w:rPr>
            </w:pPr>
            <w:r w:rsidRPr="001519A5">
              <w:rPr>
                <w:sz w:val="20"/>
              </w:rPr>
              <w:t>P</w:t>
            </w:r>
          </w:p>
        </w:tc>
        <w:tc>
          <w:tcPr>
            <w:tcW w:w="1847" w:type="dxa"/>
            <w:shd w:val="clear" w:color="auto" w:fill="FFFFFF" w:themeFill="background1"/>
            <w:vAlign w:val="center"/>
          </w:tcPr>
          <w:p w:rsidR="000C4303" w:rsidRPr="001519A5" w:rsidRDefault="000C4303" w:rsidP="00E06430">
            <w:pPr>
              <w:rPr>
                <w:sz w:val="20"/>
              </w:rPr>
            </w:pPr>
            <w:r w:rsidRPr="001519A5">
              <w:rPr>
                <w:sz w:val="20"/>
              </w:rPr>
              <w:t>China</w:t>
            </w:r>
          </w:p>
        </w:tc>
        <w:tc>
          <w:tcPr>
            <w:tcW w:w="3711" w:type="dxa"/>
            <w:shd w:val="clear" w:color="auto" w:fill="FFFFFF" w:themeFill="background1"/>
            <w:vAlign w:val="center"/>
          </w:tcPr>
          <w:p w:rsidR="000C4303" w:rsidRPr="001519A5" w:rsidRDefault="000C4303" w:rsidP="00E06430">
            <w:pPr>
              <w:rPr>
                <w:sz w:val="20"/>
              </w:rPr>
            </w:pPr>
            <w:r w:rsidRPr="001519A5">
              <w:rPr>
                <w:sz w:val="20"/>
              </w:rPr>
              <w:t>lixiaojt@126.com</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Li ZIJL</w:t>
            </w:r>
          </w:p>
        </w:tc>
        <w:tc>
          <w:tcPr>
            <w:tcW w:w="1271" w:type="dxa"/>
            <w:shd w:val="clear" w:color="auto" w:fill="FFFFFF" w:themeFill="background1"/>
            <w:vAlign w:val="center"/>
          </w:tcPr>
          <w:p w:rsidR="000C4303" w:rsidRPr="001519A5" w:rsidDel="001A7D13" w:rsidRDefault="000C4303" w:rsidP="00E06430">
            <w:pPr>
              <w:rPr>
                <w:sz w:val="20"/>
              </w:rPr>
            </w:pPr>
            <w:r w:rsidRPr="001519A5">
              <w:rPr>
                <w:sz w:val="20"/>
              </w:rPr>
              <w:t>P</w:t>
            </w:r>
          </w:p>
        </w:tc>
        <w:tc>
          <w:tcPr>
            <w:tcW w:w="1847" w:type="dxa"/>
            <w:shd w:val="clear" w:color="auto" w:fill="FFFFFF" w:themeFill="background1"/>
            <w:vAlign w:val="center"/>
          </w:tcPr>
          <w:p w:rsidR="000C4303" w:rsidRPr="001519A5" w:rsidRDefault="000C4303" w:rsidP="00E06430">
            <w:pPr>
              <w:rPr>
                <w:sz w:val="20"/>
              </w:rPr>
            </w:pPr>
            <w:r w:rsidRPr="001519A5">
              <w:rPr>
                <w:sz w:val="20"/>
              </w:rPr>
              <w:t>ATMB, China</w:t>
            </w:r>
          </w:p>
        </w:tc>
        <w:tc>
          <w:tcPr>
            <w:tcW w:w="3711" w:type="dxa"/>
            <w:shd w:val="clear" w:color="auto" w:fill="FFFFFF" w:themeFill="background1"/>
            <w:vAlign w:val="center"/>
          </w:tcPr>
          <w:p w:rsidR="000C4303" w:rsidRPr="001519A5" w:rsidRDefault="000C4303" w:rsidP="00E06430">
            <w:pPr>
              <w:rPr>
                <w:sz w:val="20"/>
              </w:rPr>
            </w:pPr>
            <w:r w:rsidRPr="001519A5">
              <w:rPr>
                <w:sz w:val="20"/>
              </w:rPr>
              <w:t>liziji@atmb.net.cn</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Mike Biggs</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US FAA</w:t>
            </w:r>
          </w:p>
        </w:tc>
        <w:tc>
          <w:tcPr>
            <w:tcW w:w="3711" w:type="dxa"/>
            <w:shd w:val="clear" w:color="auto" w:fill="FFFFFF" w:themeFill="background1"/>
            <w:vAlign w:val="center"/>
          </w:tcPr>
          <w:p w:rsidR="000C4303" w:rsidRPr="001519A5" w:rsidRDefault="000C4303" w:rsidP="00E06430">
            <w:pPr>
              <w:rPr>
                <w:sz w:val="20"/>
              </w:rPr>
            </w:pPr>
            <w:r w:rsidRPr="001519A5">
              <w:rPr>
                <w:sz w:val="20"/>
              </w:rPr>
              <w:t>michael.biggs@faa.gov</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Pierre Ladoux</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DSNA-DTI, France</w:t>
            </w:r>
          </w:p>
        </w:tc>
        <w:tc>
          <w:tcPr>
            <w:tcW w:w="3711" w:type="dxa"/>
            <w:shd w:val="clear" w:color="auto" w:fill="FFFFFF" w:themeFill="background1"/>
            <w:vAlign w:val="center"/>
          </w:tcPr>
          <w:p w:rsidR="000C4303" w:rsidRPr="001519A5" w:rsidRDefault="000C4303" w:rsidP="00E06430">
            <w:pPr>
              <w:rPr>
                <w:sz w:val="20"/>
              </w:rPr>
            </w:pPr>
            <w:r w:rsidRPr="001519A5">
              <w:rPr>
                <w:sz w:val="20"/>
              </w:rPr>
              <w:t>pierre.ladoux@aviation-civile.gouv.fr</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Robert Witzen</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ICAO</w:t>
            </w:r>
          </w:p>
        </w:tc>
        <w:tc>
          <w:tcPr>
            <w:tcW w:w="3711" w:type="dxa"/>
            <w:shd w:val="clear" w:color="auto" w:fill="FFFFFF" w:themeFill="background1"/>
            <w:vAlign w:val="center"/>
          </w:tcPr>
          <w:p w:rsidR="000C4303" w:rsidRPr="001519A5" w:rsidRDefault="000C4303" w:rsidP="00E06430">
            <w:pPr>
              <w:rPr>
                <w:sz w:val="20"/>
              </w:rPr>
            </w:pPr>
            <w:r w:rsidRPr="001519A5">
              <w:rPr>
                <w:sz w:val="20"/>
              </w:rPr>
              <w:t>r.witzen@videotron.ca</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Sing KULDIP</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AAI, India</w:t>
            </w:r>
          </w:p>
        </w:tc>
        <w:tc>
          <w:tcPr>
            <w:tcW w:w="3711" w:type="dxa"/>
            <w:shd w:val="clear" w:color="auto" w:fill="FFFFFF" w:themeFill="background1"/>
            <w:vAlign w:val="center"/>
          </w:tcPr>
          <w:p w:rsidR="000C4303" w:rsidRPr="001519A5" w:rsidRDefault="000C4303" w:rsidP="00E06430">
            <w:pPr>
              <w:rPr>
                <w:sz w:val="20"/>
              </w:rPr>
            </w:pPr>
            <w:r w:rsidRPr="001519A5">
              <w:rPr>
                <w:sz w:val="20"/>
              </w:rPr>
              <w:t>kuldipsingh@aai.aero</w:t>
            </w:r>
          </w:p>
        </w:tc>
      </w:tr>
      <w:tr w:rsidR="000C4303" w:rsidRPr="00D721A6" w:rsidTr="00B00CF0">
        <w:trPr>
          <w:trHeight w:val="615"/>
          <w:jc w:val="right"/>
        </w:trPr>
        <w:tc>
          <w:tcPr>
            <w:tcW w:w="2552" w:type="dxa"/>
            <w:vAlign w:val="center"/>
          </w:tcPr>
          <w:p w:rsidR="000C4303" w:rsidRPr="001519A5" w:rsidRDefault="000C4303" w:rsidP="00E06430">
            <w:pPr>
              <w:rPr>
                <w:sz w:val="20"/>
              </w:rPr>
            </w:pPr>
            <w:r w:rsidRPr="001519A5">
              <w:rPr>
                <w:sz w:val="20"/>
              </w:rPr>
              <w:t>Stefan M</w:t>
            </w:r>
            <w:r>
              <w:rPr>
                <w:sz w:val="20"/>
              </w:rPr>
              <w:t>ÜLLER</w:t>
            </w:r>
          </w:p>
        </w:tc>
        <w:tc>
          <w:tcPr>
            <w:tcW w:w="1271" w:type="dxa"/>
            <w:vAlign w:val="center"/>
          </w:tcPr>
          <w:p w:rsidR="000C4303" w:rsidRPr="001519A5" w:rsidRDefault="000C4303" w:rsidP="00E06430">
            <w:pPr>
              <w:rPr>
                <w:sz w:val="20"/>
              </w:rPr>
            </w:pPr>
            <w:r w:rsidRPr="001519A5">
              <w:rPr>
                <w:sz w:val="20"/>
              </w:rPr>
              <w:t>P</w:t>
            </w:r>
          </w:p>
        </w:tc>
        <w:tc>
          <w:tcPr>
            <w:tcW w:w="1847" w:type="dxa"/>
            <w:vAlign w:val="center"/>
          </w:tcPr>
          <w:p w:rsidR="000C4303" w:rsidRPr="001519A5" w:rsidRDefault="000C4303" w:rsidP="00E06430">
            <w:pPr>
              <w:rPr>
                <w:sz w:val="20"/>
              </w:rPr>
            </w:pPr>
            <w:r w:rsidRPr="001519A5">
              <w:rPr>
                <w:sz w:val="20"/>
              </w:rPr>
              <w:t>DFS, Germany</w:t>
            </w:r>
          </w:p>
        </w:tc>
        <w:tc>
          <w:tcPr>
            <w:tcW w:w="3711" w:type="dxa"/>
            <w:vAlign w:val="center"/>
          </w:tcPr>
          <w:p w:rsidR="000C4303" w:rsidRPr="001519A5" w:rsidRDefault="000C4303" w:rsidP="00E06430">
            <w:pPr>
              <w:rPr>
                <w:sz w:val="20"/>
              </w:rPr>
            </w:pPr>
            <w:r w:rsidRPr="001519A5">
              <w:rPr>
                <w:sz w:val="20"/>
              </w:rPr>
              <w:t xml:space="preserve">Stefan.Mueller@DFS.de </w:t>
            </w:r>
          </w:p>
        </w:tc>
      </w:tr>
      <w:tr w:rsidR="000C4303" w:rsidRPr="00D721A6" w:rsidTr="00B00CF0">
        <w:trPr>
          <w:trHeight w:val="615"/>
          <w:jc w:val="right"/>
        </w:trPr>
        <w:tc>
          <w:tcPr>
            <w:tcW w:w="2552" w:type="dxa"/>
            <w:shd w:val="clear" w:color="auto" w:fill="FFFFFF" w:themeFill="background1"/>
            <w:vAlign w:val="center"/>
          </w:tcPr>
          <w:p w:rsidR="000C4303" w:rsidRPr="001519A5" w:rsidRDefault="000C4303" w:rsidP="00E06430">
            <w:pPr>
              <w:rPr>
                <w:sz w:val="20"/>
              </w:rPr>
            </w:pPr>
            <w:r w:rsidRPr="001519A5">
              <w:rPr>
                <w:sz w:val="20"/>
              </w:rPr>
              <w:t>Toru ISHITA</w:t>
            </w:r>
          </w:p>
        </w:tc>
        <w:tc>
          <w:tcPr>
            <w:tcW w:w="1271" w:type="dxa"/>
            <w:shd w:val="clear" w:color="auto" w:fill="FFFFFF" w:themeFill="background1"/>
            <w:vAlign w:val="center"/>
          </w:tcPr>
          <w:p w:rsidR="000C4303" w:rsidRPr="001519A5" w:rsidRDefault="000C4303" w:rsidP="00E06430">
            <w:pPr>
              <w:rPr>
                <w:sz w:val="20"/>
              </w:rPr>
            </w:pPr>
            <w:r w:rsidRPr="001519A5">
              <w:rPr>
                <w:sz w:val="20"/>
              </w:rPr>
              <w:t>F</w:t>
            </w:r>
          </w:p>
        </w:tc>
        <w:tc>
          <w:tcPr>
            <w:tcW w:w="1847" w:type="dxa"/>
            <w:shd w:val="clear" w:color="auto" w:fill="FFFFFF" w:themeFill="background1"/>
            <w:vAlign w:val="center"/>
          </w:tcPr>
          <w:p w:rsidR="000C4303" w:rsidRPr="001519A5" w:rsidRDefault="000C4303" w:rsidP="00E06430">
            <w:pPr>
              <w:rPr>
                <w:sz w:val="20"/>
              </w:rPr>
            </w:pPr>
            <w:r w:rsidRPr="001519A5">
              <w:rPr>
                <w:sz w:val="20"/>
              </w:rPr>
              <w:t>JRANSA, Japan</w:t>
            </w:r>
          </w:p>
        </w:tc>
        <w:tc>
          <w:tcPr>
            <w:tcW w:w="3711" w:type="dxa"/>
            <w:shd w:val="clear" w:color="auto" w:fill="FFFFFF" w:themeFill="background1"/>
            <w:vAlign w:val="center"/>
          </w:tcPr>
          <w:p w:rsidR="000C4303" w:rsidRPr="001519A5" w:rsidRDefault="000C4303" w:rsidP="00E06430">
            <w:pPr>
              <w:rPr>
                <w:sz w:val="20"/>
              </w:rPr>
            </w:pPr>
            <w:r w:rsidRPr="001519A5">
              <w:rPr>
                <w:sz w:val="20"/>
              </w:rPr>
              <w:t>ishita-t195@JRANSA.or.jp</w:t>
            </w:r>
          </w:p>
        </w:tc>
      </w:tr>
    </w:tbl>
    <w:p w:rsidR="000C4303" w:rsidRPr="00D721A6" w:rsidRDefault="000C4303" w:rsidP="000C4303">
      <w:pPr>
        <w:rPr>
          <w:b/>
          <w:bCs/>
        </w:rPr>
      </w:pPr>
    </w:p>
    <w:p w:rsidR="000C4303" w:rsidRPr="00D46138" w:rsidRDefault="000C4303" w:rsidP="003259B2">
      <w:pPr>
        <w:rPr>
          <w:sz w:val="24"/>
          <w:szCs w:val="24"/>
        </w:rPr>
      </w:pPr>
      <w:r w:rsidRPr="00D721A6">
        <w:rPr>
          <w:bCs/>
        </w:rPr>
        <w:t>Members of the GWG and of the CNTWG, who participated in joint meeting with the SWG, are mentioned in the participant lists of the meeting reports of these groups.</w:t>
      </w:r>
    </w:p>
    <w:sectPr w:rsidR="000C4303" w:rsidRPr="00D46138" w:rsidSect="00E55495">
      <w:headerReference w:type="even" r:id="rId11"/>
      <w:headerReference w:type="default" r:id="rId12"/>
      <w:headerReference w:type="first" r:id="rId13"/>
      <w:footerReference w:type="first" r:id="rId14"/>
      <w:pgSz w:w="12242" w:h="15842" w:code="1"/>
      <w:pgMar w:top="1627" w:right="1469"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6398" w:rsidRDefault="00456398">
      <w:r>
        <w:separator/>
      </w:r>
    </w:p>
  </w:endnote>
  <w:endnote w:type="continuationSeparator" w:id="0">
    <w:p w:rsidR="00456398" w:rsidRDefault="0045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430" w:rsidRDefault="00E0643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F55DE">
      <w:rPr>
        <w:noProof/>
        <w:sz w:val="18"/>
        <w:lang w:val="fr-FR"/>
      </w:rPr>
      <w:t>25</w:t>
    </w:r>
    <w:r>
      <w:rPr>
        <w:sz w:val="18"/>
        <w:lang w:val="en-US"/>
      </w:rPr>
      <w:fldChar w:fldCharType="end"/>
    </w:r>
    <w:r>
      <w:rPr>
        <w:sz w:val="18"/>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6398" w:rsidRDefault="00456398">
      <w:r>
        <w:separator/>
      </w:r>
    </w:p>
  </w:footnote>
  <w:footnote w:type="continuationSeparator" w:id="0">
    <w:p w:rsidR="00456398" w:rsidRDefault="0045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430" w:rsidRDefault="00E06430" w:rsidP="00B553CA">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F55DE">
      <w:rPr>
        <w:rStyle w:val="PageNumber"/>
        <w:noProof/>
      </w:rPr>
      <w:t>20</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430" w:rsidRDefault="00E06430"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F55DE">
      <w:rPr>
        <w:rStyle w:val="PageNumber"/>
        <w:noProof/>
      </w:rPr>
      <w:t>21</w:t>
    </w:r>
    <w:r>
      <w:rPr>
        <w:rStyle w:val="PageNumber"/>
      </w:rPr>
      <w:fldChar w:fldCharType="end"/>
    </w:r>
    <w:r>
      <w:rPr>
        <w:rStyle w:val="PageNumber"/>
      </w:rPr>
      <w:t xml:space="preserve"> -</w:t>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06430"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rsidR="00E06430" w:rsidRDefault="00E06430">
          <w:pPr>
            <w:autoSpaceDE w:val="0"/>
            <w:autoSpaceDN w:val="0"/>
            <w:adjustRightInd w:val="0"/>
            <w:rPr>
              <w:szCs w:val="24"/>
            </w:rPr>
          </w:pPr>
          <w:bookmarkStart w:id="2" w:name="logo"/>
          <w:r>
            <w:rPr>
              <w:noProof/>
              <w:lang w:eastAsia="zh-CN"/>
            </w:rPr>
            <w:drawing>
              <wp:inline distT="0" distB="0" distL="0" distR="0" wp14:anchorId="7A9785DF" wp14:editId="21F7B27A">
                <wp:extent cx="1085215" cy="873760"/>
                <wp:effectExtent l="0" t="0" r="0" b="0"/>
                <wp:docPr id="4"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73760"/>
                        </a:xfrm>
                        <a:prstGeom prst="rect">
                          <a:avLst/>
                        </a:prstGeom>
                        <a:noFill/>
                        <a:ln>
                          <a:noFill/>
                        </a:ln>
                      </pic:spPr>
                    </pic:pic>
                  </a:graphicData>
                </a:graphic>
              </wp:inline>
            </w:drawing>
          </w:r>
          <w:bookmarkEnd w:id="2"/>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rsidR="00E06430" w:rsidRDefault="00E06430">
          <w:pPr>
            <w:rPr>
              <w:rFonts w:ascii="Arial" w:hAnsi="Arial" w:cs="Arial"/>
              <w:szCs w:val="22"/>
            </w:rPr>
          </w:pPr>
          <w:r>
            <w:rPr>
              <w:noProof/>
              <w:szCs w:val="24"/>
              <w:lang w:eastAsia="zh-CN"/>
            </w:rPr>
            <mc:AlternateContent>
              <mc:Choice Requires="wps">
                <w:drawing>
                  <wp:anchor distT="0" distB="0" distL="114300" distR="114300" simplePos="0" relativeHeight="251657728" behindDoc="0" locked="0" layoutInCell="1" allowOverlap="1" wp14:anchorId="3686AC8A" wp14:editId="67960924">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A6F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E06430" w:rsidRDefault="00E06430">
          <w:pPr>
            <w:rPr>
              <w:rFonts w:ascii="Arial" w:hAnsi="Arial" w:cs="Arial"/>
              <w:szCs w:val="22"/>
            </w:rPr>
          </w:pPr>
          <w:r>
            <w:rPr>
              <w:rFonts w:ascii="Arial" w:hAnsi="Arial" w:cs="Arial"/>
              <w:szCs w:val="22"/>
            </w:rPr>
            <w:t>International Civil Aviation Organization</w:t>
          </w:r>
        </w:p>
        <w:p w:rsidR="00E06430" w:rsidRDefault="00E06430">
          <w:pPr>
            <w:rPr>
              <w:rFonts w:ascii="Arial" w:hAnsi="Arial" w:cs="Arial"/>
              <w:szCs w:val="22"/>
            </w:rPr>
          </w:pPr>
        </w:p>
        <w:p w:rsidR="00E06430" w:rsidRDefault="00E06430">
          <w:pPr>
            <w:autoSpaceDE w:val="0"/>
            <w:autoSpaceDN w:val="0"/>
            <w:adjustRightInd w:val="0"/>
            <w:rPr>
              <w:rFonts w:ascii="Arial" w:hAnsi="Arial" w:cs="Arial"/>
              <w:b/>
              <w:sz w:val="24"/>
              <w:szCs w:val="22"/>
            </w:rPr>
          </w:pPr>
          <w:r>
            <w:rPr>
              <w:rFonts w:ascii="Arial" w:hAnsi="Arial" w:cs="Arial"/>
              <w:b/>
              <w:sz w:val="24"/>
              <w:szCs w:val="22"/>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2"/>
          </w:tblGrid>
          <w:tr w:rsidR="00E06430">
            <w:trPr>
              <w:jc w:val="right"/>
            </w:trPr>
            <w:tc>
              <w:tcPr>
                <w:tcW w:w="0" w:type="auto"/>
                <w:tcBorders>
                  <w:top w:val="single" w:sz="4" w:space="0" w:color="FFFFFF"/>
                  <w:left w:val="single" w:sz="4" w:space="0" w:color="FFFFFF"/>
                  <w:bottom w:val="single" w:sz="4" w:space="0" w:color="FFFFFF"/>
                  <w:right w:val="single" w:sz="4" w:space="0" w:color="FFFFFF"/>
                </w:tcBorders>
                <w:hideMark/>
              </w:tcPr>
              <w:p w:rsidR="00E06430" w:rsidRPr="000F55DE" w:rsidRDefault="00E06430" w:rsidP="008826F2">
                <w:pPr>
                  <w:framePr w:hSpace="180" w:wrap="around" w:vAnchor="text" w:hAnchor="text" w:y="1"/>
                  <w:suppressOverlap/>
                  <w:jc w:val="left"/>
                  <w:rPr>
                    <w:szCs w:val="22"/>
                  </w:rPr>
                </w:pPr>
                <w:bookmarkStart w:id="3" w:name="document_no"/>
                <w:r w:rsidRPr="000F55DE">
                  <w:rPr>
                    <w:szCs w:val="22"/>
                  </w:rPr>
                  <w:t>FSMP-WG/10,  IP/</w:t>
                </w:r>
                <w:r w:rsidR="000F55DE" w:rsidRPr="000F55DE">
                  <w:rPr>
                    <w:szCs w:val="22"/>
                  </w:rPr>
                  <w:t>01</w:t>
                </w:r>
                <w:bookmarkEnd w:id="3"/>
              </w:p>
              <w:p w:rsidR="00E06430" w:rsidRPr="000F55DE" w:rsidRDefault="000F55DE" w:rsidP="008826F2">
                <w:pPr>
                  <w:framePr w:hSpace="180" w:wrap="around" w:vAnchor="text" w:hAnchor="text" w:y="1"/>
                  <w:autoSpaceDE w:val="0"/>
                  <w:autoSpaceDN w:val="0"/>
                  <w:adjustRightInd w:val="0"/>
                  <w:suppressOverlap/>
                  <w:jc w:val="left"/>
                  <w:rPr>
                    <w:szCs w:val="24"/>
                  </w:rPr>
                </w:pPr>
                <w:bookmarkStart w:id="4" w:name="related_to"/>
                <w:bookmarkStart w:id="5" w:name="revision_date"/>
                <w:bookmarkStart w:id="6" w:name="revision_no"/>
                <w:bookmarkStart w:id="7" w:name="addendum_corrigendum_appendix"/>
                <w:bookmarkStart w:id="8" w:name="restricted"/>
                <w:bookmarkStart w:id="9" w:name="info_paper"/>
                <w:bookmarkEnd w:id="4"/>
                <w:bookmarkEnd w:id="5"/>
                <w:bookmarkEnd w:id="6"/>
                <w:bookmarkEnd w:id="7"/>
                <w:bookmarkEnd w:id="8"/>
                <w:bookmarkEnd w:id="9"/>
                <w:r w:rsidRPr="000F55DE">
                  <w:rPr>
                    <w:szCs w:val="24"/>
                  </w:rPr>
                  <w:t>2020-03-02</w:t>
                </w:r>
              </w:p>
            </w:tc>
          </w:tr>
          <w:tr w:rsidR="00E06430">
            <w:trPr>
              <w:jc w:val="right"/>
            </w:trPr>
            <w:tc>
              <w:tcPr>
                <w:tcW w:w="0" w:type="auto"/>
                <w:tcBorders>
                  <w:top w:val="single" w:sz="4" w:space="0" w:color="FFFFFF"/>
                  <w:left w:val="single" w:sz="4" w:space="0" w:color="FFFFFF"/>
                  <w:bottom w:val="single" w:sz="4" w:space="0" w:color="FFFFFF"/>
                  <w:right w:val="single" w:sz="4" w:space="0" w:color="FFFFFF"/>
                </w:tcBorders>
                <w:hideMark/>
              </w:tcPr>
              <w:p w:rsidR="00E06430" w:rsidRDefault="00E06430" w:rsidP="008826F2">
                <w:pPr>
                  <w:framePr w:hSpace="180" w:wrap="around" w:vAnchor="text" w:hAnchor="text" w:y="1"/>
                  <w:autoSpaceDE w:val="0"/>
                  <w:autoSpaceDN w:val="0"/>
                  <w:adjustRightInd w:val="0"/>
                  <w:suppressOverlap/>
                  <w:jc w:val="left"/>
                  <w:rPr>
                    <w:szCs w:val="22"/>
                  </w:rPr>
                </w:pPr>
              </w:p>
            </w:tc>
          </w:tr>
        </w:tbl>
        <w:p w:rsidR="00E06430" w:rsidRDefault="00E06430">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rsidR="00E06430" w:rsidRDefault="00E06430" w:rsidP="000C4303">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2A2B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8676F9"/>
    <w:multiLevelType w:val="hybridMultilevel"/>
    <w:tmpl w:val="FC1E8DA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08CC2141"/>
    <w:multiLevelType w:val="hybridMultilevel"/>
    <w:tmpl w:val="034A7D1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8EF641D"/>
    <w:multiLevelType w:val="multilevel"/>
    <w:tmpl w:val="1AFA305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15:restartNumberingAfterBreak="0">
    <w:nsid w:val="0A650308"/>
    <w:multiLevelType w:val="multilevel"/>
    <w:tmpl w:val="0FD0E5B0"/>
    <w:lvl w:ilvl="0">
      <w:start w:val="1"/>
      <w:numFmt w:val="decimal"/>
      <w:lvlText w:val="%1."/>
      <w:lvlJc w:val="left"/>
      <w:pPr>
        <w:tabs>
          <w:tab w:val="num" w:pos="360"/>
        </w:tabs>
      </w:pPr>
      <w:rPr>
        <w:rFonts w:cs="Times New Roman"/>
      </w:rPr>
    </w:lvl>
    <w:lvl w:ilvl="1">
      <w:start w:val="1"/>
      <w:numFmt w:val="decimal"/>
      <w:suff w:val="nothing"/>
      <w:lvlText w:val=" %1.%2."/>
      <w:lvlJc w:val="left"/>
      <w:pPr>
        <w:ind w:left="1512" w:hanging="151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C4738E8"/>
    <w:multiLevelType w:val="hybridMultilevel"/>
    <w:tmpl w:val="B18E39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D216655"/>
    <w:multiLevelType w:val="hybridMultilevel"/>
    <w:tmpl w:val="0CA8ED4E"/>
    <w:lvl w:ilvl="0" w:tplc="44CE2218">
      <w:start w:val="1"/>
      <w:numFmt w:val="decimal"/>
      <w:lvlText w:val="6b%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912587"/>
    <w:multiLevelType w:val="hybridMultilevel"/>
    <w:tmpl w:val="994EB7CA"/>
    <w:lvl w:ilvl="0" w:tplc="44CE2218">
      <w:start w:val="1"/>
      <w:numFmt w:val="decimal"/>
      <w:pStyle w:val="SWGreportblock6b"/>
      <w:lvlText w:val="6b%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E11EFE"/>
    <w:multiLevelType w:val="multilevel"/>
    <w:tmpl w:val="144E4022"/>
    <w:lvl w:ilvl="0">
      <w:start w:val="1"/>
      <w:numFmt w:val="decimal"/>
      <w:pStyle w:val="ICAOnatWPlevel1"/>
      <w:lvlText w:val="%1."/>
      <w:lvlJc w:val="left"/>
      <w:pPr>
        <w:ind w:left="397" w:hanging="397"/>
      </w:pPr>
      <w:rPr>
        <w:rFonts w:ascii="Times New Roman Bold" w:hAnsi="Times New Roman Bold" w:hint="default"/>
        <w:b/>
        <w:i w:val="0"/>
        <w:sz w:val="22"/>
      </w:rPr>
    </w:lvl>
    <w:lvl w:ilvl="1">
      <w:start w:val="1"/>
      <w:numFmt w:val="decimal"/>
      <w:pStyle w:val="ICAOnatWPlevel2"/>
      <w:lvlText w:val="%1.%2"/>
      <w:lvlJc w:val="left"/>
      <w:pPr>
        <w:ind w:left="1418" w:hanging="1418"/>
      </w:pPr>
      <w:rPr>
        <w:rFonts w:ascii="Times New Roman" w:hAnsi="Times New Roman"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715A76"/>
    <w:multiLevelType w:val="hybridMultilevel"/>
    <w:tmpl w:val="445009E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CE93F60"/>
    <w:multiLevelType w:val="hybridMultilevel"/>
    <w:tmpl w:val="9C5011C2"/>
    <w:lvl w:ilvl="0" w:tplc="9C9EEAB4">
      <w:start w:val="1"/>
      <w:numFmt w:val="decimal"/>
      <w:pStyle w:val="SWGreportblock6d"/>
      <w:lvlText w:val="6d%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3" w15:restartNumberingAfterBreak="0">
    <w:nsid w:val="22861B30"/>
    <w:multiLevelType w:val="hybridMultilevel"/>
    <w:tmpl w:val="80A4B1D4"/>
    <w:lvl w:ilvl="0" w:tplc="0409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E05EDE"/>
    <w:multiLevelType w:val="hybridMultilevel"/>
    <w:tmpl w:val="843464B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3D6E74"/>
    <w:multiLevelType w:val="hybridMultilevel"/>
    <w:tmpl w:val="3912D8C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D7C1DEA"/>
    <w:multiLevelType w:val="hybridMultilevel"/>
    <w:tmpl w:val="AE18651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ED6060B"/>
    <w:multiLevelType w:val="hybridMultilevel"/>
    <w:tmpl w:val="2CFC18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B1549A"/>
    <w:multiLevelType w:val="hybridMultilevel"/>
    <w:tmpl w:val="C8AC292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B90EC4"/>
    <w:multiLevelType w:val="hybridMultilevel"/>
    <w:tmpl w:val="9AC03708"/>
    <w:lvl w:ilvl="0" w:tplc="7B7A55D2">
      <w:start w:val="1"/>
      <w:numFmt w:val="decimal"/>
      <w:pStyle w:val="SWGreportblock6a"/>
      <w:lvlText w:val="6a%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E03580"/>
    <w:multiLevelType w:val="hybridMultilevel"/>
    <w:tmpl w:val="72E2E3C4"/>
    <w:lvl w:ilvl="0" w:tplc="952E692A">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1" w15:restartNumberingAfterBreak="0">
    <w:nsid w:val="3D6D38FE"/>
    <w:multiLevelType w:val="hybridMultilevel"/>
    <w:tmpl w:val="5A5A925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EA804A0"/>
    <w:multiLevelType w:val="hybridMultilevel"/>
    <w:tmpl w:val="5CA8083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E9702C"/>
    <w:multiLevelType w:val="hybridMultilevel"/>
    <w:tmpl w:val="545225A0"/>
    <w:lvl w:ilvl="0" w:tplc="952E692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8522B39"/>
    <w:multiLevelType w:val="hybridMultilevel"/>
    <w:tmpl w:val="EB606AA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A515B20"/>
    <w:multiLevelType w:val="singleLevel"/>
    <w:tmpl w:val="9A180BC0"/>
    <w:lvl w:ilvl="0">
      <w:start w:val="1"/>
      <w:numFmt w:val="lowerLetter"/>
      <w:pStyle w:val="IcaoListabc"/>
      <w:lvlText w:val="%1)"/>
      <w:lvlJc w:val="left"/>
      <w:pPr>
        <w:tabs>
          <w:tab w:val="num" w:pos="1417"/>
        </w:tabs>
        <w:ind w:left="1417" w:hanging="425"/>
      </w:pPr>
    </w:lvl>
  </w:abstractNum>
  <w:abstractNum w:abstractNumId="2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4BFC584A"/>
    <w:multiLevelType w:val="hybridMultilevel"/>
    <w:tmpl w:val="965243F4"/>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4C6C0B12"/>
    <w:multiLevelType w:val="multilevel"/>
    <w:tmpl w:val="CADA8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DA4C8B"/>
    <w:multiLevelType w:val="hybridMultilevel"/>
    <w:tmpl w:val="590A6E54"/>
    <w:lvl w:ilvl="0" w:tplc="04070003">
      <w:start w:val="1"/>
      <w:numFmt w:val="bullet"/>
      <w:lvlText w:val="o"/>
      <w:lvlJc w:val="left"/>
      <w:pPr>
        <w:ind w:left="1068" w:hanging="360"/>
      </w:pPr>
      <w:rPr>
        <w:rFonts w:ascii="Courier New" w:hAnsi="Courier New" w:cs="Courier New"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507971ED"/>
    <w:multiLevelType w:val="hybridMultilevel"/>
    <w:tmpl w:val="C0701FB6"/>
    <w:lvl w:ilvl="0" w:tplc="DC426FBA">
      <w:start w:val="1"/>
      <w:numFmt w:val="decimal"/>
      <w:pStyle w:val="SWGreportblock6f"/>
      <w:lvlText w:val="6f%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921987"/>
    <w:multiLevelType w:val="hybridMultilevel"/>
    <w:tmpl w:val="C658C3CC"/>
    <w:lvl w:ilvl="0" w:tplc="A6BE79D8">
      <w:start w:val="1"/>
      <w:numFmt w:val="decimal"/>
      <w:lvlText w:val="6d%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390A1A"/>
    <w:multiLevelType w:val="hybridMultilevel"/>
    <w:tmpl w:val="5E72C89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4C0150A"/>
    <w:multiLevelType w:val="hybridMultilevel"/>
    <w:tmpl w:val="A560C46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3C6200"/>
    <w:multiLevelType w:val="hybridMultilevel"/>
    <w:tmpl w:val="E4D8F54A"/>
    <w:lvl w:ilvl="0" w:tplc="04070001">
      <w:start w:val="1"/>
      <w:numFmt w:val="bullet"/>
      <w:lvlText w:val=""/>
      <w:lvlJc w:val="left"/>
      <w:pPr>
        <w:ind w:left="720" w:hanging="360"/>
      </w:pPr>
      <w:rPr>
        <w:rFonts w:ascii="Symbol" w:hAnsi="Symbol" w:hint="default"/>
      </w:rPr>
    </w:lvl>
    <w:lvl w:ilvl="1" w:tplc="952E692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36" w15:restartNumberingAfterBreak="0">
    <w:nsid w:val="69302C97"/>
    <w:multiLevelType w:val="multilevel"/>
    <w:tmpl w:val="0EFC213E"/>
    <w:lvl w:ilvl="0">
      <w:start w:val="1"/>
      <w:numFmt w:val="decimal"/>
      <w:pStyle w:val="Table"/>
      <w:lvlText w:val="Table %1"/>
      <w:lvlJc w:val="left"/>
      <w:pPr>
        <w:tabs>
          <w:tab w:val="num" w:pos="1531"/>
        </w:tabs>
        <w:ind w:left="1531" w:hanging="1171"/>
      </w:pPr>
      <w:rPr>
        <w:rFonts w:ascii="Times New Roman" w:hAnsi="Times New Roman" w:cs="Times New Roman" w:hint="default"/>
        <w:b w:val="0"/>
        <w:i/>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38D3E11"/>
    <w:multiLevelType w:val="hybridMultilevel"/>
    <w:tmpl w:val="38F2113A"/>
    <w:lvl w:ilvl="0" w:tplc="655AB12A">
      <w:start w:val="1"/>
      <w:numFmt w:val="decimal"/>
      <w:pStyle w:val="SWGreportblock6e"/>
      <w:lvlText w:val="6e%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86E6286"/>
    <w:multiLevelType w:val="hybridMultilevel"/>
    <w:tmpl w:val="026AFC3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2C21DB"/>
    <w:multiLevelType w:val="hybridMultilevel"/>
    <w:tmpl w:val="BBCAB3DA"/>
    <w:lvl w:ilvl="0" w:tplc="6A1073F6">
      <w:start w:val="1"/>
      <w:numFmt w:val="decimal"/>
      <w:pStyle w:val="SWGreportblock6c"/>
      <w:lvlText w:val="6c%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F6D5BCE"/>
    <w:multiLevelType w:val="hybridMultilevel"/>
    <w:tmpl w:val="858265F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6"/>
  </w:num>
  <w:num w:numId="2">
    <w:abstractNumId w:val="35"/>
  </w:num>
  <w:num w:numId="3">
    <w:abstractNumId w:val="12"/>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36"/>
  </w:num>
  <w:num w:numId="10">
    <w:abstractNumId w:val="9"/>
  </w:num>
  <w:num w:numId="11">
    <w:abstractNumId w:val="25"/>
  </w:num>
  <w:num w:numId="12">
    <w:abstractNumId w:val="19"/>
  </w:num>
  <w:num w:numId="13">
    <w:abstractNumId w:val="8"/>
  </w:num>
  <w:num w:numId="14">
    <w:abstractNumId w:val="39"/>
  </w:num>
  <w:num w:numId="15">
    <w:abstractNumId w:val="11"/>
  </w:num>
  <w:num w:numId="16">
    <w:abstractNumId w:val="37"/>
  </w:num>
  <w:num w:numId="17">
    <w:abstractNumId w:val="30"/>
  </w:num>
  <w:num w:numId="18">
    <w:abstractNumId w:val="13"/>
  </w:num>
  <w:num w:numId="19">
    <w:abstractNumId w:val="16"/>
  </w:num>
  <w:num w:numId="20">
    <w:abstractNumId w:val="21"/>
  </w:num>
  <w:num w:numId="21">
    <w:abstractNumId w:val="15"/>
  </w:num>
  <w:num w:numId="22">
    <w:abstractNumId w:val="24"/>
  </w:num>
  <w:num w:numId="23">
    <w:abstractNumId w:val="32"/>
  </w:num>
  <w:num w:numId="24">
    <w:abstractNumId w:val="40"/>
  </w:num>
  <w:num w:numId="25">
    <w:abstractNumId w:val="22"/>
  </w:num>
  <w:num w:numId="26">
    <w:abstractNumId w:val="1"/>
  </w:num>
  <w:num w:numId="27">
    <w:abstractNumId w:val="17"/>
  </w:num>
  <w:num w:numId="28">
    <w:abstractNumId w:val="10"/>
  </w:num>
  <w:num w:numId="29">
    <w:abstractNumId w:val="8"/>
    <w:lvlOverride w:ilvl="0">
      <w:startOverride w:val="1"/>
    </w:lvlOverride>
  </w:num>
  <w:num w:numId="30">
    <w:abstractNumId w:val="7"/>
  </w:num>
  <w:num w:numId="31">
    <w:abstractNumId w:val="3"/>
  </w:num>
  <w:num w:numId="32">
    <w:abstractNumId w:val="34"/>
  </w:num>
  <w:num w:numId="33">
    <w:abstractNumId w:val="38"/>
  </w:num>
  <w:num w:numId="34">
    <w:abstractNumId w:val="18"/>
  </w:num>
  <w:num w:numId="35">
    <w:abstractNumId w:val="29"/>
  </w:num>
  <w:num w:numId="36">
    <w:abstractNumId w:val="2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0"/>
  </w:num>
  <w:num w:numId="40">
    <w:abstractNumId w:val="27"/>
  </w:num>
  <w:num w:numId="41">
    <w:abstractNumId w:val="31"/>
  </w:num>
  <w:num w:numId="42">
    <w:abstractNumId w:val="33"/>
  </w:num>
  <w:num w:numId="43">
    <w:abstractNumId w:val="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160"/>
    <w:rsid w:val="00041287"/>
    <w:rsid w:val="00061571"/>
    <w:rsid w:val="00073420"/>
    <w:rsid w:val="0007730C"/>
    <w:rsid w:val="000C4303"/>
    <w:rsid w:val="000F55DE"/>
    <w:rsid w:val="00112A76"/>
    <w:rsid w:val="001311FC"/>
    <w:rsid w:val="001449D6"/>
    <w:rsid w:val="00157126"/>
    <w:rsid w:val="001708FD"/>
    <w:rsid w:val="001736DA"/>
    <w:rsid w:val="001742AF"/>
    <w:rsid w:val="001A24FD"/>
    <w:rsid w:val="00265F4F"/>
    <w:rsid w:val="00270F68"/>
    <w:rsid w:val="002B31F3"/>
    <w:rsid w:val="002C487A"/>
    <w:rsid w:val="002D2826"/>
    <w:rsid w:val="002F1C58"/>
    <w:rsid w:val="002F3286"/>
    <w:rsid w:val="003259B2"/>
    <w:rsid w:val="00341F16"/>
    <w:rsid w:val="00365BFB"/>
    <w:rsid w:val="00375D43"/>
    <w:rsid w:val="00381B3D"/>
    <w:rsid w:val="00392FF8"/>
    <w:rsid w:val="003D7FD8"/>
    <w:rsid w:val="003F23BB"/>
    <w:rsid w:val="004354F1"/>
    <w:rsid w:val="00442CB3"/>
    <w:rsid w:val="00456398"/>
    <w:rsid w:val="00473F0D"/>
    <w:rsid w:val="0048398C"/>
    <w:rsid w:val="004A4498"/>
    <w:rsid w:val="004C2F06"/>
    <w:rsid w:val="004D46B0"/>
    <w:rsid w:val="004E0F4A"/>
    <w:rsid w:val="005A13D7"/>
    <w:rsid w:val="005C4DB7"/>
    <w:rsid w:val="005C53EC"/>
    <w:rsid w:val="00617702"/>
    <w:rsid w:val="006301C3"/>
    <w:rsid w:val="006A0F3C"/>
    <w:rsid w:val="006E236F"/>
    <w:rsid w:val="00707ADA"/>
    <w:rsid w:val="0071789F"/>
    <w:rsid w:val="00724007"/>
    <w:rsid w:val="00770160"/>
    <w:rsid w:val="00773A30"/>
    <w:rsid w:val="007D20AF"/>
    <w:rsid w:val="00804737"/>
    <w:rsid w:val="0082494A"/>
    <w:rsid w:val="008826F2"/>
    <w:rsid w:val="008A1D5B"/>
    <w:rsid w:val="00917E36"/>
    <w:rsid w:val="00926BEB"/>
    <w:rsid w:val="00927DDC"/>
    <w:rsid w:val="00930FD5"/>
    <w:rsid w:val="0095751F"/>
    <w:rsid w:val="00961363"/>
    <w:rsid w:val="00966223"/>
    <w:rsid w:val="00973266"/>
    <w:rsid w:val="009759AA"/>
    <w:rsid w:val="0098006D"/>
    <w:rsid w:val="00997625"/>
    <w:rsid w:val="009A056D"/>
    <w:rsid w:val="009A246E"/>
    <w:rsid w:val="009F63C6"/>
    <w:rsid w:val="00A03182"/>
    <w:rsid w:val="00A12CBA"/>
    <w:rsid w:val="00A148BD"/>
    <w:rsid w:val="00A206DF"/>
    <w:rsid w:val="00A26F34"/>
    <w:rsid w:val="00A37EC8"/>
    <w:rsid w:val="00A459F8"/>
    <w:rsid w:val="00AD1C3E"/>
    <w:rsid w:val="00B00CF0"/>
    <w:rsid w:val="00B37E33"/>
    <w:rsid w:val="00B553CA"/>
    <w:rsid w:val="00BA1984"/>
    <w:rsid w:val="00BB53D1"/>
    <w:rsid w:val="00C209A7"/>
    <w:rsid w:val="00C62653"/>
    <w:rsid w:val="00C72B3C"/>
    <w:rsid w:val="00C83305"/>
    <w:rsid w:val="00C973B9"/>
    <w:rsid w:val="00CB5CFE"/>
    <w:rsid w:val="00CC1EC4"/>
    <w:rsid w:val="00CC2EBF"/>
    <w:rsid w:val="00CD6D30"/>
    <w:rsid w:val="00CF21E4"/>
    <w:rsid w:val="00D05561"/>
    <w:rsid w:val="00D1096A"/>
    <w:rsid w:val="00D26EEB"/>
    <w:rsid w:val="00D361E2"/>
    <w:rsid w:val="00D46138"/>
    <w:rsid w:val="00E06430"/>
    <w:rsid w:val="00E208E9"/>
    <w:rsid w:val="00E5132F"/>
    <w:rsid w:val="00E55495"/>
    <w:rsid w:val="00E576F2"/>
    <w:rsid w:val="00EB4E9E"/>
    <w:rsid w:val="00EE7B63"/>
    <w:rsid w:val="00F21296"/>
    <w:rsid w:val="00F963A1"/>
    <w:rsid w:val="00FB0DA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7A0EF"/>
  <w15:docId w15:val="{E0108D1F-51D5-7143-8CD3-4982A562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442CB3"/>
    <w:pPr>
      <w:keepNext/>
      <w:jc w:val="left"/>
      <w:outlineLvl w:val="1"/>
    </w:pPr>
    <w:rPr>
      <w:szCs w:val="24"/>
      <w:u w:val="single"/>
      <w:lang w:val="en-US" w:eastAsia="de-DE"/>
    </w:rPr>
  </w:style>
  <w:style w:type="paragraph" w:styleId="Heading3">
    <w:name w:val="heading 3"/>
    <w:basedOn w:val="Normal"/>
    <w:next w:val="Normal"/>
    <w:link w:val="Heading3Char"/>
    <w:qFormat/>
    <w:rsid w:val="00442CB3"/>
    <w:pPr>
      <w:keepNext/>
      <w:jc w:val="left"/>
      <w:outlineLvl w:val="2"/>
    </w:pPr>
    <w:rPr>
      <w:b/>
      <w:sz w:val="20"/>
      <w:szCs w:val="24"/>
      <w:lang w:val="fr-CA" w:eastAsia="de-DE"/>
    </w:rPr>
  </w:style>
  <w:style w:type="paragraph" w:styleId="Heading4">
    <w:name w:val="heading 4"/>
    <w:basedOn w:val="Normal"/>
    <w:next w:val="Normal"/>
    <w:link w:val="Heading4Char"/>
    <w:qFormat/>
    <w:rsid w:val="00442CB3"/>
    <w:pPr>
      <w:keepNext/>
      <w:numPr>
        <w:ilvl w:val="3"/>
        <w:numId w:val="7"/>
      </w:numPr>
      <w:spacing w:before="240" w:after="60"/>
      <w:jc w:val="left"/>
      <w:outlineLvl w:val="3"/>
    </w:pPr>
    <w:rPr>
      <w:rFonts w:ascii="Arial" w:hAnsi="Arial"/>
      <w:b/>
    </w:rPr>
  </w:style>
  <w:style w:type="paragraph" w:styleId="Heading5">
    <w:name w:val="heading 5"/>
    <w:basedOn w:val="Normal"/>
    <w:next w:val="Normal"/>
    <w:link w:val="Heading5Char"/>
    <w:qFormat/>
    <w:rsid w:val="00442CB3"/>
    <w:pPr>
      <w:numPr>
        <w:ilvl w:val="4"/>
        <w:numId w:val="7"/>
      </w:numPr>
      <w:spacing w:before="240" w:after="60"/>
      <w:jc w:val="left"/>
      <w:outlineLvl w:val="4"/>
    </w:pPr>
  </w:style>
  <w:style w:type="paragraph" w:styleId="Heading6">
    <w:name w:val="heading 6"/>
    <w:basedOn w:val="Normal"/>
    <w:next w:val="Normal"/>
    <w:link w:val="Heading6Char"/>
    <w:qFormat/>
    <w:rsid w:val="00442CB3"/>
    <w:pPr>
      <w:numPr>
        <w:ilvl w:val="5"/>
        <w:numId w:val="7"/>
      </w:numPr>
      <w:spacing w:before="240" w:after="60"/>
      <w:jc w:val="left"/>
      <w:outlineLvl w:val="5"/>
    </w:pPr>
    <w:rPr>
      <w:i/>
    </w:rPr>
  </w:style>
  <w:style w:type="paragraph" w:styleId="Heading7">
    <w:name w:val="heading 7"/>
    <w:basedOn w:val="Normal"/>
    <w:next w:val="Normal"/>
    <w:link w:val="Heading7Char"/>
    <w:qFormat/>
    <w:rsid w:val="00442CB3"/>
    <w:pPr>
      <w:numPr>
        <w:ilvl w:val="6"/>
        <w:numId w:val="7"/>
      </w:numPr>
      <w:spacing w:before="240" w:after="60"/>
      <w:jc w:val="left"/>
      <w:outlineLvl w:val="6"/>
    </w:pPr>
    <w:rPr>
      <w:rFonts w:ascii="Arial" w:hAnsi="Arial"/>
      <w:sz w:val="20"/>
    </w:rPr>
  </w:style>
  <w:style w:type="paragraph" w:styleId="Heading8">
    <w:name w:val="heading 8"/>
    <w:basedOn w:val="Normal"/>
    <w:next w:val="Normal"/>
    <w:link w:val="Heading8Char"/>
    <w:qFormat/>
    <w:rsid w:val="00442CB3"/>
    <w:pPr>
      <w:numPr>
        <w:ilvl w:val="7"/>
        <w:numId w:val="7"/>
      </w:numPr>
      <w:spacing w:before="240" w:after="60"/>
      <w:jc w:val="left"/>
      <w:outlineLvl w:val="7"/>
    </w:pPr>
    <w:rPr>
      <w:rFonts w:ascii="Arial" w:hAnsi="Arial"/>
      <w:i/>
      <w:sz w:val="20"/>
    </w:rPr>
  </w:style>
  <w:style w:type="paragraph" w:styleId="Heading9">
    <w:name w:val="heading 9"/>
    <w:basedOn w:val="Normal"/>
    <w:next w:val="Normal"/>
    <w:link w:val="Heading9Char"/>
    <w:qFormat/>
    <w:rsid w:val="00442CB3"/>
    <w:pPr>
      <w:numPr>
        <w:ilvl w:val="8"/>
        <w:numId w:val="7"/>
      </w:numPr>
      <w:spacing w:before="240" w:after="6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uiPriority w:val="9"/>
    <w:rsid w:val="00442CB3"/>
    <w:rPr>
      <w:sz w:val="22"/>
      <w:szCs w:val="24"/>
      <w:u w:val="single"/>
      <w:lang w:val="en-US"/>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basedOn w:val="DefaultParagraphFont"/>
    <w:link w:val="Heading3"/>
    <w:rsid w:val="00442CB3"/>
    <w:rPr>
      <w:b/>
      <w:szCs w:val="24"/>
      <w:lang w:val="fr-CA"/>
    </w:rPr>
  </w:style>
  <w:style w:type="character" w:customStyle="1" w:styleId="Heading4Char">
    <w:name w:val="Heading 4 Char"/>
    <w:basedOn w:val="DefaultParagraphFont"/>
    <w:link w:val="Heading4"/>
    <w:rsid w:val="00442CB3"/>
    <w:rPr>
      <w:rFonts w:ascii="Arial" w:hAnsi="Arial"/>
      <w:b/>
      <w:sz w:val="22"/>
      <w:lang w:val="en-GB" w:eastAsia="en-US"/>
    </w:rPr>
  </w:style>
  <w:style w:type="character" w:customStyle="1" w:styleId="Heading5Char">
    <w:name w:val="Heading 5 Char"/>
    <w:basedOn w:val="DefaultParagraphFont"/>
    <w:link w:val="Heading5"/>
    <w:rsid w:val="00442CB3"/>
    <w:rPr>
      <w:sz w:val="22"/>
      <w:lang w:val="en-GB" w:eastAsia="en-US"/>
    </w:rPr>
  </w:style>
  <w:style w:type="character" w:customStyle="1" w:styleId="Heading6Char">
    <w:name w:val="Heading 6 Char"/>
    <w:basedOn w:val="DefaultParagraphFont"/>
    <w:link w:val="Heading6"/>
    <w:rsid w:val="00442CB3"/>
    <w:rPr>
      <w:i/>
      <w:sz w:val="22"/>
      <w:lang w:val="en-GB" w:eastAsia="en-US"/>
    </w:rPr>
  </w:style>
  <w:style w:type="character" w:customStyle="1" w:styleId="Heading7Char">
    <w:name w:val="Heading 7 Char"/>
    <w:basedOn w:val="DefaultParagraphFont"/>
    <w:link w:val="Heading7"/>
    <w:rsid w:val="00442CB3"/>
    <w:rPr>
      <w:rFonts w:ascii="Arial" w:hAnsi="Arial"/>
      <w:lang w:val="en-GB" w:eastAsia="en-US"/>
    </w:rPr>
  </w:style>
  <w:style w:type="character" w:customStyle="1" w:styleId="Heading8Char">
    <w:name w:val="Heading 8 Char"/>
    <w:basedOn w:val="DefaultParagraphFont"/>
    <w:link w:val="Heading8"/>
    <w:rsid w:val="00442CB3"/>
    <w:rPr>
      <w:rFonts w:ascii="Arial" w:hAnsi="Arial"/>
      <w:i/>
      <w:lang w:val="en-GB" w:eastAsia="en-US"/>
    </w:rPr>
  </w:style>
  <w:style w:type="character" w:customStyle="1" w:styleId="Heading9Char">
    <w:name w:val="Heading 9 Char"/>
    <w:basedOn w:val="DefaultParagraphFont"/>
    <w:link w:val="Heading9"/>
    <w:rsid w:val="00442CB3"/>
    <w:rPr>
      <w:rFonts w:ascii="Arial" w:hAnsi="Arial"/>
      <w:b/>
      <w:i/>
      <w:sz w:val="18"/>
      <w:lang w:val="en-GB" w:eastAsia="en-US"/>
    </w:rPr>
  </w:style>
  <w:style w:type="character" w:customStyle="1" w:styleId="Heading1Char">
    <w:name w:val="Heading 1 Char"/>
    <w:basedOn w:val="DefaultParagraphFont"/>
    <w:link w:val="Heading1"/>
    <w:uiPriority w:val="9"/>
    <w:rsid w:val="00442CB3"/>
    <w:rPr>
      <w:b/>
      <w:sz w:val="22"/>
      <w:lang w:val="en-GB" w:eastAsia="en-US"/>
    </w:rPr>
  </w:style>
  <w:style w:type="paragraph" w:styleId="ListBullet2">
    <w:name w:val="List Bullet 2"/>
    <w:basedOn w:val="Normal"/>
    <w:autoRedefine/>
    <w:rsid w:val="00442CB3"/>
    <w:pPr>
      <w:numPr>
        <w:numId w:val="6"/>
      </w:numPr>
      <w:tabs>
        <w:tab w:val="clear" w:pos="643"/>
        <w:tab w:val="num" w:pos="720"/>
      </w:tabs>
      <w:ind w:left="720"/>
      <w:jc w:val="left"/>
    </w:pPr>
  </w:style>
  <w:style w:type="paragraph" w:styleId="BodyText">
    <w:name w:val="Body Text"/>
    <w:basedOn w:val="Normal"/>
    <w:link w:val="BodyTextChar"/>
    <w:rsid w:val="00442CB3"/>
    <w:pPr>
      <w:jc w:val="left"/>
    </w:pPr>
    <w:rPr>
      <w:b/>
      <w:szCs w:val="24"/>
      <w:lang w:eastAsia="de-DE"/>
    </w:rPr>
  </w:style>
  <w:style w:type="character" w:customStyle="1" w:styleId="BodyTextChar">
    <w:name w:val="Body Text Char"/>
    <w:basedOn w:val="DefaultParagraphFont"/>
    <w:link w:val="BodyText"/>
    <w:uiPriority w:val="99"/>
    <w:rsid w:val="00442CB3"/>
    <w:rPr>
      <w:b/>
      <w:sz w:val="22"/>
      <w:szCs w:val="24"/>
      <w:lang w:val="en-GB"/>
    </w:rPr>
  </w:style>
  <w:style w:type="paragraph" w:styleId="BodyTextIndent">
    <w:name w:val="Body Text Indent"/>
    <w:basedOn w:val="Normal"/>
    <w:link w:val="BodyTextIndentChar"/>
    <w:rsid w:val="00442CB3"/>
    <w:pPr>
      <w:ind w:left="720" w:hanging="720"/>
      <w:jc w:val="left"/>
    </w:pPr>
    <w:rPr>
      <w:szCs w:val="24"/>
      <w:lang w:eastAsia="de-DE"/>
    </w:rPr>
  </w:style>
  <w:style w:type="character" w:customStyle="1" w:styleId="BodyTextIndentChar">
    <w:name w:val="Body Text Indent Char"/>
    <w:basedOn w:val="DefaultParagraphFont"/>
    <w:link w:val="BodyTextIndent"/>
    <w:uiPriority w:val="99"/>
    <w:rsid w:val="00442CB3"/>
    <w:rPr>
      <w:sz w:val="22"/>
      <w:szCs w:val="24"/>
      <w:lang w:val="en-GB"/>
    </w:rPr>
  </w:style>
  <w:style w:type="paragraph" w:styleId="Title">
    <w:name w:val="Title"/>
    <w:basedOn w:val="Normal"/>
    <w:link w:val="TitleChar"/>
    <w:qFormat/>
    <w:rsid w:val="00442CB3"/>
    <w:pPr>
      <w:jc w:val="center"/>
    </w:pPr>
    <w:rPr>
      <w:b/>
    </w:rPr>
  </w:style>
  <w:style w:type="character" w:customStyle="1" w:styleId="TitleChar">
    <w:name w:val="Title Char"/>
    <w:basedOn w:val="DefaultParagraphFont"/>
    <w:link w:val="Title"/>
    <w:uiPriority w:val="10"/>
    <w:rsid w:val="00442CB3"/>
    <w:rPr>
      <w:b/>
      <w:sz w:val="22"/>
      <w:lang w:val="en-GB" w:eastAsia="en-US"/>
    </w:rPr>
  </w:style>
  <w:style w:type="character" w:customStyle="1" w:styleId="HeaderChar">
    <w:name w:val="Header Char"/>
    <w:basedOn w:val="DefaultParagraphFont"/>
    <w:link w:val="Header"/>
    <w:uiPriority w:val="99"/>
    <w:locked/>
    <w:rsid w:val="00442CB3"/>
    <w:rPr>
      <w:sz w:val="22"/>
      <w:lang w:val="en-GB" w:eastAsia="en-US"/>
    </w:rPr>
  </w:style>
  <w:style w:type="paragraph" w:styleId="CommentText">
    <w:name w:val="annotation text"/>
    <w:basedOn w:val="Normal"/>
    <w:link w:val="CommentTextChar"/>
    <w:rsid w:val="00442CB3"/>
    <w:rPr>
      <w:sz w:val="20"/>
      <w:lang w:val="en-US"/>
    </w:rPr>
  </w:style>
  <w:style w:type="character" w:customStyle="1" w:styleId="CommentTextChar">
    <w:name w:val="Comment Text Char"/>
    <w:basedOn w:val="DefaultParagraphFont"/>
    <w:link w:val="CommentText"/>
    <w:rsid w:val="00442CB3"/>
    <w:rPr>
      <w:lang w:val="en-US" w:eastAsia="en-US"/>
    </w:rPr>
  </w:style>
  <w:style w:type="paragraph" w:styleId="Index1">
    <w:name w:val="index 1"/>
    <w:basedOn w:val="Normal"/>
    <w:next w:val="Normal"/>
    <w:rsid w:val="00442CB3"/>
    <w:pPr>
      <w:tabs>
        <w:tab w:val="left" w:pos="794"/>
        <w:tab w:val="left" w:pos="1191"/>
        <w:tab w:val="left" w:pos="1588"/>
        <w:tab w:val="left" w:pos="1985"/>
      </w:tabs>
      <w:spacing w:before="136"/>
    </w:pPr>
    <w:rPr>
      <w:lang w:val="en-US"/>
    </w:rPr>
  </w:style>
  <w:style w:type="paragraph" w:customStyle="1" w:styleId="Table">
    <w:name w:val="Table"/>
    <w:basedOn w:val="Normal"/>
    <w:rsid w:val="00442CB3"/>
    <w:pPr>
      <w:numPr>
        <w:numId w:val="9"/>
      </w:numPr>
      <w:jc w:val="center"/>
    </w:pPr>
    <w:rPr>
      <w:i/>
      <w:sz w:val="20"/>
      <w:lang w:eastAsia="fr-FR"/>
    </w:rPr>
  </w:style>
  <w:style w:type="paragraph" w:styleId="BodyTextIndent2">
    <w:name w:val="Body Text Indent 2"/>
    <w:basedOn w:val="Normal"/>
    <w:link w:val="BodyTextIndent2Char"/>
    <w:rsid w:val="00442CB3"/>
    <w:pPr>
      <w:ind w:left="708"/>
      <w:jc w:val="left"/>
    </w:pPr>
    <w:rPr>
      <w:szCs w:val="24"/>
      <w:lang w:val="en-US" w:eastAsia="de-DE"/>
    </w:rPr>
  </w:style>
  <w:style w:type="character" w:customStyle="1" w:styleId="BodyTextIndent2Char">
    <w:name w:val="Body Text Indent 2 Char"/>
    <w:basedOn w:val="DefaultParagraphFont"/>
    <w:link w:val="BodyTextIndent2"/>
    <w:uiPriority w:val="99"/>
    <w:rsid w:val="00442CB3"/>
    <w:rPr>
      <w:sz w:val="22"/>
      <w:szCs w:val="24"/>
      <w:lang w:val="en-US"/>
    </w:rPr>
  </w:style>
  <w:style w:type="character" w:styleId="Hyperlink">
    <w:name w:val="Hyperlink"/>
    <w:basedOn w:val="DefaultParagraphFont"/>
    <w:uiPriority w:val="99"/>
    <w:rsid w:val="00442CB3"/>
    <w:rPr>
      <w:rFonts w:cs="Times New Roman"/>
      <w:color w:val="0000FF"/>
      <w:u w:val="single"/>
    </w:rPr>
  </w:style>
  <w:style w:type="paragraph" w:styleId="BodyText2">
    <w:name w:val="Body Text 2"/>
    <w:basedOn w:val="Normal"/>
    <w:link w:val="BodyText2Char"/>
    <w:rsid w:val="00442CB3"/>
    <w:rPr>
      <w:szCs w:val="24"/>
      <w:lang w:eastAsia="de-DE"/>
    </w:rPr>
  </w:style>
  <w:style w:type="character" w:customStyle="1" w:styleId="BodyText2Char">
    <w:name w:val="Body Text 2 Char"/>
    <w:basedOn w:val="DefaultParagraphFont"/>
    <w:link w:val="BodyText2"/>
    <w:uiPriority w:val="99"/>
    <w:rsid w:val="00442CB3"/>
    <w:rPr>
      <w:sz w:val="22"/>
      <w:szCs w:val="24"/>
      <w:lang w:val="en-GB"/>
    </w:rPr>
  </w:style>
  <w:style w:type="paragraph" w:styleId="BodyTextIndent3">
    <w:name w:val="Body Text Indent 3"/>
    <w:basedOn w:val="Normal"/>
    <w:link w:val="BodyTextIndent3Char"/>
    <w:rsid w:val="00442CB3"/>
    <w:pPr>
      <w:ind w:left="426" w:hanging="426"/>
      <w:jc w:val="left"/>
    </w:pPr>
    <w:rPr>
      <w:szCs w:val="24"/>
      <w:lang w:eastAsia="de-DE"/>
    </w:rPr>
  </w:style>
  <w:style w:type="character" w:customStyle="1" w:styleId="BodyTextIndent3Char">
    <w:name w:val="Body Text Indent 3 Char"/>
    <w:basedOn w:val="DefaultParagraphFont"/>
    <w:link w:val="BodyTextIndent3"/>
    <w:uiPriority w:val="99"/>
    <w:rsid w:val="00442CB3"/>
    <w:rPr>
      <w:sz w:val="22"/>
      <w:szCs w:val="24"/>
      <w:lang w:val="en-GB"/>
    </w:rPr>
  </w:style>
  <w:style w:type="character" w:styleId="FollowedHyperlink">
    <w:name w:val="FollowedHyperlink"/>
    <w:basedOn w:val="DefaultParagraphFont"/>
    <w:rsid w:val="00442CB3"/>
    <w:rPr>
      <w:rFonts w:cs="Times New Roman"/>
      <w:color w:val="800080"/>
      <w:u w:val="single"/>
    </w:rPr>
  </w:style>
  <w:style w:type="character" w:customStyle="1" w:styleId="FooterChar">
    <w:name w:val="Footer Char"/>
    <w:basedOn w:val="DefaultParagraphFont"/>
    <w:link w:val="Footer"/>
    <w:uiPriority w:val="99"/>
    <w:rsid w:val="00442CB3"/>
    <w:rPr>
      <w:sz w:val="22"/>
      <w:lang w:val="en-GB" w:eastAsia="en-US"/>
    </w:rPr>
  </w:style>
  <w:style w:type="paragraph" w:styleId="BodyText3">
    <w:name w:val="Body Text 3"/>
    <w:basedOn w:val="Normal"/>
    <w:link w:val="BodyText3Char"/>
    <w:rsid w:val="00442CB3"/>
    <w:pPr>
      <w:jc w:val="left"/>
    </w:pPr>
    <w:rPr>
      <w:szCs w:val="24"/>
      <w:u w:val="single"/>
      <w:lang w:eastAsia="de-DE"/>
    </w:rPr>
  </w:style>
  <w:style w:type="character" w:customStyle="1" w:styleId="BodyText3Char">
    <w:name w:val="Body Text 3 Char"/>
    <w:basedOn w:val="DefaultParagraphFont"/>
    <w:link w:val="BodyText3"/>
    <w:uiPriority w:val="99"/>
    <w:rsid w:val="00442CB3"/>
    <w:rPr>
      <w:sz w:val="22"/>
      <w:szCs w:val="24"/>
      <w:u w:val="single"/>
      <w:lang w:val="en-GB"/>
    </w:rPr>
  </w:style>
  <w:style w:type="paragraph" w:customStyle="1" w:styleId="Style">
    <w:name w:val="Style"/>
    <w:basedOn w:val="Normal"/>
    <w:next w:val="BodyTextIndent"/>
    <w:uiPriority w:val="99"/>
    <w:rsid w:val="00442CB3"/>
    <w:pPr>
      <w:ind w:left="720" w:hanging="720"/>
      <w:jc w:val="left"/>
    </w:pPr>
    <w:rPr>
      <w:szCs w:val="24"/>
      <w:lang w:eastAsia="de-DE"/>
    </w:rPr>
  </w:style>
  <w:style w:type="paragraph" w:styleId="ListParagraph">
    <w:name w:val="List Paragraph"/>
    <w:basedOn w:val="Normal"/>
    <w:uiPriority w:val="34"/>
    <w:qFormat/>
    <w:rsid w:val="00442CB3"/>
    <w:pPr>
      <w:ind w:left="720"/>
      <w:contextualSpacing/>
      <w:jc w:val="left"/>
    </w:pPr>
    <w:rPr>
      <w:szCs w:val="24"/>
      <w:lang w:eastAsia="de-DE"/>
    </w:rPr>
  </w:style>
  <w:style w:type="paragraph" w:styleId="BalloonText">
    <w:name w:val="Balloon Text"/>
    <w:basedOn w:val="Normal"/>
    <w:link w:val="BalloonTextChar"/>
    <w:uiPriority w:val="99"/>
    <w:rsid w:val="00442CB3"/>
    <w:pPr>
      <w:jc w:val="left"/>
    </w:pPr>
    <w:rPr>
      <w:rFonts w:ascii="Segoe UI" w:hAnsi="Segoe UI" w:cs="Segoe UI"/>
      <w:sz w:val="18"/>
      <w:szCs w:val="18"/>
      <w:lang w:eastAsia="de-DE"/>
    </w:rPr>
  </w:style>
  <w:style w:type="character" w:customStyle="1" w:styleId="BalloonTextChar">
    <w:name w:val="Balloon Text Char"/>
    <w:basedOn w:val="DefaultParagraphFont"/>
    <w:link w:val="BalloonText"/>
    <w:uiPriority w:val="99"/>
    <w:rsid w:val="00442CB3"/>
    <w:rPr>
      <w:rFonts w:ascii="Segoe UI" w:hAnsi="Segoe UI" w:cs="Segoe UI"/>
      <w:sz w:val="18"/>
      <w:szCs w:val="18"/>
      <w:lang w:val="en-GB"/>
    </w:rPr>
  </w:style>
  <w:style w:type="paragraph" w:customStyle="1" w:styleId="2Para0">
    <w:name w:val="2Para"/>
    <w:basedOn w:val="Normal"/>
    <w:rsid w:val="00442CB3"/>
    <w:pPr>
      <w:tabs>
        <w:tab w:val="num" w:pos="0"/>
        <w:tab w:val="left" w:pos="1440"/>
      </w:tabs>
      <w:spacing w:before="260" w:after="260"/>
    </w:pPr>
    <w:rPr>
      <w:szCs w:val="22"/>
    </w:rPr>
  </w:style>
  <w:style w:type="paragraph" w:customStyle="1" w:styleId="3Para0">
    <w:name w:val="3Para"/>
    <w:basedOn w:val="Normal"/>
    <w:rsid w:val="00442CB3"/>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442CB3"/>
    <w:pPr>
      <w:tabs>
        <w:tab w:val="num" w:pos="0"/>
        <w:tab w:val="left" w:pos="1440"/>
      </w:tabs>
      <w:spacing w:before="260" w:after="260"/>
    </w:pPr>
    <w:rPr>
      <w:szCs w:val="24"/>
    </w:rPr>
  </w:style>
  <w:style w:type="paragraph" w:customStyle="1" w:styleId="5Para0">
    <w:name w:val="5Para"/>
    <w:basedOn w:val="Normal"/>
    <w:rsid w:val="00442CB3"/>
    <w:pPr>
      <w:tabs>
        <w:tab w:val="num" w:pos="0"/>
        <w:tab w:val="left" w:pos="1440"/>
      </w:tabs>
      <w:spacing w:before="260" w:after="260"/>
    </w:pPr>
    <w:rPr>
      <w:szCs w:val="24"/>
    </w:rPr>
  </w:style>
  <w:style w:type="paragraph" w:customStyle="1" w:styleId="6Para0">
    <w:name w:val="6Para"/>
    <w:basedOn w:val="Normal"/>
    <w:rsid w:val="00442CB3"/>
    <w:pPr>
      <w:tabs>
        <w:tab w:val="num" w:pos="0"/>
        <w:tab w:val="left" w:pos="1440"/>
      </w:tabs>
      <w:spacing w:before="260" w:after="260"/>
    </w:pPr>
    <w:rPr>
      <w:szCs w:val="24"/>
    </w:rPr>
  </w:style>
  <w:style w:type="paragraph" w:customStyle="1" w:styleId="7Para0">
    <w:name w:val="7Para"/>
    <w:basedOn w:val="Normal"/>
    <w:rsid w:val="00442CB3"/>
    <w:pPr>
      <w:tabs>
        <w:tab w:val="num" w:pos="0"/>
        <w:tab w:val="left" w:pos="1440"/>
      </w:tabs>
      <w:spacing w:before="260" w:after="260"/>
    </w:pPr>
    <w:rPr>
      <w:szCs w:val="24"/>
    </w:rPr>
  </w:style>
  <w:style w:type="paragraph" w:customStyle="1" w:styleId="8Para0">
    <w:name w:val="8Para"/>
    <w:basedOn w:val="Normal"/>
    <w:rsid w:val="00442CB3"/>
    <w:pPr>
      <w:tabs>
        <w:tab w:val="num" w:pos="0"/>
        <w:tab w:val="left" w:pos="1440"/>
      </w:tabs>
      <w:spacing w:before="260" w:after="260"/>
    </w:pPr>
    <w:rPr>
      <w:szCs w:val="24"/>
    </w:rPr>
  </w:style>
  <w:style w:type="character" w:styleId="CommentReference">
    <w:name w:val="annotation reference"/>
    <w:basedOn w:val="DefaultParagraphFont"/>
    <w:uiPriority w:val="99"/>
    <w:unhideWhenUsed/>
    <w:rsid w:val="00442CB3"/>
    <w:rPr>
      <w:sz w:val="16"/>
      <w:szCs w:val="16"/>
    </w:rPr>
  </w:style>
  <w:style w:type="paragraph" w:styleId="CommentSubject">
    <w:name w:val="annotation subject"/>
    <w:basedOn w:val="CommentText"/>
    <w:next w:val="CommentText"/>
    <w:link w:val="CommentSubjectChar"/>
    <w:uiPriority w:val="99"/>
    <w:unhideWhenUsed/>
    <w:rsid w:val="00442CB3"/>
    <w:pPr>
      <w:jc w:val="left"/>
    </w:pPr>
    <w:rPr>
      <w:b/>
      <w:bCs/>
      <w:lang w:val="en-GB" w:eastAsia="de-DE"/>
    </w:rPr>
  </w:style>
  <w:style w:type="character" w:customStyle="1" w:styleId="CommentSubjectChar">
    <w:name w:val="Comment Subject Char"/>
    <w:basedOn w:val="CommentTextChar"/>
    <w:link w:val="CommentSubject"/>
    <w:uiPriority w:val="99"/>
    <w:rsid w:val="00442CB3"/>
    <w:rPr>
      <w:b/>
      <w:bCs/>
      <w:lang w:val="en-GB" w:eastAsia="en-US"/>
    </w:rPr>
  </w:style>
  <w:style w:type="paragraph" w:styleId="HTMLPreformatted">
    <w:name w:val="HTML Preformatted"/>
    <w:basedOn w:val="Normal"/>
    <w:link w:val="HTMLPreformattedChar"/>
    <w:uiPriority w:val="99"/>
    <w:unhideWhenUsed/>
    <w:rsid w:val="0044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442CB3"/>
    <w:rPr>
      <w:rFonts w:ascii="Courier New" w:hAnsi="Courier New" w:cs="Courier New"/>
      <w:lang w:val="ru-RU" w:eastAsia="ru-RU"/>
    </w:rPr>
  </w:style>
  <w:style w:type="paragraph" w:styleId="NormalWeb">
    <w:name w:val="Normal (Web)"/>
    <w:basedOn w:val="Normal"/>
    <w:uiPriority w:val="99"/>
    <w:unhideWhenUsed/>
    <w:rsid w:val="00442CB3"/>
    <w:pPr>
      <w:spacing w:before="100" w:beforeAutospacing="1" w:after="100" w:afterAutospacing="1"/>
      <w:jc w:val="left"/>
    </w:pPr>
    <w:rPr>
      <w:sz w:val="24"/>
      <w:szCs w:val="24"/>
      <w:lang w:val="de-DE" w:eastAsia="de-DE"/>
    </w:rPr>
  </w:style>
  <w:style w:type="paragraph" w:styleId="EndnoteText">
    <w:name w:val="endnote text"/>
    <w:basedOn w:val="Normal"/>
    <w:link w:val="EndnoteTextChar"/>
    <w:uiPriority w:val="99"/>
    <w:unhideWhenUsed/>
    <w:rsid w:val="00442CB3"/>
    <w:pPr>
      <w:jc w:val="left"/>
    </w:pPr>
    <w:rPr>
      <w:sz w:val="20"/>
      <w:lang w:eastAsia="de-DE"/>
    </w:rPr>
  </w:style>
  <w:style w:type="character" w:customStyle="1" w:styleId="EndnoteTextChar">
    <w:name w:val="Endnote Text Char"/>
    <w:basedOn w:val="DefaultParagraphFont"/>
    <w:link w:val="EndnoteText"/>
    <w:uiPriority w:val="99"/>
    <w:rsid w:val="00442CB3"/>
    <w:rPr>
      <w:lang w:val="en-GB"/>
    </w:rPr>
  </w:style>
  <w:style w:type="character" w:styleId="EndnoteReference">
    <w:name w:val="endnote reference"/>
    <w:basedOn w:val="DefaultParagraphFont"/>
    <w:uiPriority w:val="99"/>
    <w:unhideWhenUsed/>
    <w:rsid w:val="00442CB3"/>
    <w:rPr>
      <w:vertAlign w:val="superscript"/>
    </w:rPr>
  </w:style>
  <w:style w:type="table" w:customStyle="1" w:styleId="TableNormal1">
    <w:name w:val="Table Normal1"/>
    <w:uiPriority w:val="2"/>
    <w:semiHidden/>
    <w:unhideWhenUsed/>
    <w:qFormat/>
    <w:rsid w:val="00442C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2CB3"/>
    <w:pPr>
      <w:widowControl w:val="0"/>
      <w:autoSpaceDE w:val="0"/>
      <w:autoSpaceDN w:val="0"/>
      <w:spacing w:line="250" w:lineRule="exact"/>
      <w:ind w:left="23"/>
      <w:jc w:val="center"/>
    </w:pPr>
    <w:rPr>
      <w:szCs w:val="22"/>
      <w:lang w:val="en-US"/>
    </w:rPr>
  </w:style>
  <w:style w:type="table" w:styleId="TableGrid">
    <w:name w:val="Table Grid"/>
    <w:basedOn w:val="TableNormal"/>
    <w:rsid w:val="00442CB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42C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442CB3"/>
    <w:pPr>
      <w:autoSpaceDE w:val="0"/>
      <w:autoSpaceDN w:val="0"/>
      <w:adjustRightInd w:val="0"/>
    </w:pPr>
    <w:rPr>
      <w:color w:val="000000"/>
      <w:sz w:val="24"/>
      <w:szCs w:val="24"/>
      <w:lang w:eastAsia="fr-CA"/>
    </w:rPr>
  </w:style>
  <w:style w:type="paragraph" w:customStyle="1" w:styleId="ICAOnatWPlevel1">
    <w:name w:val="ICAOnatWPlevel1"/>
    <w:basedOn w:val="Normal"/>
    <w:qFormat/>
    <w:rsid w:val="00442CB3"/>
    <w:pPr>
      <w:numPr>
        <w:numId w:val="10"/>
      </w:numPr>
      <w:tabs>
        <w:tab w:val="left" w:pos="709"/>
        <w:tab w:val="left" w:pos="2410"/>
      </w:tabs>
      <w:spacing w:after="120"/>
      <w:jc w:val="left"/>
    </w:pPr>
    <w:rPr>
      <w:rFonts w:eastAsia="Calibri"/>
      <w:b/>
      <w:szCs w:val="22"/>
      <w:lang w:val="en-US"/>
    </w:rPr>
  </w:style>
  <w:style w:type="paragraph" w:customStyle="1" w:styleId="ICAOnatWPlevel2">
    <w:name w:val="ICAOnatWPlevel2"/>
    <w:basedOn w:val="Normal"/>
    <w:link w:val="ICAOnatWPlevel2Char"/>
    <w:qFormat/>
    <w:rsid w:val="00442CB3"/>
    <w:pPr>
      <w:numPr>
        <w:ilvl w:val="1"/>
        <w:numId w:val="10"/>
      </w:numPr>
      <w:tabs>
        <w:tab w:val="left" w:pos="1418"/>
      </w:tabs>
      <w:spacing w:after="240"/>
      <w:ind w:left="0" w:firstLine="0"/>
    </w:pPr>
    <w:rPr>
      <w:rFonts w:eastAsia="Calibri"/>
      <w:szCs w:val="22"/>
      <w:lang w:val="en-US"/>
    </w:rPr>
  </w:style>
  <w:style w:type="character" w:customStyle="1" w:styleId="ICAOnatWPlevel2Char">
    <w:name w:val="ICAOnatWPlevel2 Char"/>
    <w:link w:val="ICAOnatWPlevel2"/>
    <w:rsid w:val="00442CB3"/>
    <w:rPr>
      <w:rFonts w:eastAsia="Calibri"/>
      <w:sz w:val="22"/>
      <w:szCs w:val="22"/>
      <w:lang w:val="en-US" w:eastAsia="en-US"/>
    </w:rPr>
  </w:style>
  <w:style w:type="paragraph" w:customStyle="1" w:styleId="IcaoListabc">
    <w:name w:val="Icao List abc"/>
    <w:basedOn w:val="Normal"/>
    <w:link w:val="IcaoListabcChar"/>
    <w:rsid w:val="00442CB3"/>
    <w:pPr>
      <w:numPr>
        <w:numId w:val="11"/>
      </w:numPr>
      <w:autoSpaceDE w:val="0"/>
      <w:autoSpaceDN w:val="0"/>
      <w:adjustRightInd w:val="0"/>
      <w:spacing w:after="120"/>
      <w:jc w:val="left"/>
    </w:pPr>
    <w:rPr>
      <w:szCs w:val="22"/>
    </w:rPr>
  </w:style>
  <w:style w:type="character" w:customStyle="1" w:styleId="IcaoListabcChar">
    <w:name w:val="Icao List abc Char"/>
    <w:link w:val="IcaoListabc"/>
    <w:rsid w:val="00442CB3"/>
    <w:rPr>
      <w:sz w:val="22"/>
      <w:szCs w:val="22"/>
      <w:lang w:val="en-GB" w:eastAsia="en-US"/>
    </w:rPr>
  </w:style>
  <w:style w:type="character" w:styleId="Strong">
    <w:name w:val="Strong"/>
    <w:basedOn w:val="DefaultParagraphFont"/>
    <w:uiPriority w:val="22"/>
    <w:qFormat/>
    <w:rsid w:val="00442CB3"/>
    <w:rPr>
      <w:b/>
      <w:bCs/>
    </w:rPr>
  </w:style>
  <w:style w:type="character" w:styleId="Emphasis">
    <w:name w:val="Emphasis"/>
    <w:basedOn w:val="DefaultParagraphFont"/>
    <w:uiPriority w:val="20"/>
    <w:qFormat/>
    <w:rsid w:val="00442CB3"/>
    <w:rPr>
      <w:i/>
      <w:iCs/>
    </w:rPr>
  </w:style>
  <w:style w:type="paragraph" w:customStyle="1" w:styleId="SWGreportblock6a">
    <w:name w:val="SWG report block 6a)"/>
    <w:basedOn w:val="Normal"/>
    <w:link w:val="SWGreportblock6aZchn"/>
    <w:qFormat/>
    <w:rsid w:val="00442CB3"/>
    <w:pPr>
      <w:numPr>
        <w:numId w:val="12"/>
      </w:numPr>
      <w:spacing w:before="120" w:after="120"/>
      <w:jc w:val="left"/>
    </w:pPr>
    <w:rPr>
      <w:szCs w:val="24"/>
      <w:lang w:eastAsia="de-DE"/>
    </w:rPr>
  </w:style>
  <w:style w:type="paragraph" w:customStyle="1" w:styleId="SWGreportblock6b">
    <w:name w:val="SWG report block 6b"/>
    <w:basedOn w:val="SWGreportblock6a"/>
    <w:link w:val="SWGreportblock6bZchn"/>
    <w:qFormat/>
    <w:rsid w:val="00442CB3"/>
    <w:pPr>
      <w:numPr>
        <w:numId w:val="13"/>
      </w:numPr>
    </w:pPr>
  </w:style>
  <w:style w:type="character" w:customStyle="1" w:styleId="SWGreportblock6aZchn">
    <w:name w:val="SWG report block 6a) Zchn"/>
    <w:basedOn w:val="DefaultParagraphFont"/>
    <w:link w:val="SWGreportblock6a"/>
    <w:rsid w:val="00442CB3"/>
    <w:rPr>
      <w:sz w:val="22"/>
      <w:szCs w:val="24"/>
      <w:lang w:val="en-GB"/>
    </w:rPr>
  </w:style>
  <w:style w:type="paragraph" w:customStyle="1" w:styleId="SWGreportblock6c">
    <w:name w:val="SWG report block 6c"/>
    <w:basedOn w:val="SWGreportblock6b"/>
    <w:link w:val="SWGreportblock6cZchn"/>
    <w:qFormat/>
    <w:rsid w:val="00442CB3"/>
    <w:pPr>
      <w:numPr>
        <w:numId w:val="14"/>
      </w:numPr>
      <w:ind w:left="357" w:hanging="357"/>
    </w:pPr>
    <w:rPr>
      <w:lang w:val="en-US"/>
    </w:rPr>
  </w:style>
  <w:style w:type="character" w:customStyle="1" w:styleId="SWGreportblock6bZchn">
    <w:name w:val="SWG report block 6b Zchn"/>
    <w:basedOn w:val="SWGreportblock6aZchn"/>
    <w:link w:val="SWGreportblock6b"/>
    <w:rsid w:val="00442CB3"/>
    <w:rPr>
      <w:sz w:val="22"/>
      <w:szCs w:val="24"/>
      <w:lang w:val="en-GB"/>
    </w:rPr>
  </w:style>
  <w:style w:type="paragraph" w:customStyle="1" w:styleId="SWGreportblock6d0">
    <w:name w:val="SWG report block 6d"/>
    <w:basedOn w:val="SWGreportblock6c"/>
    <w:link w:val="SWGreportblock6dZchn"/>
    <w:qFormat/>
    <w:rsid w:val="00442CB3"/>
    <w:pPr>
      <w:numPr>
        <w:numId w:val="0"/>
      </w:numPr>
      <w:ind w:left="357" w:hanging="357"/>
    </w:pPr>
  </w:style>
  <w:style w:type="character" w:customStyle="1" w:styleId="SWGreportblock6cZchn">
    <w:name w:val="SWG report block 6c Zchn"/>
    <w:basedOn w:val="SWGreportblock6bZchn"/>
    <w:link w:val="SWGreportblock6c"/>
    <w:rsid w:val="00442CB3"/>
    <w:rPr>
      <w:sz w:val="22"/>
      <w:szCs w:val="24"/>
      <w:lang w:val="en-US"/>
    </w:rPr>
  </w:style>
  <w:style w:type="paragraph" w:customStyle="1" w:styleId="SWGreportblock6d">
    <w:name w:val="SWG report block 6d)"/>
    <w:basedOn w:val="SWGreportblock6b"/>
    <w:link w:val="SWGreportblock6dZchn0"/>
    <w:qFormat/>
    <w:rsid w:val="00442CB3"/>
    <w:pPr>
      <w:numPr>
        <w:numId w:val="15"/>
      </w:numPr>
    </w:pPr>
  </w:style>
  <w:style w:type="character" w:customStyle="1" w:styleId="SWGreportblock6dZchn">
    <w:name w:val="SWG report block 6d Zchn"/>
    <w:basedOn w:val="SWGreportblock6cZchn"/>
    <w:link w:val="SWGreportblock6d0"/>
    <w:rsid w:val="00442CB3"/>
    <w:rPr>
      <w:sz w:val="22"/>
      <w:szCs w:val="24"/>
      <w:lang w:val="en-US"/>
    </w:rPr>
  </w:style>
  <w:style w:type="paragraph" w:customStyle="1" w:styleId="SWGreportblock6e">
    <w:name w:val="SWG report block 6e"/>
    <w:basedOn w:val="SWGreportblock6d"/>
    <w:link w:val="SWGreportblock6eZchn"/>
    <w:qFormat/>
    <w:rsid w:val="00442CB3"/>
    <w:pPr>
      <w:numPr>
        <w:numId w:val="16"/>
      </w:numPr>
    </w:pPr>
  </w:style>
  <w:style w:type="character" w:customStyle="1" w:styleId="SWGreportblock6dZchn0">
    <w:name w:val="SWG report block 6d) Zchn"/>
    <w:basedOn w:val="SWGreportblock6bZchn"/>
    <w:link w:val="SWGreportblock6d"/>
    <w:rsid w:val="00442CB3"/>
    <w:rPr>
      <w:sz w:val="22"/>
      <w:szCs w:val="24"/>
      <w:lang w:val="en-GB"/>
    </w:rPr>
  </w:style>
  <w:style w:type="paragraph" w:customStyle="1" w:styleId="SWGreportblock6f">
    <w:name w:val="SWG report block 6f)"/>
    <w:basedOn w:val="SWGreportblock6e"/>
    <w:link w:val="SWGreportblock6fZchn"/>
    <w:qFormat/>
    <w:rsid w:val="00442CB3"/>
    <w:pPr>
      <w:numPr>
        <w:numId w:val="17"/>
      </w:numPr>
      <w:ind w:left="357" w:hanging="357"/>
    </w:pPr>
  </w:style>
  <w:style w:type="character" w:customStyle="1" w:styleId="SWGreportblock6eZchn">
    <w:name w:val="SWG report block 6e Zchn"/>
    <w:basedOn w:val="SWGreportblock6dZchn0"/>
    <w:link w:val="SWGreportblock6e"/>
    <w:rsid w:val="00442CB3"/>
    <w:rPr>
      <w:sz w:val="22"/>
      <w:szCs w:val="24"/>
      <w:lang w:val="en-GB"/>
    </w:rPr>
  </w:style>
  <w:style w:type="character" w:customStyle="1" w:styleId="SWGreportblock6fZchn">
    <w:name w:val="SWG report block 6f) Zchn"/>
    <w:basedOn w:val="SWGreportblock6eZchn"/>
    <w:link w:val="SWGreportblock6f"/>
    <w:rsid w:val="00442CB3"/>
    <w:rPr>
      <w:sz w:val="22"/>
      <w:szCs w:val="24"/>
      <w:lang w:val="en-GB"/>
    </w:rPr>
  </w:style>
  <w:style w:type="paragraph" w:customStyle="1" w:styleId="SWGreportblockXX">
    <w:name w:val="SWG report block XX"/>
    <w:basedOn w:val="SWGreportblock6b"/>
    <w:link w:val="SWGreportblockXXZchn"/>
    <w:qFormat/>
    <w:rsid w:val="000C4303"/>
    <w:pPr>
      <w:numPr>
        <w:numId w:val="0"/>
      </w:numPr>
      <w:ind w:left="360" w:hanging="360"/>
    </w:pPr>
  </w:style>
  <w:style w:type="character" w:customStyle="1" w:styleId="SWGreportblockXXZchn">
    <w:name w:val="SWG report block XX Zchn"/>
    <w:basedOn w:val="SWGreportblock6bZchn"/>
    <w:link w:val="SWGreportblockXX"/>
    <w:rsid w:val="000C4303"/>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24385669">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elix.Butsch@dfs.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E3A4D-34FF-4DBE-B04D-D4050E86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1681ED-62B3-486B-A7E7-630B2CBB7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C23A4-38F9-4C4D-B14B-C3822F9A4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9939</Words>
  <Characters>56657</Characters>
  <Application>Microsoft Office Word</Application>
  <DocSecurity>0</DocSecurity>
  <Lines>472</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66464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7</cp:revision>
  <cp:lastPrinted>2005-03-16T12:26:00Z</cp:lastPrinted>
  <dcterms:created xsi:type="dcterms:W3CDTF">2020-03-02T13:30:00Z</dcterms:created>
  <dcterms:modified xsi:type="dcterms:W3CDTF">2020-07-01T19:45:00Z</dcterms:modified>
</cp:coreProperties>
</file>