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0069D4">
        <w:trPr>
          <w:cantSplit/>
        </w:trPr>
        <w:tc>
          <w:tcPr>
            <w:tcW w:w="6580" w:type="dxa"/>
            <w:vAlign w:val="center"/>
          </w:tcPr>
          <w:p w:rsidR="000069D4" w:rsidRPr="00D8032B" w:rsidRDefault="000069D4"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0069D4" w:rsidRDefault="000F6751" w:rsidP="000F6751">
            <w:pPr>
              <w:shd w:val="solid" w:color="FFFFFF" w:fill="FFFFFF"/>
              <w:spacing w:before="0" w:line="240" w:lineRule="atLeast"/>
              <w:jc w:val="right"/>
            </w:pPr>
            <w:bookmarkStart w:id="0" w:name="ditulogo"/>
            <w:bookmarkEnd w:id="0"/>
            <w:r w:rsidRPr="002F7CB3">
              <w:rPr>
                <w:noProof/>
                <w:lang w:val="en-US"/>
              </w:rPr>
              <w:drawing>
                <wp:inline distT="0" distB="0" distL="0" distR="0" wp14:anchorId="09E93243" wp14:editId="5239EA36">
                  <wp:extent cx="1247775" cy="935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0069D4" w:rsidRPr="0051782D">
        <w:trPr>
          <w:cantSplit/>
        </w:trPr>
        <w:tc>
          <w:tcPr>
            <w:tcW w:w="6580" w:type="dxa"/>
            <w:tcBorders>
              <w:bottom w:val="single" w:sz="12" w:space="0" w:color="auto"/>
            </w:tcBorders>
          </w:tcPr>
          <w:p w:rsidR="000069D4" w:rsidRPr="00163271" w:rsidRDefault="005B7C63" w:rsidP="00A5173C">
            <w:pPr>
              <w:shd w:val="solid" w:color="FFFFFF" w:fill="FFFFFF"/>
              <w:spacing w:before="0" w:after="48"/>
              <w:rPr>
                <w:rFonts w:ascii="Verdana" w:hAnsi="Verdana" w:cs="Times New Roman Bold"/>
                <w:b/>
                <w:sz w:val="22"/>
                <w:szCs w:val="22"/>
              </w:rPr>
            </w:pPr>
            <w:r w:rsidRPr="00814E0A">
              <w:rPr>
                <w:rFonts w:ascii="Verdana" w:hAnsi="Verdana" w:cs="Times New Roman Bold"/>
                <w:b/>
                <w:sz w:val="20"/>
              </w:rPr>
              <w:t>INTERNATIONAL TELECOMMUNICATION UNION</w:t>
            </w:r>
            <w:r>
              <w:rPr>
                <w:rFonts w:ascii="Verdana" w:hAnsi="Verdana" w:cs="Times New Roman Bold"/>
                <w:b/>
                <w:sz w:val="20"/>
              </w:rPr>
              <w:br/>
            </w:r>
            <w:r w:rsidRPr="00325F3B">
              <w:rPr>
                <w:rFonts w:ascii="Verdana" w:hAnsi="Verdana" w:cs="Times New Roman Bold"/>
                <w:b/>
                <w:sz w:val="20"/>
              </w:rPr>
              <w:t>Meetings of Working Parties 5A, 5B and 5C</w:t>
            </w:r>
            <w:r w:rsidRPr="00325F3B">
              <w:rPr>
                <w:rFonts w:ascii="Verdana" w:hAnsi="Verdana" w:cs="Times New Roman Bold"/>
                <w:b/>
                <w:sz w:val="20"/>
              </w:rPr>
              <w:br/>
              <w:t>Bucharest, Romania, 6-17 July 2015</w:t>
            </w:r>
          </w:p>
        </w:tc>
        <w:tc>
          <w:tcPr>
            <w:tcW w:w="3451"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trPr>
          <w:cantSplit/>
        </w:trPr>
        <w:tc>
          <w:tcPr>
            <w:tcW w:w="6580"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trPr>
          <w:cantSplit/>
        </w:trPr>
        <w:tc>
          <w:tcPr>
            <w:tcW w:w="6580" w:type="dxa"/>
            <w:vMerge w:val="restart"/>
          </w:tcPr>
          <w:p w:rsidR="000F6751" w:rsidRPr="00982084" w:rsidRDefault="000F6751" w:rsidP="000F6751">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p>
        </w:tc>
        <w:tc>
          <w:tcPr>
            <w:tcW w:w="3451" w:type="dxa"/>
          </w:tcPr>
          <w:p w:rsidR="000069D4" w:rsidRPr="000F6751" w:rsidRDefault="000F6751"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r w:rsidR="00E726A6">
              <w:rPr>
                <w:rFonts w:ascii="Verdana" w:hAnsi="Verdana"/>
                <w:b/>
                <w:sz w:val="20"/>
                <w:lang w:eastAsia="zh-CN"/>
              </w:rPr>
              <w:t>5B/TEMP/399</w:t>
            </w:r>
            <w:r>
              <w:rPr>
                <w:rFonts w:ascii="Verdana" w:hAnsi="Verdana"/>
                <w:b/>
                <w:sz w:val="20"/>
                <w:lang w:eastAsia="zh-CN"/>
              </w:rPr>
              <w:t>-E</w:t>
            </w:r>
          </w:p>
        </w:tc>
      </w:tr>
      <w:tr w:rsidR="000069D4">
        <w:trPr>
          <w:cantSplit/>
        </w:trPr>
        <w:tc>
          <w:tcPr>
            <w:tcW w:w="6580" w:type="dxa"/>
            <w:vMerge/>
          </w:tcPr>
          <w:p w:rsidR="000069D4" w:rsidRDefault="000069D4" w:rsidP="00A5173C">
            <w:pPr>
              <w:spacing w:before="60"/>
              <w:jc w:val="center"/>
              <w:rPr>
                <w:b/>
                <w:smallCaps/>
                <w:sz w:val="32"/>
                <w:lang w:eastAsia="zh-CN"/>
              </w:rPr>
            </w:pPr>
            <w:bookmarkStart w:id="3" w:name="ddate" w:colFirst="1" w:colLast="1"/>
            <w:bookmarkEnd w:id="2"/>
          </w:p>
        </w:tc>
        <w:tc>
          <w:tcPr>
            <w:tcW w:w="3451" w:type="dxa"/>
          </w:tcPr>
          <w:p w:rsidR="000069D4" w:rsidRPr="000F6751" w:rsidRDefault="00E726A6" w:rsidP="00A5173C">
            <w:pPr>
              <w:shd w:val="solid" w:color="FFFFFF" w:fill="FFFFFF"/>
              <w:spacing w:before="0" w:line="240" w:lineRule="atLeast"/>
              <w:rPr>
                <w:rFonts w:ascii="Verdana" w:hAnsi="Verdana"/>
                <w:sz w:val="20"/>
                <w:lang w:eastAsia="zh-CN"/>
              </w:rPr>
            </w:pPr>
            <w:r>
              <w:rPr>
                <w:rFonts w:ascii="Verdana" w:hAnsi="Verdana"/>
                <w:b/>
                <w:sz w:val="20"/>
                <w:lang w:eastAsia="zh-CN"/>
              </w:rPr>
              <w:t>10</w:t>
            </w:r>
            <w:r w:rsidR="00F17DEC">
              <w:rPr>
                <w:rFonts w:ascii="Verdana" w:hAnsi="Verdana"/>
                <w:b/>
                <w:sz w:val="20"/>
                <w:lang w:eastAsia="zh-CN"/>
              </w:rPr>
              <w:t xml:space="preserve"> July</w:t>
            </w:r>
            <w:r w:rsidR="000F6751">
              <w:rPr>
                <w:rFonts w:ascii="Verdana" w:hAnsi="Verdana"/>
                <w:b/>
                <w:sz w:val="20"/>
                <w:lang w:eastAsia="zh-CN"/>
              </w:rPr>
              <w:t xml:space="preserve"> 2015</w:t>
            </w:r>
          </w:p>
        </w:tc>
      </w:tr>
      <w:tr w:rsidR="000069D4">
        <w:trPr>
          <w:cantSplit/>
        </w:trPr>
        <w:tc>
          <w:tcPr>
            <w:tcW w:w="6580" w:type="dxa"/>
            <w:vMerge/>
          </w:tcPr>
          <w:p w:rsidR="000069D4" w:rsidRDefault="000069D4" w:rsidP="00A5173C">
            <w:pPr>
              <w:spacing w:before="60"/>
              <w:jc w:val="center"/>
              <w:rPr>
                <w:b/>
                <w:smallCaps/>
                <w:sz w:val="32"/>
                <w:lang w:eastAsia="zh-CN"/>
              </w:rPr>
            </w:pPr>
            <w:bookmarkStart w:id="4" w:name="dorlang" w:colFirst="1" w:colLast="1"/>
            <w:bookmarkEnd w:id="3"/>
          </w:p>
        </w:tc>
        <w:tc>
          <w:tcPr>
            <w:tcW w:w="3451" w:type="dxa"/>
          </w:tcPr>
          <w:p w:rsidR="000069D4" w:rsidRPr="000F6751" w:rsidRDefault="000F6751"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trPr>
          <w:cantSplit/>
        </w:trPr>
        <w:tc>
          <w:tcPr>
            <w:tcW w:w="10031" w:type="dxa"/>
            <w:gridSpan w:val="2"/>
          </w:tcPr>
          <w:p w:rsidR="000069D4" w:rsidRDefault="00E726A6" w:rsidP="000F6751">
            <w:pPr>
              <w:pStyle w:val="Source"/>
              <w:rPr>
                <w:lang w:eastAsia="zh-CN"/>
              </w:rPr>
            </w:pPr>
            <w:bookmarkStart w:id="5" w:name="dsource" w:colFirst="0" w:colLast="0"/>
            <w:bookmarkEnd w:id="4"/>
            <w:r>
              <w:rPr>
                <w:lang w:eastAsia="zh-CN"/>
              </w:rPr>
              <w:t>Working Party 5B</w:t>
            </w:r>
          </w:p>
        </w:tc>
      </w:tr>
      <w:tr w:rsidR="000069D4">
        <w:trPr>
          <w:cantSplit/>
        </w:trPr>
        <w:tc>
          <w:tcPr>
            <w:tcW w:w="10031" w:type="dxa"/>
            <w:gridSpan w:val="2"/>
          </w:tcPr>
          <w:p w:rsidR="000069D4" w:rsidRDefault="00E726A6" w:rsidP="00A5173C">
            <w:pPr>
              <w:pStyle w:val="Title1"/>
              <w:rPr>
                <w:lang w:eastAsia="zh-CN"/>
              </w:rPr>
            </w:pPr>
            <w:bookmarkStart w:id="6" w:name="drec" w:colFirst="0" w:colLast="0"/>
            <w:bookmarkEnd w:id="5"/>
            <w:r>
              <w:rPr>
                <w:lang w:val="en-US"/>
              </w:rPr>
              <w:t>Reply Liaison statement to</w:t>
            </w:r>
            <w:r w:rsidRPr="00600E66">
              <w:rPr>
                <w:lang w:val="en-US"/>
              </w:rPr>
              <w:t xml:space="preserve"> ITU-T Study Groups </w:t>
            </w:r>
            <w:r>
              <w:rPr>
                <w:lang w:val="en-US"/>
              </w:rPr>
              <w:t>5, 9 &amp;</w:t>
            </w:r>
            <w:r w:rsidRPr="00600E66">
              <w:rPr>
                <w:lang w:val="en-US"/>
              </w:rPr>
              <w:t xml:space="preserve"> </w:t>
            </w:r>
            <w:r>
              <w:rPr>
                <w:lang w:val="en-US"/>
              </w:rPr>
              <w:t>1</w:t>
            </w:r>
            <w:r w:rsidRPr="00600E66">
              <w:rPr>
                <w:lang w:val="en-US"/>
              </w:rPr>
              <w:t>5</w:t>
            </w:r>
            <w:r>
              <w:rPr>
                <w:lang w:val="en-US"/>
              </w:rPr>
              <w:t xml:space="preserve">, </w:t>
            </w:r>
            <w:r>
              <w:rPr>
                <w:lang w:val="en-US"/>
              </w:rPr>
              <w:br/>
              <w:t xml:space="preserve">and ITU-R Working Party 1A </w:t>
            </w:r>
            <w:r>
              <w:rPr>
                <w:lang w:val="en-US"/>
              </w:rPr>
              <w:br/>
            </w:r>
            <w:r w:rsidRPr="00600E66">
              <w:rPr>
                <w:lang w:val="en-US"/>
              </w:rPr>
              <w:t>(</w:t>
            </w:r>
            <w:r w:rsidRPr="004C627D">
              <w:rPr>
                <w:lang w:val="en-US"/>
              </w:rPr>
              <w:t xml:space="preserve">Copy FOR INFORMATION to </w:t>
            </w:r>
            <w:r w:rsidRPr="00F232A1">
              <w:rPr>
                <w:lang w:val="en-US"/>
              </w:rPr>
              <w:t xml:space="preserve">ITU-R </w:t>
            </w:r>
            <w:r w:rsidRPr="00F232A1">
              <w:rPr>
                <w:rFonts w:eastAsia="SimSun"/>
                <w:lang w:val="en-US" w:eastAsia="zh-CN"/>
              </w:rPr>
              <w:t>Working Party</w:t>
            </w:r>
            <w:r>
              <w:rPr>
                <w:rFonts w:eastAsia="SimSun"/>
                <w:lang w:eastAsia="zh-CN"/>
              </w:rPr>
              <w:t xml:space="preserve"> </w:t>
            </w:r>
            <w:r w:rsidRPr="00A56B1B">
              <w:rPr>
                <w:rFonts w:eastAsia="SimSun"/>
                <w:lang w:eastAsia="zh-CN"/>
              </w:rPr>
              <w:t>3M</w:t>
            </w:r>
            <w:r>
              <w:rPr>
                <w:rFonts w:eastAsia="SimSun"/>
                <w:lang w:eastAsia="zh-CN"/>
              </w:rPr>
              <w:t>, AND ICAO)</w:t>
            </w:r>
          </w:p>
        </w:tc>
      </w:tr>
      <w:tr w:rsidR="000069D4">
        <w:trPr>
          <w:cantSplit/>
        </w:trPr>
        <w:tc>
          <w:tcPr>
            <w:tcW w:w="10031" w:type="dxa"/>
            <w:gridSpan w:val="2"/>
          </w:tcPr>
          <w:p w:rsidR="000069D4" w:rsidRDefault="00E726A6" w:rsidP="00E726A6">
            <w:pPr>
              <w:pStyle w:val="Title4"/>
              <w:rPr>
                <w:lang w:eastAsia="zh-CN"/>
              </w:rPr>
            </w:pPr>
            <w:bookmarkStart w:id="7" w:name="dtitle1" w:colFirst="0" w:colLast="0"/>
            <w:bookmarkEnd w:id="6"/>
            <w:r>
              <w:rPr>
                <w:lang w:eastAsia="zh-CN"/>
              </w:rPr>
              <w:t xml:space="preserve">Evaluating the leakage and impact of </w:t>
            </w:r>
            <w:r w:rsidRPr="009A4EAD">
              <w:rPr>
                <w:lang w:eastAsia="zh-CN"/>
              </w:rPr>
              <w:t xml:space="preserve">radio frequency noise </w:t>
            </w:r>
            <w:r>
              <w:rPr>
                <w:lang w:eastAsia="zh-CN"/>
              </w:rPr>
              <w:t>from telecommunication systems using metallic conductors</w:t>
            </w:r>
          </w:p>
        </w:tc>
      </w:tr>
    </w:tbl>
    <w:p w:rsidR="000F6751" w:rsidRPr="00E726A6" w:rsidRDefault="000F6751" w:rsidP="000F6751">
      <w:pPr>
        <w:pStyle w:val="Normalaftertitle"/>
        <w:rPr>
          <w:lang w:val="en-US" w:eastAsia="zh-CN"/>
        </w:rPr>
      </w:pPr>
      <w:bookmarkStart w:id="8" w:name="dbreak"/>
      <w:bookmarkEnd w:id="7"/>
      <w:bookmarkEnd w:id="8"/>
    </w:p>
    <w:p w:rsidR="00E726A6" w:rsidRPr="00E726A6" w:rsidRDefault="00E726A6" w:rsidP="00E726A6">
      <w:pPr>
        <w:pStyle w:val="Headingb"/>
        <w:rPr>
          <w:lang w:val="en-US"/>
        </w:rPr>
      </w:pPr>
      <w:r w:rsidRPr="00E726A6">
        <w:rPr>
          <w:lang w:val="en-US"/>
        </w:rPr>
        <w:t>Introduction</w:t>
      </w:r>
    </w:p>
    <w:p w:rsidR="00E726A6" w:rsidRPr="004B74AA" w:rsidRDefault="00E726A6" w:rsidP="00E726A6">
      <w:r w:rsidRPr="004B74AA">
        <w:t xml:space="preserve">ITU-R Working Party 5B (WP 5B) thanks the different ITU-T Study Groups and ITU-R Working Parties for their liaison statements regarding the coexistence of various new wired telecommunication standards and wireless radiocommunication services in Documents </w:t>
      </w:r>
      <w:hyperlink r:id="rId11" w:history="1">
        <w:r w:rsidRPr="004B74AA">
          <w:rPr>
            <w:rStyle w:val="Hyperlink"/>
            <w:bCs/>
            <w:sz w:val="22"/>
            <w:szCs w:val="22"/>
          </w:rPr>
          <w:t>5B/770</w:t>
        </w:r>
      </w:hyperlink>
      <w:r w:rsidRPr="004B74AA">
        <w:rPr>
          <w:rStyle w:val="Hyperlink"/>
          <w:bCs/>
          <w:sz w:val="22"/>
          <w:szCs w:val="22"/>
        </w:rPr>
        <w:t xml:space="preserve">, </w:t>
      </w:r>
      <w:hyperlink r:id="rId12" w:history="1">
        <w:r w:rsidRPr="004B74AA">
          <w:rPr>
            <w:rStyle w:val="Hyperlink"/>
            <w:bCs/>
            <w:sz w:val="22"/>
            <w:szCs w:val="22"/>
          </w:rPr>
          <w:t>5B/771</w:t>
        </w:r>
      </w:hyperlink>
      <w:r>
        <w:rPr>
          <w:rStyle w:val="Hyperlink"/>
          <w:bCs/>
          <w:sz w:val="22"/>
          <w:szCs w:val="22"/>
        </w:rPr>
        <w:t xml:space="preserve">, </w:t>
      </w:r>
      <w:hyperlink r:id="rId13" w:history="1">
        <w:r w:rsidRPr="004B74AA">
          <w:rPr>
            <w:rStyle w:val="Hyperlink"/>
            <w:bCs/>
            <w:sz w:val="22"/>
            <w:szCs w:val="22"/>
          </w:rPr>
          <w:t>5B/768</w:t>
        </w:r>
      </w:hyperlink>
      <w:r w:rsidRPr="004B74AA">
        <w:rPr>
          <w:rStyle w:val="Hyperlink"/>
          <w:bCs/>
          <w:sz w:val="22"/>
          <w:szCs w:val="22"/>
        </w:rPr>
        <w:t xml:space="preserve">, </w:t>
      </w:r>
      <w:hyperlink r:id="rId14" w:history="1">
        <w:r w:rsidRPr="004B74AA">
          <w:rPr>
            <w:rStyle w:val="Hyperlink"/>
            <w:bCs/>
            <w:sz w:val="22"/>
            <w:szCs w:val="22"/>
          </w:rPr>
          <w:t>5B/796</w:t>
        </w:r>
      </w:hyperlink>
      <w:r w:rsidRPr="004B74AA">
        <w:t xml:space="preserve">, </w:t>
      </w:r>
      <w:hyperlink r:id="rId15" w:history="1">
        <w:r w:rsidRPr="004B74AA">
          <w:rPr>
            <w:rStyle w:val="Hyperlink"/>
            <w:bCs/>
            <w:sz w:val="22"/>
            <w:szCs w:val="22"/>
          </w:rPr>
          <w:t>5B/811</w:t>
        </w:r>
      </w:hyperlink>
      <w:r w:rsidRPr="004B74AA">
        <w:t xml:space="preserve">, </w:t>
      </w:r>
      <w:hyperlink r:id="rId16" w:history="1">
        <w:r w:rsidRPr="004B74AA">
          <w:rPr>
            <w:rStyle w:val="Hyperlink"/>
            <w:bCs/>
            <w:sz w:val="22"/>
            <w:szCs w:val="22"/>
          </w:rPr>
          <w:t>5B/812</w:t>
        </w:r>
      </w:hyperlink>
      <w:r w:rsidRPr="004B74AA">
        <w:t xml:space="preserve">, </w:t>
      </w:r>
      <w:r>
        <w:t xml:space="preserve">&amp; </w:t>
      </w:r>
      <w:hyperlink r:id="rId17" w:history="1">
        <w:r w:rsidRPr="004B74AA">
          <w:rPr>
            <w:rStyle w:val="Hyperlink"/>
            <w:bCs/>
            <w:sz w:val="22"/>
            <w:szCs w:val="22"/>
          </w:rPr>
          <w:t>5B/813</w:t>
        </w:r>
      </w:hyperlink>
      <w:r w:rsidRPr="004B74AA">
        <w:t>.  Given the common themes and requests</w:t>
      </w:r>
      <w:r>
        <w:t xml:space="preserve"> between the documents</w:t>
      </w:r>
      <w:r w:rsidRPr="004B74AA">
        <w:t xml:space="preserve">, WP 5B provides this consolidated liaison statement to ensure all involved </w:t>
      </w:r>
      <w:r>
        <w:t>Study Groups and Working P</w:t>
      </w:r>
      <w:r w:rsidRPr="004B74AA">
        <w:t>arties understand the cautious approach that WP 5B applies when dealing with the safety of life radiocommu</w:t>
      </w:r>
      <w:r>
        <w:t>nication</w:t>
      </w:r>
      <w:r w:rsidRPr="004B74AA">
        <w:t xml:space="preserve"> services under its remit.</w:t>
      </w:r>
    </w:p>
    <w:p w:rsidR="00E726A6" w:rsidRDefault="00E726A6" w:rsidP="00E726A6">
      <w:pPr>
        <w:pStyle w:val="Headingb"/>
      </w:pPr>
      <w:r>
        <w:t>Protection of safety services under working party 5B’s responsibility</w:t>
      </w:r>
    </w:p>
    <w:p w:rsidR="00E726A6" w:rsidRDefault="00E726A6" w:rsidP="00E726A6">
      <w:r>
        <w:t>WP 5B thanks the ITU-T Study Groups for their consideration of WP 5B’s concerns about the potential impact of harmful interference to radiocommunication safety services in the aviation, maritime, and radio determination areas.  Through ITU-R Working Party 1A (WP 1A), WP 5B will continue to pass information as required or requested on these subjects, and asks to be kept updated on progress for these issues.  As the responsible working group for radiodetermination, aeronautical and maritime issues in the ITU-R, WP 5B would request that any system which may interact with these services should be brought to WP 5B’s future attention for consideration.</w:t>
      </w:r>
    </w:p>
    <w:p w:rsidR="00E726A6" w:rsidRDefault="00E726A6" w:rsidP="00E726A6">
      <w:pPr>
        <w:pStyle w:val="Headingb"/>
        <w:rPr>
          <w:lang w:val="en-US"/>
        </w:rPr>
        <w:sectPr w:rsidR="00E726A6" w:rsidSect="00E726A6">
          <w:headerReference w:type="default" r:id="rId18"/>
          <w:footerReference w:type="default" r:id="rId19"/>
          <w:footerReference w:type="first" r:id="rId20"/>
          <w:pgSz w:w="12240" w:h="15840"/>
          <w:pgMar w:top="1440" w:right="1440" w:bottom="1440" w:left="1440" w:header="720" w:footer="720" w:gutter="0"/>
          <w:cols w:space="720"/>
          <w:titlePg/>
          <w:docGrid w:linePitch="360"/>
        </w:sectPr>
      </w:pPr>
    </w:p>
    <w:p w:rsidR="00E726A6" w:rsidRPr="00E726A6" w:rsidRDefault="00E726A6" w:rsidP="00E726A6">
      <w:pPr>
        <w:pStyle w:val="Headingb"/>
        <w:rPr>
          <w:lang w:val="en-US"/>
        </w:rPr>
      </w:pPr>
      <w:r w:rsidRPr="00E726A6">
        <w:rPr>
          <w:lang w:val="en-US"/>
        </w:rPr>
        <w:t>Interference examples</w:t>
      </w:r>
    </w:p>
    <w:p w:rsidR="00E726A6" w:rsidRDefault="00E726A6" w:rsidP="00E726A6">
      <w:r>
        <w:t>WP 5B will continue to seek additional examples of interference from unintentional radiators, such as wired telecommunication systems, to radiocommunication services under WP 5B’s purview from its membership.  Any received information will be referred WP 1A’s rapporteur group for coordination with the relevant ITU-T Study Groups.  The examples provided by WP 5B in its previous liaison statement should provide a good indication of the concerns WP 5B has about the potential effects on safety of life radiocommunication services.</w:t>
      </w:r>
    </w:p>
    <w:p w:rsidR="00E726A6" w:rsidRPr="00B52AFA" w:rsidRDefault="00E726A6" w:rsidP="00E726A6">
      <w:pPr>
        <w:pStyle w:val="Headingb"/>
      </w:pPr>
      <w:r>
        <w:t>Propagation modelling of wired telecommunication emissions</w:t>
      </w:r>
    </w:p>
    <w:p w:rsidR="00E726A6" w:rsidRDefault="00E726A6" w:rsidP="00E726A6">
      <w:r>
        <w:t>Working Party 3M’s (WP 3M) comments on appropriate propagation modelling for far field effects of cable emissions are gratefully received by WP 5B.  In applying these to modelling the propagation from wired transmission systems, WP 5B would propose that relevant ITU-T Study Groups use the conservative approach of applying only ITU-R P.525 when planning potential interactions with radiocommunication services carrying safety of life services.  Furthermore, WP 5B would also echo WP 3M’s comments that additional considerations should be made</w:t>
      </w:r>
      <w:r w:rsidRPr="00D45D9B">
        <w:t xml:space="preserve"> </w:t>
      </w:r>
      <w:r>
        <w:t>in addition to a conservative propagation model</w:t>
      </w:r>
      <w:r w:rsidRPr="00D45D9B">
        <w:t xml:space="preserve"> for signals to arrive via multiple or non-direct paths, for example, via diffraction or reflection</w:t>
      </w:r>
      <w:r>
        <w:t>.  WP 5B notes that it is a common practice in ICAO aviation studies to adopt an additional 6 dB safety margin to account for unknown propagation and external effects that cannot be easily quantified.</w:t>
      </w:r>
      <w:r w:rsidRPr="00007751">
        <w:t xml:space="preserve"> </w:t>
      </w:r>
    </w:p>
    <w:p w:rsidR="00E726A6" w:rsidRDefault="00E726A6" w:rsidP="00E726A6">
      <w:r>
        <w:t>Furthermore aggregate effects will also need to be considered, especially for aircraft in flight.  WP 5B notes that airborne aircraft receivers flying above installations may have direct line of sight to more interfering systems than would be expected, or planned for, on the ground.  ICAO studies often uses the ITU-R Recommendation P.528, with conservative time availability percentages, for calculating the relevant path loss from unwanted ground emitters to receivers at altitude.</w:t>
      </w:r>
    </w:p>
    <w:p w:rsidR="00E726A6" w:rsidRDefault="00E726A6" w:rsidP="00E726A6">
      <w:r>
        <w:t xml:space="preserve">In the case of </w:t>
      </w:r>
      <w:r>
        <w:rPr>
          <w:lang w:eastAsia="zh-CN"/>
        </w:rPr>
        <w:t xml:space="preserve">Document </w:t>
      </w:r>
      <w:hyperlink r:id="rId21" w:history="1">
        <w:r w:rsidRPr="00BF7499">
          <w:rPr>
            <w:rStyle w:val="Hyperlink"/>
            <w:lang w:eastAsia="zh-CN"/>
          </w:rPr>
          <w:t>TD555 (GEN/9)</w:t>
        </w:r>
      </w:hyperlink>
      <w:r w:rsidRPr="00C552C8">
        <w:t xml:space="preserve"> from ITU-T Study Group 9</w:t>
      </w:r>
      <w:r>
        <w:t xml:space="preserve"> (SG 9), WP 5B provides more specific comments in Annex A.  </w:t>
      </w:r>
    </w:p>
    <w:p w:rsidR="00E726A6" w:rsidRPr="00E726A6" w:rsidRDefault="00E726A6" w:rsidP="00E726A6">
      <w:pPr>
        <w:pStyle w:val="Headingb"/>
        <w:rPr>
          <w:lang w:val="en-US" w:eastAsia="ja-JP"/>
        </w:rPr>
      </w:pPr>
      <w:r w:rsidRPr="00E726A6">
        <w:rPr>
          <w:lang w:val="en-US" w:eastAsia="ja-JP"/>
        </w:rPr>
        <w:t>Summary</w:t>
      </w:r>
    </w:p>
    <w:p w:rsidR="00E726A6" w:rsidRPr="003C4946" w:rsidRDefault="00E726A6" w:rsidP="00E726A6">
      <w:r>
        <w:rPr>
          <w:lang w:eastAsia="ja-JP"/>
        </w:rPr>
        <w:t>WP</w:t>
      </w:r>
      <w:r>
        <w:t> 5B notes the progress being made with all the above mentioned standards, and especially thanks WP 1A for its coordination efforts between the ITU-R and ITU-T groups.  As discussed, WP 5B still has a few outstanding concerns that it hopes can be easily rectified, and looks forward to future correspondence on these matters at its next meeting (expected May 2016).</w:t>
      </w:r>
    </w:p>
    <w:p w:rsidR="00E726A6" w:rsidRDefault="00E726A6" w:rsidP="00E726A6">
      <w:pPr>
        <w:rPr>
          <w:lang w:eastAsia="ja-JP"/>
        </w:rPr>
      </w:pPr>
    </w:p>
    <w:p w:rsidR="00E726A6" w:rsidRDefault="00E726A6" w:rsidP="00E726A6">
      <w:pPr>
        <w:rPr>
          <w:lang w:eastAsia="ja-JP"/>
        </w:rPr>
      </w:pPr>
    </w:p>
    <w:p w:rsidR="00E726A6" w:rsidRDefault="00E726A6" w:rsidP="00E726A6">
      <w:r>
        <w:rPr>
          <w:b/>
        </w:rPr>
        <w:t>Status</w:t>
      </w:r>
      <w:r w:rsidRPr="00EA3B55">
        <w:rPr>
          <w:b/>
        </w:rPr>
        <w:t>:</w:t>
      </w:r>
      <w:r>
        <w:rPr>
          <w:b/>
        </w:rPr>
        <w:t xml:space="preserve"> </w:t>
      </w:r>
      <w:r>
        <w:rPr>
          <w:b/>
        </w:rPr>
        <w:tab/>
      </w:r>
      <w:r>
        <w:rPr>
          <w:bCs/>
        </w:rPr>
        <w:t>F</w:t>
      </w:r>
      <w:r w:rsidRPr="0079735A">
        <w:rPr>
          <w:bCs/>
        </w:rPr>
        <w:t>or information and action, as appropriate.</w:t>
      </w:r>
    </w:p>
    <w:tbl>
      <w:tblPr>
        <w:tblW w:w="0" w:type="auto"/>
        <w:tblLook w:val="00A0" w:firstRow="1" w:lastRow="0" w:firstColumn="1" w:lastColumn="0" w:noHBand="0" w:noVBand="0"/>
      </w:tblPr>
      <w:tblGrid>
        <w:gridCol w:w="4821"/>
        <w:gridCol w:w="4818"/>
      </w:tblGrid>
      <w:tr w:rsidR="00E726A6" w:rsidRPr="008511A5" w:rsidTr="00DA73DC">
        <w:tc>
          <w:tcPr>
            <w:tcW w:w="4927" w:type="dxa"/>
          </w:tcPr>
          <w:p w:rsidR="00E726A6" w:rsidRPr="00F32A9E" w:rsidRDefault="00E726A6" w:rsidP="00DA73DC">
            <w:pPr>
              <w:spacing w:before="240"/>
              <w:ind w:left="-108"/>
              <w:rPr>
                <w:b/>
                <w:sz w:val="20"/>
                <w:lang w:eastAsia="zh-CN"/>
              </w:rPr>
            </w:pPr>
            <w:r w:rsidRPr="00F32A9E">
              <w:rPr>
                <w:b/>
                <w:sz w:val="20"/>
                <w:lang w:eastAsia="zh-CN"/>
              </w:rPr>
              <w:t>Contact:</w:t>
            </w:r>
            <w:r w:rsidRPr="00F32A9E">
              <w:rPr>
                <w:bCs/>
                <w:sz w:val="20"/>
                <w:lang w:eastAsia="zh-CN"/>
              </w:rPr>
              <w:tab/>
              <w:t xml:space="preserve"> </w:t>
            </w:r>
          </w:p>
        </w:tc>
        <w:tc>
          <w:tcPr>
            <w:tcW w:w="4928" w:type="dxa"/>
          </w:tcPr>
          <w:p w:rsidR="00E726A6" w:rsidRPr="00F32A9E" w:rsidRDefault="00E726A6" w:rsidP="00DA73DC">
            <w:pPr>
              <w:spacing w:before="240"/>
              <w:rPr>
                <w:b/>
                <w:sz w:val="20"/>
                <w:lang w:val="es-ES_tradnl" w:eastAsia="zh-CN"/>
              </w:rPr>
            </w:pPr>
            <w:r w:rsidRPr="00F32A9E">
              <w:rPr>
                <w:b/>
                <w:bCs/>
                <w:sz w:val="20"/>
                <w:lang w:val="es-ES_tradnl" w:eastAsia="zh-CN"/>
              </w:rPr>
              <w:t>E-mail:</w:t>
            </w:r>
            <w:r w:rsidRPr="00F32A9E">
              <w:rPr>
                <w:sz w:val="20"/>
                <w:lang w:val="es-ES_tradnl" w:eastAsia="zh-CN"/>
              </w:rPr>
              <w:t xml:space="preserve"> </w:t>
            </w:r>
          </w:p>
        </w:tc>
      </w:tr>
      <w:tr w:rsidR="00E726A6" w:rsidRPr="008511A5" w:rsidTr="00DA73DC">
        <w:tc>
          <w:tcPr>
            <w:tcW w:w="9855" w:type="dxa"/>
            <w:gridSpan w:val="2"/>
          </w:tcPr>
          <w:p w:rsidR="00E726A6" w:rsidRPr="00F32A9E" w:rsidRDefault="00E726A6" w:rsidP="00DA73DC">
            <w:pPr>
              <w:rPr>
                <w:b/>
                <w:bCs/>
                <w:sz w:val="20"/>
                <w:lang w:eastAsia="zh-CN"/>
              </w:rPr>
            </w:pPr>
          </w:p>
        </w:tc>
      </w:tr>
    </w:tbl>
    <w:p w:rsidR="00E726A6" w:rsidRDefault="00E726A6" w:rsidP="00E726A6"/>
    <w:p w:rsidR="00E726A6" w:rsidRDefault="00E726A6">
      <w:pPr>
        <w:tabs>
          <w:tab w:val="clear" w:pos="1134"/>
          <w:tab w:val="clear" w:pos="1871"/>
          <w:tab w:val="clear" w:pos="2268"/>
        </w:tabs>
        <w:overflowPunct/>
        <w:autoSpaceDE/>
        <w:autoSpaceDN/>
        <w:adjustRightInd/>
        <w:spacing w:before="0"/>
        <w:textAlignment w:val="auto"/>
        <w:rPr>
          <w:b/>
          <w:caps/>
          <w:sz w:val="28"/>
          <w:szCs w:val="24"/>
          <w:lang w:val="en-US"/>
        </w:rPr>
      </w:pPr>
      <w:r>
        <w:br w:type="page"/>
      </w:r>
    </w:p>
    <w:p w:rsidR="00E726A6" w:rsidRDefault="00E726A6" w:rsidP="00E726A6">
      <w:pPr>
        <w:pStyle w:val="AnnexNo"/>
      </w:pPr>
      <w:r>
        <w:t>Annex A</w:t>
      </w:r>
    </w:p>
    <w:p w:rsidR="00E726A6" w:rsidRPr="000F7411" w:rsidRDefault="00E726A6" w:rsidP="00E726A6">
      <w:pPr>
        <w:pStyle w:val="Annextitle"/>
      </w:pPr>
      <w:r>
        <w:t>Specific comments of working party 5B on</w:t>
      </w:r>
      <w:r>
        <w:br/>
      </w:r>
      <w:r w:rsidRPr="003443BA">
        <w:rPr>
          <w:lang w:eastAsia="zh-CN"/>
        </w:rPr>
        <w:t>Recommendation ITU</w:t>
      </w:r>
      <w:r w:rsidRPr="003443BA">
        <w:rPr>
          <w:lang w:eastAsia="zh-CN"/>
        </w:rPr>
        <w:noBreakHyphen/>
        <w:t>T J.195.1 (J.HINOC-REQ)</w:t>
      </w:r>
    </w:p>
    <w:p w:rsidR="00E726A6" w:rsidRDefault="00E726A6" w:rsidP="00E726A6">
      <w:r>
        <w:t xml:space="preserve">Although there has been clarification on the development of </w:t>
      </w:r>
      <w:r w:rsidRPr="003443BA">
        <w:rPr>
          <w:lang w:eastAsia="zh-CN"/>
        </w:rPr>
        <w:t>Recommendation ITU</w:t>
      </w:r>
      <w:r w:rsidRPr="003443BA">
        <w:rPr>
          <w:lang w:eastAsia="zh-CN"/>
        </w:rPr>
        <w:noBreakHyphen/>
        <w:t>T J.195.1 (J.HINOC-REQ)</w:t>
      </w:r>
      <w:r>
        <w:t>, WP 5B would still like to clear up some specific points</w:t>
      </w:r>
      <w:r>
        <w:rPr>
          <w:lang w:eastAsia="zh-CN"/>
        </w:rPr>
        <w:t xml:space="preserve">, and examine </w:t>
      </w:r>
      <w:r>
        <w:t xml:space="preserve">the example calculations in </w:t>
      </w:r>
      <w:r>
        <w:rPr>
          <w:lang w:eastAsia="zh-CN"/>
        </w:rPr>
        <w:t xml:space="preserve">Document </w:t>
      </w:r>
      <w:hyperlink r:id="rId22" w:history="1">
        <w:r w:rsidRPr="00BF7499">
          <w:rPr>
            <w:rStyle w:val="Hyperlink"/>
            <w:lang w:eastAsia="zh-CN"/>
          </w:rPr>
          <w:t>TD555 (GEN/9)</w:t>
        </w:r>
      </w:hyperlink>
      <w:r>
        <w:rPr>
          <w:rStyle w:val="Hyperlink"/>
          <w:lang w:eastAsia="zh-CN"/>
        </w:rPr>
        <w:t>.</w:t>
      </w:r>
    </w:p>
    <w:p w:rsidR="00E726A6" w:rsidRDefault="00E726A6" w:rsidP="00E726A6">
      <w:r>
        <w:t xml:space="preserve">SG 9 states that for the </w:t>
      </w:r>
      <w:r w:rsidRPr="003443BA">
        <w:rPr>
          <w:lang w:eastAsia="zh-CN"/>
        </w:rPr>
        <w:t>J.HINOC-REQ</w:t>
      </w:r>
      <w:r>
        <w:rPr>
          <w:lang w:eastAsia="zh-CN"/>
        </w:rPr>
        <w:t xml:space="preserve"> recommendation</w:t>
      </w:r>
      <w:r>
        <w:t>, ‘all the cable networks should be deployed inside the high-rise building’.  However, WP 5B notes that this is not mandated or controlled to ensure compliance in all deployments, and therefore WP 5B would still advocate using the worst case examples in Table #3, case numbers 15-18.</w:t>
      </w:r>
    </w:p>
    <w:p w:rsidR="00E726A6" w:rsidRDefault="00E726A6" w:rsidP="00E726A6">
      <w:r>
        <w:t xml:space="preserve">Additionally, WP 5B notes that several aeronautical navigation systems that are critical to aircraft navigation and tracking operate in the proposed frequency ranges being developed for the </w:t>
      </w:r>
      <w:r w:rsidRPr="003443BA">
        <w:rPr>
          <w:lang w:eastAsia="zh-CN"/>
        </w:rPr>
        <w:t>J.HINOC-REQ</w:t>
      </w:r>
      <w:r>
        <w:rPr>
          <w:lang w:eastAsia="zh-CN"/>
        </w:rPr>
        <w:t xml:space="preserve"> recommendation</w:t>
      </w:r>
      <w:r>
        <w:t>.  The most sensitive is the secondary surveillance radar Mode S (SSR-M.S) system.  This is used on almost all commercial aircraft, providing aircraft position and identification reports for air traffic control (ATC).  The ground based SSR-M.S</w:t>
      </w:r>
      <w:r w:rsidDel="007B68B5">
        <w:t xml:space="preserve"> </w:t>
      </w:r>
      <w:r>
        <w:t xml:space="preserve">component is operated at major airfields and also at more remote locations depending on operational requirements, transmitting on 1030 MHz, and receiving on 1090 MHz.  </w:t>
      </w:r>
    </w:p>
    <w:p w:rsidR="00E726A6" w:rsidRDefault="00E726A6" w:rsidP="00E726A6">
      <w:r>
        <w:t>An SSR-M.S ground system has a receiver sensitivity of at least -85 dBm</w:t>
      </w:r>
      <w:r>
        <w:rPr>
          <w:rStyle w:val="FootnoteReference"/>
        </w:rPr>
        <w:footnoteReference w:id="1"/>
      </w:r>
      <w:r>
        <w:t xml:space="preserve">, and approximately -90 dBm for many in service SSR-M.S systems, over a 10 MHz receive bandwidth.  Given a typical input impedance of 50Ω, and that the antenna gain of these systems can be up to 30 dBi, equates to a potential maximum tolerable field strength of -13 dBμV at the SSR-M.S receiver.  Using similar calculations to </w:t>
      </w:r>
      <w:r>
        <w:rPr>
          <w:lang w:eastAsia="zh-CN"/>
        </w:rPr>
        <w:t xml:space="preserve">Document </w:t>
      </w:r>
      <w:hyperlink r:id="rId23" w:history="1">
        <w:r w:rsidRPr="00BF7499">
          <w:rPr>
            <w:rStyle w:val="Hyperlink"/>
            <w:lang w:eastAsia="zh-CN"/>
          </w:rPr>
          <w:t>TD555 (GEN/9)</w:t>
        </w:r>
      </w:hyperlink>
      <w:r w:rsidRPr="00D0634A">
        <w:t xml:space="preserve"> cases 15-18</w:t>
      </w:r>
      <w:r>
        <w:t xml:space="preserve"> for a worst case scenario, an SSR-M.S receiver would require a minimum of 310m of separation from a J.HiNoC installation assuming no additional propagation or aggregate effects.</w:t>
      </w:r>
    </w:p>
    <w:p w:rsidR="00E726A6" w:rsidRDefault="00E726A6" w:rsidP="00E726A6">
      <w:r>
        <w:t>The above calculations consider only one example of the aeronautical radionavigation systems operating within the 960-1215 MHz frequency range.  Other navigation systems operating in this frequency range</w:t>
      </w:r>
      <w:r w:rsidRPr="001859D9">
        <w:t xml:space="preserve"> </w:t>
      </w:r>
      <w:r>
        <w:t>also play a key role in ATC and aircraft navigation.  Examples are:</w:t>
      </w:r>
    </w:p>
    <w:p w:rsidR="00E726A6" w:rsidRDefault="00E726A6" w:rsidP="00E726A6">
      <w:pPr>
        <w:pStyle w:val="ListParagraph"/>
        <w:numPr>
          <w:ilvl w:val="0"/>
          <w:numId w:val="2"/>
        </w:numPr>
        <w:ind w:left="360"/>
      </w:pPr>
      <w:r>
        <w:t>Automatic dependent surveillance - broadcast (ADS-B).</w:t>
      </w:r>
    </w:p>
    <w:p w:rsidR="00E726A6" w:rsidRDefault="00E726A6" w:rsidP="00E726A6">
      <w:pPr>
        <w:pStyle w:val="ListParagraph"/>
        <w:numPr>
          <w:ilvl w:val="0"/>
          <w:numId w:val="2"/>
        </w:numPr>
        <w:ind w:left="360"/>
      </w:pPr>
      <w:r>
        <w:t>Terminal collision avoidance system (TCAS).</w:t>
      </w:r>
    </w:p>
    <w:p w:rsidR="00E726A6" w:rsidRDefault="00E726A6" w:rsidP="00E726A6">
      <w:pPr>
        <w:pStyle w:val="ListParagraph"/>
        <w:numPr>
          <w:ilvl w:val="0"/>
          <w:numId w:val="2"/>
        </w:numPr>
        <w:ind w:left="360"/>
      </w:pPr>
      <w:r>
        <w:t>Distance measurement equipment (DME).</w:t>
      </w:r>
    </w:p>
    <w:p w:rsidR="00E726A6" w:rsidRDefault="00E726A6" w:rsidP="00E726A6">
      <w:r>
        <w:t>System details and operating frequencies can be found in ICAO Document 9718 - The ICAO Spectrum Handbook.</w:t>
      </w:r>
    </w:p>
    <w:p w:rsidR="00E726A6" w:rsidRDefault="00E726A6" w:rsidP="00E726A6">
      <w:r>
        <w:t xml:space="preserve">Given these concerns, WP 5B is of the opinion that J.HiNoC cannot be considered entirely compatible with aeronautical systems operating in the same frequency range.  As noted, the above calculations do not account for other potentially detrimental propagation effects that may be encountered as discussed by WP 3M, such as multipath propagation, or the aggregate effect of multiple radiating cables of significant length.  Therefore WP 5B would seek further guidance from SG 9 on how the </w:t>
      </w:r>
      <w:r w:rsidRPr="003443BA">
        <w:rPr>
          <w:lang w:eastAsia="zh-CN"/>
        </w:rPr>
        <w:t>J.HINOC-REQ</w:t>
      </w:r>
      <w:r>
        <w:rPr>
          <w:lang w:eastAsia="zh-CN"/>
        </w:rPr>
        <w:t xml:space="preserve"> recommendation</w:t>
      </w:r>
      <w:r>
        <w:t xml:space="preserve"> will protect safety of life radiocommunication services, such as SSR-M.S, from J.HiNoC emissions.</w:t>
      </w:r>
    </w:p>
    <w:p w:rsidR="00E726A6" w:rsidRDefault="00E726A6" w:rsidP="0032202E">
      <w:pPr>
        <w:pStyle w:val="Reasons"/>
      </w:pPr>
    </w:p>
    <w:p w:rsidR="000069D4" w:rsidRPr="00E726A6" w:rsidRDefault="00E726A6" w:rsidP="00E726A6">
      <w:pPr>
        <w:jc w:val="center"/>
        <w:rPr>
          <w:lang w:eastAsia="zh-CN"/>
        </w:rPr>
      </w:pPr>
      <w:r>
        <w:t>______________</w:t>
      </w:r>
    </w:p>
    <w:sectPr w:rsidR="000069D4" w:rsidRPr="00E726A6" w:rsidSect="00D02712">
      <w:headerReference w:type="default" r:id="rId24"/>
      <w:footerReference w:type="default" r:id="rId25"/>
      <w:headerReference w:type="first" r:id="rId26"/>
      <w:footerReference w:type="first" r:id="rId2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4DA" w:rsidRDefault="00F864DA">
      <w:r>
        <w:separator/>
      </w:r>
    </w:p>
  </w:endnote>
  <w:endnote w:type="continuationSeparator" w:id="0">
    <w:p w:rsidR="00F864DA" w:rsidRDefault="00F8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6A6" w:rsidRDefault="00E726A6" w:rsidP="00E726A6">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rsidR="00E726A6" w:rsidRPr="00E726A6" w:rsidRDefault="00E726A6" w:rsidP="00E726A6">
    <w:pPr>
      <w:pStyle w:val="Footer"/>
    </w:pPr>
    <w:r>
      <w:b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E3" w:rsidRDefault="00D71CE3" w:rsidP="00D71CE3">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rsidR="000A0749" w:rsidRDefault="00D71CE3">
    <w:pPr>
      <w:pStyle w:val="Footer"/>
    </w:pPr>
    <w:r>
      <w:br/>
    </w:r>
    <w:r w:rsidR="00F864DA">
      <w:fldChar w:fldCharType="begin"/>
    </w:r>
    <w:r w:rsidR="00F864DA">
      <w:instrText xml:space="preserve"> FILENAME \p  \* MERGEFORMAT </w:instrText>
    </w:r>
    <w:r w:rsidR="00F864DA">
      <w:fldChar w:fldCharType="separate"/>
    </w:r>
    <w:r w:rsidR="000A0749">
      <w:t>M:\BRSGD\TEXT2015\SG05\WP5B\DT\399e.docx</w:t>
    </w:r>
    <w:r w:rsidR="00F864DA">
      <w:fldChar w:fldCharType="end"/>
    </w:r>
    <w:r w:rsidR="000A0749">
      <w:tab/>
    </w:r>
    <w:r w:rsidR="000A0749">
      <w:fldChar w:fldCharType="begin"/>
    </w:r>
    <w:r w:rsidR="000A0749">
      <w:instrText xml:space="preserve"> SAVEDATE \@ DD.MM.YY </w:instrText>
    </w:r>
    <w:r w:rsidR="000A0749">
      <w:fldChar w:fldCharType="separate"/>
    </w:r>
    <w:r w:rsidR="00AE7968">
      <w:t>10.07.15</w:t>
    </w:r>
    <w:r w:rsidR="000A0749">
      <w:fldChar w:fldCharType="end"/>
    </w:r>
    <w:r w:rsidR="000A0749">
      <w:tab/>
    </w:r>
    <w:r w:rsidR="000A0749">
      <w:fldChar w:fldCharType="begin"/>
    </w:r>
    <w:r w:rsidR="000A0749">
      <w:instrText xml:space="preserve"> PRINTDATE \@ DD.MM.YY </w:instrText>
    </w:r>
    <w:r w:rsidR="000A0749">
      <w:fldChar w:fldCharType="separate"/>
    </w:r>
    <w:r w:rsidR="000A0749">
      <w:t>21.02.08</w:t>
    </w:r>
    <w:r w:rsidR="000A0749">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6A6" w:rsidRPr="000A0749" w:rsidRDefault="000A0749" w:rsidP="000A0749">
    <w:pPr>
      <w:pStyle w:val="Footer"/>
    </w:pPr>
    <w:fldSimple w:instr=" FILENAME \p  \* MERGEFORMAT ">
      <w:r>
        <w:t>M:\BRSGD\TEXT2015\SG05\WP5B\DT\399e.docx</w:t>
      </w:r>
    </w:fldSimple>
    <w:r>
      <w:tab/>
    </w:r>
    <w:r>
      <w:fldChar w:fldCharType="begin"/>
    </w:r>
    <w:r>
      <w:instrText xml:space="preserve"> SAVEDATE \@ DD.MM.YY </w:instrText>
    </w:r>
    <w:r>
      <w:fldChar w:fldCharType="separate"/>
    </w:r>
    <w:r w:rsidR="00AE7968">
      <w:t>10.07.15</w:t>
    </w:r>
    <w:r>
      <w:fldChar w:fldCharType="end"/>
    </w:r>
    <w:r>
      <w:tab/>
    </w:r>
    <w:r>
      <w:fldChar w:fldCharType="begin"/>
    </w:r>
    <w:r>
      <w:instrText xml:space="preserve"> PRINTDATE \@ DD.MM.YY </w:instrText>
    </w:r>
    <w:r>
      <w:fldChar w:fldCharType="separate"/>
    </w:r>
    <w:r>
      <w:t>21.02.08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0A0749" w:rsidRDefault="000A0749" w:rsidP="000A0749">
    <w:pPr>
      <w:pStyle w:val="Footer"/>
    </w:pPr>
    <w:fldSimple w:instr=" FILENAME \p  \* MERGEFORMAT ">
      <w:r>
        <w:t>M:\BRSGD\TEXT2015\SG05\WP5B\DT\399e.docx</w:t>
      </w:r>
    </w:fldSimple>
    <w:r>
      <w:tab/>
    </w:r>
    <w:r>
      <w:fldChar w:fldCharType="begin"/>
    </w:r>
    <w:r>
      <w:instrText xml:space="preserve"> SAVEDATE \@ DD.MM.YY </w:instrText>
    </w:r>
    <w:r>
      <w:fldChar w:fldCharType="separate"/>
    </w:r>
    <w:r w:rsidR="00AE7968">
      <w:t>10.07.15</w:t>
    </w:r>
    <w:r>
      <w:fldChar w:fldCharType="end"/>
    </w:r>
    <w:r>
      <w:tab/>
    </w:r>
    <w:r>
      <w:fldChar w:fldCharType="begin"/>
    </w:r>
    <w:r>
      <w:instrText xml:space="preserve"> PRINTDATE \@ DD.MM.YY </w:instrText>
    </w:r>
    <w:r>
      <w:fldChar w:fldCharType="separate"/>
    </w:r>
    <w:r>
      <w:t>21.02.08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4DA" w:rsidRDefault="00F864DA">
      <w:r>
        <w:t>____________________</w:t>
      </w:r>
    </w:p>
  </w:footnote>
  <w:footnote w:type="continuationSeparator" w:id="0">
    <w:p w:rsidR="00F864DA" w:rsidRDefault="00F864DA">
      <w:r>
        <w:continuationSeparator/>
      </w:r>
    </w:p>
  </w:footnote>
  <w:footnote w:id="1">
    <w:p w:rsidR="00E726A6" w:rsidRPr="00E726A6" w:rsidRDefault="00E726A6" w:rsidP="00E726A6">
      <w:pPr>
        <w:pStyle w:val="FootnoteText"/>
        <w:rPr>
          <w:lang w:val="fr-CH"/>
        </w:rPr>
      </w:pPr>
      <w:r>
        <w:rPr>
          <w:rStyle w:val="FootnoteReference"/>
        </w:rPr>
        <w:footnoteRef/>
      </w:r>
      <w:r w:rsidRPr="00E726A6">
        <w:rPr>
          <w:lang w:val="fr-CH"/>
        </w:rPr>
        <w:t xml:space="preserve"> ICAO Aeronautical Surveillance Manual (ICAO document 9924 - 2011 Edition), Appendix D, Figure D3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85CDD4004E094D5F9769047EC89B40AA"/>
      </w:placeholder>
      <w:temporary/>
      <w:showingPlcHdr/>
      <w15:appearance w15:val="hidden"/>
    </w:sdtPr>
    <w:sdtEndPr/>
    <w:sdtContent>
      <w:p w:rsidR="00E726A6" w:rsidRDefault="00E726A6">
        <w:pPr>
          <w:pStyle w:val="Header"/>
        </w:pPr>
        <w:r>
          <w:t>[Type here]</w:t>
        </w:r>
      </w:p>
    </w:sdtContent>
  </w:sdt>
  <w:p w:rsidR="00E726A6" w:rsidRDefault="00E726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6A6" w:rsidRDefault="00E726A6" w:rsidP="00E726A6">
    <w:pPr>
      <w:pStyle w:val="Header"/>
    </w:pPr>
    <w:r>
      <w:t xml:space="preserve">- </w:t>
    </w:r>
    <w:sdt>
      <w:sdtPr>
        <w:id w:val="-42379982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E7968">
          <w:rPr>
            <w:noProof/>
          </w:rPr>
          <w:t>3</w:t>
        </w:r>
        <w:r>
          <w:rPr>
            <w:noProof/>
          </w:rPr>
          <w:fldChar w:fldCharType="end"/>
        </w:r>
        <w:r>
          <w:rPr>
            <w:noProof/>
          </w:rPr>
          <w:t xml:space="preserve"> -</w:t>
        </w:r>
      </w:sdtContent>
    </w:sdt>
  </w:p>
  <w:p w:rsidR="00FA124A" w:rsidRPr="00E726A6" w:rsidRDefault="00E726A6" w:rsidP="00E726A6">
    <w:pPr>
      <w:pStyle w:val="Header"/>
    </w:pPr>
    <w:r>
      <w:t>5B/TEMP/399-E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6A6" w:rsidRDefault="00E726A6" w:rsidP="00E726A6">
    <w:pPr>
      <w:pStyle w:val="Header"/>
    </w:pPr>
    <w:r>
      <w:t xml:space="preserve">- </w:t>
    </w:r>
    <w:sdt>
      <w:sdtPr>
        <w:id w:val="9727923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E7968">
          <w:rPr>
            <w:noProof/>
          </w:rPr>
          <w:t>2</w:t>
        </w:r>
        <w:r>
          <w:rPr>
            <w:noProof/>
          </w:rPr>
          <w:fldChar w:fldCharType="end"/>
        </w:r>
        <w:r>
          <w:rPr>
            <w:noProof/>
          </w:rPr>
          <w:t xml:space="preserve"> -</w:t>
        </w:r>
      </w:sdtContent>
    </w:sdt>
  </w:p>
  <w:p w:rsidR="00E726A6" w:rsidRDefault="00E726A6" w:rsidP="000A0749">
    <w:pPr>
      <w:pStyle w:val="Header"/>
    </w:pPr>
    <w:r>
      <w:t>5B/TEMP/399-E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A6B59"/>
    <w:multiLevelType w:val="hybridMultilevel"/>
    <w:tmpl w:val="E5046F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F211F1C"/>
    <w:multiLevelType w:val="multilevel"/>
    <w:tmpl w:val="1124D9F0"/>
    <w:lvl w:ilvl="0">
      <w:start w:val="1"/>
      <w:numFmt w:val="decimal"/>
      <w:pStyle w:val="ListParagraph"/>
      <w:lvlText w:val="%1."/>
      <w:lvlJc w:val="left"/>
      <w:rPr>
        <w:rFonts w:ascii="Times New Roman" w:hAnsi="Times New Roman" w:cs="Times New Roman" w:hint="default"/>
      </w:rPr>
    </w:lvl>
    <w:lvl w:ilvl="1">
      <w:start w:val="1"/>
      <w:numFmt w:val="lowerLetter"/>
      <w:lvlText w:val="%2."/>
      <w:lvlJc w:val="left"/>
      <w:pPr>
        <w:tabs>
          <w:tab w:val="num" w:pos="720"/>
        </w:tabs>
        <w:ind w:left="720"/>
      </w:pPr>
      <w:rPr>
        <w:rFonts w:ascii="Times New Roman" w:hAnsi="Times New Roman" w:cs="Times New Roman" w:hint="default"/>
      </w:rPr>
    </w:lvl>
    <w:lvl w:ilvl="2">
      <w:start w:val="1"/>
      <w:numFmt w:val="lowerRoman"/>
      <w:lvlText w:val="%3."/>
      <w:lvlJc w:val="left"/>
      <w:pPr>
        <w:tabs>
          <w:tab w:val="num" w:pos="1440"/>
        </w:tabs>
        <w:ind w:left="1440"/>
      </w:pPr>
      <w:rPr>
        <w:rFonts w:ascii="Times New Roman" w:hAnsi="Times New Roman"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s-ES_tradnl"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751"/>
    <w:rsid w:val="000069D4"/>
    <w:rsid w:val="000174AD"/>
    <w:rsid w:val="000A0749"/>
    <w:rsid w:val="000A7D55"/>
    <w:rsid w:val="000C2E8E"/>
    <w:rsid w:val="000E0E7C"/>
    <w:rsid w:val="000F1B4B"/>
    <w:rsid w:val="000F6751"/>
    <w:rsid w:val="0012744F"/>
    <w:rsid w:val="00156F66"/>
    <w:rsid w:val="00163271"/>
    <w:rsid w:val="00182528"/>
    <w:rsid w:val="0018500B"/>
    <w:rsid w:val="00196A19"/>
    <w:rsid w:val="00202DC1"/>
    <w:rsid w:val="002116EE"/>
    <w:rsid w:val="002309D8"/>
    <w:rsid w:val="002A7FE2"/>
    <w:rsid w:val="002E1B4F"/>
    <w:rsid w:val="002F2E67"/>
    <w:rsid w:val="002F7CB3"/>
    <w:rsid w:val="00315546"/>
    <w:rsid w:val="00325F3B"/>
    <w:rsid w:val="00330567"/>
    <w:rsid w:val="00386A9D"/>
    <w:rsid w:val="00391081"/>
    <w:rsid w:val="003B2789"/>
    <w:rsid w:val="003C13CE"/>
    <w:rsid w:val="003E2518"/>
    <w:rsid w:val="003E7CEF"/>
    <w:rsid w:val="004B1EF7"/>
    <w:rsid w:val="004B3FAD"/>
    <w:rsid w:val="00501DCA"/>
    <w:rsid w:val="00513A47"/>
    <w:rsid w:val="00514BDF"/>
    <w:rsid w:val="005408DF"/>
    <w:rsid w:val="00573344"/>
    <w:rsid w:val="00583F9B"/>
    <w:rsid w:val="005B7C63"/>
    <w:rsid w:val="005E5C10"/>
    <w:rsid w:val="005F2C78"/>
    <w:rsid w:val="006144E4"/>
    <w:rsid w:val="00650299"/>
    <w:rsid w:val="00655FC5"/>
    <w:rsid w:val="006A03EE"/>
    <w:rsid w:val="006F74A9"/>
    <w:rsid w:val="00814E0A"/>
    <w:rsid w:val="00822581"/>
    <w:rsid w:val="008309DD"/>
    <w:rsid w:val="0083227A"/>
    <w:rsid w:val="00866900"/>
    <w:rsid w:val="00881BA1"/>
    <w:rsid w:val="008C26B8"/>
    <w:rsid w:val="008F208F"/>
    <w:rsid w:val="00982084"/>
    <w:rsid w:val="00995963"/>
    <w:rsid w:val="009B61EB"/>
    <w:rsid w:val="009C2064"/>
    <w:rsid w:val="009D1697"/>
    <w:rsid w:val="00A014F8"/>
    <w:rsid w:val="00A5173C"/>
    <w:rsid w:val="00A61AEF"/>
    <w:rsid w:val="00AD2345"/>
    <w:rsid w:val="00AE7968"/>
    <w:rsid w:val="00AF173A"/>
    <w:rsid w:val="00B066A4"/>
    <w:rsid w:val="00B07A13"/>
    <w:rsid w:val="00B4279B"/>
    <w:rsid w:val="00B45FC9"/>
    <w:rsid w:val="00B81138"/>
    <w:rsid w:val="00BC7CCF"/>
    <w:rsid w:val="00BE470B"/>
    <w:rsid w:val="00C57A91"/>
    <w:rsid w:val="00CC01C2"/>
    <w:rsid w:val="00CF21F2"/>
    <w:rsid w:val="00D02712"/>
    <w:rsid w:val="00D214D0"/>
    <w:rsid w:val="00D6546B"/>
    <w:rsid w:val="00D71CE3"/>
    <w:rsid w:val="00DD4BED"/>
    <w:rsid w:val="00DE39F0"/>
    <w:rsid w:val="00DF0AF3"/>
    <w:rsid w:val="00DF7E9F"/>
    <w:rsid w:val="00E27D7E"/>
    <w:rsid w:val="00E42E13"/>
    <w:rsid w:val="00E56D5C"/>
    <w:rsid w:val="00E6257C"/>
    <w:rsid w:val="00E63C59"/>
    <w:rsid w:val="00E726A6"/>
    <w:rsid w:val="00F17DEC"/>
    <w:rsid w:val="00F864DA"/>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8DFBDF-897E-49A1-856F-E1521B84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uiPriority w:val="99"/>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8F208F"/>
    <w:rPr>
      <w:position w:val="6"/>
      <w:sz w:val="18"/>
    </w:rPr>
  </w:style>
  <w:style w:type="paragraph" w:styleId="FootnoteText">
    <w:name w:val="footnote text"/>
    <w:basedOn w:val="Normal"/>
    <w:link w:val="FootnoteTextChar"/>
    <w:uiPriority w:val="99"/>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uiPriority w:val="99"/>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uiPriority w:val="99"/>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uiPriority w:val="99"/>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uiPriority w:val="99"/>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basedOn w:val="DefaultParagraphFont"/>
    <w:link w:val="Header"/>
    <w:uiPriority w:val="99"/>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styleId="Title">
    <w:name w:val="Title"/>
    <w:basedOn w:val="Normal"/>
    <w:next w:val="Normal"/>
    <w:link w:val="TitleChar"/>
    <w:uiPriority w:val="99"/>
    <w:qFormat/>
    <w:rsid w:val="00E726A6"/>
    <w:pPr>
      <w:tabs>
        <w:tab w:val="clear" w:pos="1134"/>
        <w:tab w:val="clear" w:pos="1871"/>
        <w:tab w:val="clear" w:pos="2268"/>
      </w:tabs>
      <w:overflowPunct/>
      <w:autoSpaceDE/>
      <w:autoSpaceDN/>
      <w:adjustRightInd/>
      <w:spacing w:before="0"/>
      <w:jc w:val="center"/>
      <w:textAlignment w:val="auto"/>
    </w:pPr>
    <w:rPr>
      <w:b/>
      <w:caps/>
      <w:sz w:val="28"/>
      <w:szCs w:val="24"/>
      <w:lang w:val="en-US"/>
    </w:rPr>
  </w:style>
  <w:style w:type="character" w:customStyle="1" w:styleId="TitleChar">
    <w:name w:val="Title Char"/>
    <w:basedOn w:val="DefaultParagraphFont"/>
    <w:link w:val="Title"/>
    <w:uiPriority w:val="99"/>
    <w:rsid w:val="00E726A6"/>
    <w:rPr>
      <w:rFonts w:ascii="Times New Roman" w:hAnsi="Times New Roman"/>
      <w:b/>
      <w:caps/>
      <w:sz w:val="28"/>
      <w:szCs w:val="24"/>
      <w:lang w:eastAsia="en-US"/>
    </w:rPr>
  </w:style>
  <w:style w:type="paragraph" w:styleId="ListParagraph">
    <w:name w:val="List Paragraph"/>
    <w:basedOn w:val="Normal"/>
    <w:uiPriority w:val="99"/>
    <w:qFormat/>
    <w:rsid w:val="00E726A6"/>
    <w:pPr>
      <w:numPr>
        <w:numId w:val="1"/>
      </w:numPr>
      <w:tabs>
        <w:tab w:val="clear" w:pos="1134"/>
        <w:tab w:val="clear" w:pos="1871"/>
        <w:tab w:val="clear" w:pos="2268"/>
      </w:tabs>
      <w:overflowPunct/>
      <w:autoSpaceDE/>
      <w:autoSpaceDN/>
      <w:adjustRightInd/>
      <w:spacing w:before="0"/>
      <w:contextualSpacing/>
      <w:textAlignment w:val="auto"/>
    </w:pPr>
    <w:rPr>
      <w:sz w:val="22"/>
      <w:szCs w:val="24"/>
      <w:lang w:val="en-US"/>
    </w:rPr>
  </w:style>
  <w:style w:type="character" w:styleId="Hyperlink">
    <w:name w:val="Hyperlink"/>
    <w:basedOn w:val="DefaultParagraphFont"/>
    <w:uiPriority w:val="99"/>
    <w:rsid w:val="00E726A6"/>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u.int/md/R12-WP5B-C-0768/en"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itu.int/md/T13-SG09-140908-TD-GEN-0555/en" TargetMode="External"/><Relationship Id="rId7" Type="http://schemas.openxmlformats.org/officeDocument/2006/relationships/webSettings" Target="webSettings.xml"/><Relationship Id="rId12" Type="http://schemas.openxmlformats.org/officeDocument/2006/relationships/hyperlink" Target="http://www.itu.int/md/R12-WP5B-C-0771/en" TargetMode="External"/><Relationship Id="rId17" Type="http://schemas.openxmlformats.org/officeDocument/2006/relationships/hyperlink" Target="http://www.itu.int/md/R12-WP5B-C-0813/e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itu.int/md/R12-WP5B-C-0812/en" TargetMode="External"/><Relationship Id="rId20" Type="http://schemas.openxmlformats.org/officeDocument/2006/relationships/footer" Target="footer2.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tu.int/md/R12-WP5B-C-0770/en"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www.itu.int/md/R12-WP5B-C-0811/en" TargetMode="External"/><Relationship Id="rId23" Type="http://schemas.openxmlformats.org/officeDocument/2006/relationships/hyperlink" Target="http://www.itu.int/md/T13-SG09-140908-TD-GEN-0555/en"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md/R12-WP5B-C-0796/en" TargetMode="External"/><Relationship Id="rId22" Type="http://schemas.openxmlformats.org/officeDocument/2006/relationships/hyperlink" Target="http://www.itu.int/md/T13-SG09-140908-TD-GEN-0555/en"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yn\AppData\Roaming\Microsoft\Templates\POOL%20E%20-%20ITU\PE_B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CDD4004E094D5F9769047EC89B40AA"/>
        <w:category>
          <w:name w:val="General"/>
          <w:gallery w:val="placeholder"/>
        </w:category>
        <w:types>
          <w:type w:val="bbPlcHdr"/>
        </w:types>
        <w:behaviors>
          <w:behavior w:val="content"/>
        </w:behaviors>
        <w:guid w:val="{5BDCA3DB-067E-44AD-9F09-DEFC92E76CC6}"/>
      </w:docPartPr>
      <w:docPartBody>
        <w:p w:rsidR="00740184" w:rsidRDefault="00982D85" w:rsidP="00982D85">
          <w:pPr>
            <w:pStyle w:val="85CDD4004E094D5F9769047EC89B40A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D85"/>
    <w:rsid w:val="00740184"/>
    <w:rsid w:val="0077366D"/>
    <w:rsid w:val="00982D85"/>
    <w:rsid w:val="00C665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EE57EB62FB4AEB845F398DD3DFA607">
    <w:name w:val="B0EE57EB62FB4AEB845F398DD3DFA607"/>
    <w:rsid w:val="00982D85"/>
  </w:style>
  <w:style w:type="paragraph" w:customStyle="1" w:styleId="4D12CA8344984F49A2CA7C0D7853847E">
    <w:name w:val="4D12CA8344984F49A2CA7C0D7853847E"/>
    <w:rsid w:val="00982D85"/>
  </w:style>
  <w:style w:type="paragraph" w:customStyle="1" w:styleId="85CDD4004E094D5F9769047EC89B40AA">
    <w:name w:val="85CDD4004E094D5F9769047EC89B40AA"/>
    <w:rsid w:val="00982D85"/>
  </w:style>
  <w:style w:type="paragraph" w:customStyle="1" w:styleId="7D27FE8797EA41F18DB0DB6F8D148DD1">
    <w:name w:val="7D27FE8797EA41F18DB0DB6F8D148DD1"/>
    <w:rsid w:val="00982D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7e6e688bb715f4c10374fa379bfaa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D92F4-87D5-49E4-9903-03CC14CAF9C7}"/>
</file>

<file path=customXml/itemProps2.xml><?xml version="1.0" encoding="utf-8"?>
<ds:datastoreItem xmlns:ds="http://schemas.openxmlformats.org/officeDocument/2006/customXml" ds:itemID="{F047708A-E4EC-456C-9661-F0C901A2CAF6}"/>
</file>

<file path=customXml/itemProps3.xml><?xml version="1.0" encoding="utf-8"?>
<ds:datastoreItem xmlns:ds="http://schemas.openxmlformats.org/officeDocument/2006/customXml" ds:itemID="{AE5A5430-EAFA-42DC-9BA9-C5D8A0367D52}"/>
</file>

<file path=docProps/app.xml><?xml version="1.0" encoding="utf-8"?>
<Properties xmlns="http://schemas.openxmlformats.org/officeDocument/2006/extended-properties" xmlns:vt="http://schemas.openxmlformats.org/officeDocument/2006/docPropsVTypes">
  <Template>PE_BR</Template>
  <TotalTime>3</TotalTime>
  <Pages>1</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Reply liaison statement to ITU-T Study Groups 5, 9 &amp; 15, and ITU-R Working Party 1A</vt:lpstr>
    </vt:vector>
  </TitlesOfParts>
  <Company>ITU</Company>
  <LinksUpToDate>false</LinksUpToDate>
  <CharactersWithSpaces>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liaison statement to ITU-T Study Groups 5, 9 &amp; 15, and ITU-R Working Party 1A</dc:title>
  <dc:subject/>
  <dc:creator>ITU</dc:creator>
  <cp:lastModifiedBy>Song, Xiaojing</cp:lastModifiedBy>
  <cp:revision>3</cp:revision>
  <cp:lastPrinted>2008-02-21T14:04:00Z</cp:lastPrinted>
  <dcterms:created xsi:type="dcterms:W3CDTF">2015-07-10T11:20:00Z</dcterms:created>
  <dcterms:modified xsi:type="dcterms:W3CDTF">2015-07-10T11:21:00Z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0x010100B372B09A9A77C4438999FF1325BEF759</vt:lpwstr>
  </property>
</Properties>
</file>