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69" w:rsidRPr="00812998" w:rsidRDefault="00D33E50" w:rsidP="00745669">
      <w:pPr>
        <w:pStyle w:val="Heading4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812998">
        <w:rPr>
          <w:rFonts w:ascii="Times New Roman" w:hAnsi="Times New Roman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-552450</wp:posOffset>
            </wp:positionH>
            <wp:positionV relativeFrom="paragraph">
              <wp:posOffset>-210185</wp:posOffset>
            </wp:positionV>
            <wp:extent cx="952500" cy="791210"/>
            <wp:effectExtent l="19050" t="0" r="0" b="0"/>
            <wp:wrapNone/>
            <wp:docPr id="8" name="Picture 2" descr="..\..\..\CNS\ICAOLOGO.W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..\CNS\ICAOLOGO.W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5669" w:rsidRPr="00812998">
        <w:rPr>
          <w:rFonts w:ascii="Times New Roman" w:hAnsi="Times New Roman"/>
          <w:sz w:val="22"/>
          <w:szCs w:val="22"/>
        </w:rPr>
        <w:t>INTERNATIONAL CIVIL AVIATION ORGANIZATION</w:t>
      </w:r>
    </w:p>
    <w:p w:rsidR="00745669" w:rsidRPr="00812998" w:rsidRDefault="00745669" w:rsidP="00745669">
      <w:pPr>
        <w:rPr>
          <w:sz w:val="22"/>
          <w:szCs w:val="22"/>
        </w:rPr>
      </w:pPr>
    </w:p>
    <w:p w:rsidR="00877E55" w:rsidRPr="00812998" w:rsidRDefault="00877E55" w:rsidP="004F5763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045625" w:rsidRPr="00812998" w:rsidRDefault="00045625" w:rsidP="00045625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  <w:r w:rsidRPr="00812998">
        <w:rPr>
          <w:rFonts w:ascii="Arial" w:hAnsi="Arial" w:cs="Arial"/>
          <w:b/>
          <w:bCs/>
          <w:iCs/>
          <w:sz w:val="26"/>
          <w:szCs w:val="26"/>
        </w:rPr>
        <w:t>3</w:t>
      </w:r>
      <w:r w:rsidRPr="00812998">
        <w:rPr>
          <w:rFonts w:ascii="Arial" w:hAnsi="Arial" w:cs="Arial"/>
          <w:b/>
          <w:bCs/>
          <w:iCs/>
          <w:sz w:val="26"/>
          <w:szCs w:val="26"/>
          <w:vertAlign w:val="superscript"/>
        </w:rPr>
        <w:t>rd</w:t>
      </w:r>
      <w:r w:rsidRPr="00812998">
        <w:rPr>
          <w:rFonts w:ascii="Arial" w:hAnsi="Arial" w:cs="Arial"/>
          <w:b/>
          <w:bCs/>
          <w:iCs/>
          <w:sz w:val="26"/>
          <w:szCs w:val="26"/>
        </w:rPr>
        <w:t xml:space="preserve"> AFI AVIATION SAFETY SYMPOSIUM</w:t>
      </w:r>
    </w:p>
    <w:p w:rsidR="00045625" w:rsidRPr="00812998" w:rsidRDefault="00045625" w:rsidP="0004562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12998">
        <w:rPr>
          <w:rFonts w:ascii="Arial" w:hAnsi="Arial" w:cs="Arial"/>
          <w:b/>
          <w:bCs/>
          <w:iCs/>
          <w:sz w:val="22"/>
          <w:szCs w:val="22"/>
        </w:rPr>
        <w:t>(Tuesday, 28 June 2016, Malabo, Equatorial Guinea)</w:t>
      </w:r>
    </w:p>
    <w:p w:rsidR="00045625" w:rsidRPr="00812998" w:rsidRDefault="00045625" w:rsidP="00045625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745669" w:rsidRPr="00812998" w:rsidRDefault="00745669" w:rsidP="00745669">
      <w:pPr>
        <w:pBdr>
          <w:bottom w:val="thinThickThinSmallGap" w:sz="24" w:space="1" w:color="auto"/>
        </w:pBdr>
        <w:rPr>
          <w:sz w:val="22"/>
          <w:szCs w:val="22"/>
        </w:rPr>
      </w:pPr>
    </w:p>
    <w:p w:rsidR="00837A93" w:rsidRPr="00812998" w:rsidRDefault="00045625" w:rsidP="00837A93">
      <w:pPr>
        <w:autoSpaceDE w:val="0"/>
        <w:autoSpaceDN w:val="0"/>
        <w:adjustRightInd w:val="0"/>
        <w:rPr>
          <w:rFonts w:ascii="Calibri" w:hAnsi="Calibri"/>
          <w:b/>
          <w:i/>
          <w:sz w:val="22"/>
          <w:szCs w:val="22"/>
        </w:rPr>
      </w:pPr>
      <w:r w:rsidRPr="00812998">
        <w:rPr>
          <w:rFonts w:ascii="Calibri" w:hAnsi="Calibri"/>
          <w:b/>
          <w:i/>
          <w:sz w:val="22"/>
          <w:szCs w:val="22"/>
        </w:rPr>
        <w:t>Progress towards the Improvement of aviation safety in the AFI region:</w:t>
      </w:r>
      <w:r w:rsidRPr="00812998">
        <w:rPr>
          <w:rFonts w:ascii="Calibri" w:hAnsi="Calibri"/>
          <w:b/>
          <w:bCs/>
          <w:i/>
          <w:iCs/>
          <w:sz w:val="22"/>
          <w:szCs w:val="22"/>
        </w:rPr>
        <w:t xml:space="preserve"> Implementation/Monitoring/Follow-up</w:t>
      </w:r>
    </w:p>
    <w:p w:rsidR="00045625" w:rsidRPr="00812998" w:rsidRDefault="00045625" w:rsidP="00837A9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D0B14" w:rsidRDefault="004D0B14" w:rsidP="00837A93">
      <w:pPr>
        <w:pStyle w:val="Default"/>
        <w:jc w:val="center"/>
        <w:rPr>
          <w:b/>
          <w:iCs/>
          <w:color w:val="auto"/>
          <w:sz w:val="22"/>
          <w:szCs w:val="22"/>
        </w:rPr>
      </w:pPr>
    </w:p>
    <w:p w:rsidR="00D42FC3" w:rsidRDefault="00D42FC3" w:rsidP="00837A93">
      <w:pPr>
        <w:pStyle w:val="Default"/>
        <w:jc w:val="center"/>
        <w:rPr>
          <w:b/>
          <w:iCs/>
          <w:color w:val="auto"/>
          <w:sz w:val="22"/>
          <w:szCs w:val="22"/>
        </w:rPr>
      </w:pPr>
      <w:r w:rsidRPr="00D42FC3">
        <w:rPr>
          <w:b/>
          <w:iCs/>
          <w:color w:val="auto"/>
          <w:sz w:val="22"/>
          <w:szCs w:val="22"/>
        </w:rPr>
        <w:t>PROGRESS TOWARDS THE ATTAINMENT OF ABUJA SAFETY TARGETS, MONI</w:t>
      </w:r>
      <w:r>
        <w:rPr>
          <w:b/>
          <w:iCs/>
          <w:color w:val="auto"/>
          <w:sz w:val="22"/>
          <w:szCs w:val="22"/>
        </w:rPr>
        <w:t>TORING AND FOLLOW-UP ACTIVITIES</w:t>
      </w:r>
    </w:p>
    <w:p w:rsidR="00837A93" w:rsidRPr="00812998" w:rsidRDefault="00837A93" w:rsidP="004D0B14">
      <w:pPr>
        <w:pStyle w:val="Default"/>
        <w:rPr>
          <w:b/>
          <w:color w:val="auto"/>
          <w:sz w:val="22"/>
          <w:szCs w:val="22"/>
        </w:rPr>
      </w:pPr>
    </w:p>
    <w:p w:rsidR="00837A93" w:rsidRPr="00812998" w:rsidRDefault="00837A93" w:rsidP="00837A93">
      <w:pPr>
        <w:pStyle w:val="Default"/>
        <w:jc w:val="center"/>
        <w:rPr>
          <w:i/>
          <w:color w:val="auto"/>
          <w:sz w:val="22"/>
          <w:szCs w:val="22"/>
        </w:rPr>
      </w:pPr>
      <w:r w:rsidRPr="00812998">
        <w:rPr>
          <w:i/>
          <w:color w:val="auto"/>
          <w:sz w:val="22"/>
          <w:szCs w:val="22"/>
        </w:rPr>
        <w:t>(Presented by the AFCAC)</w:t>
      </w:r>
    </w:p>
    <w:p w:rsidR="00837A93" w:rsidRPr="00812998" w:rsidRDefault="00837A93" w:rsidP="00837A93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837A93" w:rsidRPr="00812998" w:rsidTr="00837A93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93" w:rsidRPr="00812998" w:rsidRDefault="00837A93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color w:val="auto"/>
                <w:sz w:val="22"/>
                <w:szCs w:val="22"/>
                <w:lang w:val="fr-FR" w:eastAsia="fr-FR"/>
              </w:rPr>
              <w:t>SUMMARY</w:t>
            </w:r>
          </w:p>
        </w:tc>
      </w:tr>
      <w:tr w:rsidR="00837A93" w:rsidRPr="00812998" w:rsidTr="00837A93">
        <w:trPr>
          <w:trHeight w:val="800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93" w:rsidRPr="00812998" w:rsidRDefault="00837A93">
            <w:pPr>
              <w:autoSpaceDE w:val="0"/>
              <w:autoSpaceDN w:val="0"/>
              <w:adjustRightInd w:val="0"/>
              <w:spacing w:line="215" w:lineRule="exact"/>
              <w:ind w:left="40" w:right="-20"/>
              <w:rPr>
                <w:spacing w:val="2"/>
                <w:sz w:val="22"/>
                <w:szCs w:val="22"/>
                <w:lang w:val="en-GB" w:eastAsia="en-GB"/>
              </w:rPr>
            </w:pPr>
          </w:p>
          <w:p w:rsidR="00837A93" w:rsidRPr="00812998" w:rsidRDefault="00837A93">
            <w:pPr>
              <w:ind w:left="40" w:right="-20"/>
              <w:jc w:val="both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 xml:space="preserve">This Working Paper presents </w:t>
            </w:r>
            <w:r w:rsidR="00873AF2" w:rsidRPr="00812998">
              <w:rPr>
                <w:sz w:val="22"/>
                <w:szCs w:val="22"/>
                <w:lang w:eastAsia="fr-FR"/>
              </w:rPr>
              <w:t xml:space="preserve">the progress </w:t>
            </w:r>
            <w:r w:rsidR="009177A4" w:rsidRPr="00812998">
              <w:rPr>
                <w:sz w:val="22"/>
                <w:szCs w:val="22"/>
                <w:lang w:eastAsia="fr-FR"/>
              </w:rPr>
              <w:t xml:space="preserve">made </w:t>
            </w:r>
            <w:r w:rsidR="00873AF2" w:rsidRPr="00812998">
              <w:rPr>
                <w:strike/>
                <w:sz w:val="22"/>
                <w:szCs w:val="22"/>
                <w:lang w:eastAsia="fr-FR"/>
              </w:rPr>
              <w:t>on</w:t>
            </w:r>
            <w:r w:rsidR="009177A4" w:rsidRPr="00812998">
              <w:rPr>
                <w:sz w:val="22"/>
                <w:szCs w:val="22"/>
                <w:lang w:eastAsia="fr-FR"/>
              </w:rPr>
              <w:t xml:space="preserve"> in</w:t>
            </w:r>
            <w:r w:rsidR="00873AF2" w:rsidRPr="00812998">
              <w:rPr>
                <w:sz w:val="22"/>
                <w:szCs w:val="22"/>
                <w:lang w:eastAsia="fr-FR"/>
              </w:rPr>
              <w:t xml:space="preserve"> the implementation of the Abuja Safety Targets and </w:t>
            </w:r>
            <w:r w:rsidRPr="00812998">
              <w:rPr>
                <w:sz w:val="22"/>
                <w:szCs w:val="22"/>
                <w:lang w:eastAsia="fr-FR"/>
              </w:rPr>
              <w:t xml:space="preserve">activities undertaken by AFCAC and AFI States to meet the Safety Targets set by the Abuja Declaration and endorsed by the Heads of State of </w:t>
            </w:r>
            <w:r w:rsidR="009177A4" w:rsidRPr="00812998">
              <w:rPr>
                <w:sz w:val="22"/>
                <w:szCs w:val="22"/>
                <w:lang w:eastAsia="fr-FR"/>
              </w:rPr>
              <w:t xml:space="preserve">the </w:t>
            </w:r>
            <w:r w:rsidRPr="00812998">
              <w:rPr>
                <w:sz w:val="22"/>
                <w:szCs w:val="22"/>
                <w:lang w:eastAsia="fr-FR"/>
              </w:rPr>
              <w:t xml:space="preserve">African Union. </w:t>
            </w:r>
          </w:p>
          <w:p w:rsidR="00837A93" w:rsidRPr="00812998" w:rsidRDefault="00837A93" w:rsidP="00873AF2">
            <w:pPr>
              <w:ind w:left="40" w:right="-20"/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837A93" w:rsidRPr="00812998" w:rsidTr="00837A93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93" w:rsidRPr="00812998" w:rsidRDefault="00837A93">
            <w:pPr>
              <w:pStyle w:val="Default"/>
              <w:rPr>
                <w:b/>
                <w:color w:val="auto"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color w:val="auto"/>
                <w:sz w:val="22"/>
                <w:szCs w:val="22"/>
                <w:lang w:val="fr-FR" w:eastAsia="fr-FR"/>
              </w:rPr>
              <w:t>REFERENCE(S):</w:t>
            </w:r>
          </w:p>
          <w:p w:rsidR="00837A93" w:rsidRPr="00812998" w:rsidRDefault="00837A93" w:rsidP="00837A9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fr-FR" w:eastAsia="fr-FR"/>
              </w:rPr>
            </w:pPr>
            <w:r w:rsidRPr="00812998">
              <w:rPr>
                <w:rFonts w:eastAsia="Calibri"/>
                <w:sz w:val="22"/>
                <w:szCs w:val="22"/>
                <w:lang w:val="fr-FR" w:eastAsia="fr-FR"/>
              </w:rPr>
              <w:t>25</w:t>
            </w:r>
            <w:r w:rsidRPr="00812998">
              <w:rPr>
                <w:rFonts w:eastAsia="Calibri"/>
                <w:sz w:val="22"/>
                <w:szCs w:val="22"/>
                <w:vertAlign w:val="superscript"/>
                <w:lang w:val="fr-FR" w:eastAsia="fr-FR"/>
              </w:rPr>
              <w:t>th</w:t>
            </w:r>
            <w:r w:rsidRPr="00812998">
              <w:rPr>
                <w:rFonts w:eastAsia="Calibri"/>
                <w:sz w:val="22"/>
                <w:szCs w:val="22"/>
                <w:lang w:val="fr-FR" w:eastAsia="fr-FR"/>
              </w:rPr>
              <w:t xml:space="preserve"> AFCAC Plenary Report</w:t>
            </w:r>
          </w:p>
          <w:p w:rsidR="00837A93" w:rsidRPr="00812998" w:rsidRDefault="00837A93" w:rsidP="00837A9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Final Report of the Second Meeting of the Regional Aviation Safety Group for Africa-Indian Ocean (RASG-AFI/</w:t>
            </w:r>
            <w:r w:rsidR="00584580" w:rsidRPr="00812998">
              <w:rPr>
                <w:rFonts w:eastAsia="Calibri"/>
                <w:sz w:val="22"/>
                <w:szCs w:val="22"/>
                <w:lang w:eastAsia="fr-FR"/>
              </w:rPr>
              <w:t>2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)</w:t>
            </w:r>
          </w:p>
          <w:p w:rsidR="004F40B2" w:rsidRPr="00812998" w:rsidRDefault="004F40B2" w:rsidP="00837A9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Report of the 16</w:t>
            </w:r>
            <w:r w:rsidRPr="00812998">
              <w:rPr>
                <w:rFonts w:eastAsia="Calibri"/>
                <w:sz w:val="22"/>
                <w:szCs w:val="22"/>
                <w:vertAlign w:val="superscript"/>
                <w:lang w:eastAsia="fr-FR"/>
              </w:rPr>
              <w:t>th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AFI Plan SC Meeting</w:t>
            </w:r>
          </w:p>
          <w:p w:rsidR="00837A93" w:rsidRPr="00812998" w:rsidRDefault="00837A93" w:rsidP="00837A9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Report of the16</w:t>
            </w:r>
            <w:r w:rsidRPr="00812998">
              <w:rPr>
                <w:rFonts w:eastAsia="Calibri"/>
                <w:sz w:val="22"/>
                <w:szCs w:val="22"/>
                <w:vertAlign w:val="superscript"/>
                <w:lang w:eastAsia="fr-FR"/>
              </w:rPr>
              <w:t>th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AFCAC Technical Committee Meeting</w:t>
            </w:r>
          </w:p>
          <w:p w:rsidR="009177A4" w:rsidRPr="00812998" w:rsidRDefault="009177A4" w:rsidP="009177A4">
            <w:pPr>
              <w:autoSpaceDE w:val="0"/>
              <w:autoSpaceDN w:val="0"/>
              <w:adjustRightInd w:val="0"/>
              <w:ind w:left="720"/>
              <w:rPr>
                <w:rFonts w:eastAsia="Calibri"/>
                <w:sz w:val="22"/>
                <w:szCs w:val="22"/>
                <w:lang w:eastAsia="fr-FR"/>
              </w:rPr>
            </w:pPr>
          </w:p>
        </w:tc>
      </w:tr>
      <w:tr w:rsidR="00837A93" w:rsidRPr="00812998" w:rsidTr="00837A93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93" w:rsidRPr="00812998" w:rsidRDefault="00837A9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Related ICAO Strategic Objective(s):</w:t>
            </w:r>
            <w:r w:rsidRPr="00812998">
              <w:rPr>
                <w:sz w:val="22"/>
                <w:szCs w:val="22"/>
                <w:lang w:eastAsia="fr-FR"/>
              </w:rPr>
              <w:t xml:space="preserve"> The working paper relates to the Safety Strategic Objective of ICAO.</w:t>
            </w:r>
          </w:p>
        </w:tc>
      </w:tr>
    </w:tbl>
    <w:p w:rsidR="00837A93" w:rsidRPr="00812998" w:rsidRDefault="00837A93" w:rsidP="00837A93">
      <w:pPr>
        <w:pStyle w:val="Default"/>
        <w:jc w:val="center"/>
        <w:rPr>
          <w:b/>
          <w:color w:val="auto"/>
          <w:sz w:val="22"/>
          <w:szCs w:val="22"/>
        </w:rPr>
      </w:pPr>
    </w:p>
    <w:p w:rsidR="00837A93" w:rsidRPr="00812998" w:rsidRDefault="00837A93" w:rsidP="00837A93">
      <w:pPr>
        <w:numPr>
          <w:ilvl w:val="0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</w:rPr>
      </w:pPr>
      <w:r w:rsidRPr="00812998">
        <w:rPr>
          <w:rFonts w:eastAsia="Calibri"/>
          <w:b/>
          <w:sz w:val="22"/>
          <w:szCs w:val="22"/>
          <w:lang w:val="en-GB"/>
        </w:rPr>
        <w:t>INTRODUCTION</w:t>
      </w:r>
      <w:r w:rsidRPr="00812998">
        <w:rPr>
          <w:sz w:val="22"/>
          <w:szCs w:val="22"/>
          <w:lang w:val="en-GB"/>
        </w:rPr>
        <w:t xml:space="preserve"> </w:t>
      </w:r>
    </w:p>
    <w:p w:rsidR="00837A93" w:rsidRPr="00812998" w:rsidRDefault="00837A93" w:rsidP="00837A93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837A93" w:rsidRPr="00812998" w:rsidRDefault="00837A93" w:rsidP="00837A93">
      <w:pPr>
        <w:numPr>
          <w:ilvl w:val="1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  <w:lang w:val="en-GB"/>
        </w:rPr>
      </w:pPr>
      <w:r w:rsidRPr="00812998">
        <w:rPr>
          <w:sz w:val="22"/>
          <w:szCs w:val="22"/>
          <w:lang w:val="en-GB"/>
        </w:rPr>
        <w:t>The Secretari</w:t>
      </w:r>
      <w:r w:rsidR="000C447C" w:rsidRPr="00812998">
        <w:rPr>
          <w:sz w:val="22"/>
          <w:szCs w:val="22"/>
          <w:lang w:val="en-GB"/>
        </w:rPr>
        <w:t>at of AFCAC was directed by the</w:t>
      </w:r>
      <w:r w:rsidRPr="00812998">
        <w:rPr>
          <w:sz w:val="22"/>
          <w:szCs w:val="22"/>
        </w:rPr>
        <w:t xml:space="preserve"> 25</w:t>
      </w:r>
      <w:r w:rsidRPr="00812998">
        <w:rPr>
          <w:sz w:val="22"/>
          <w:szCs w:val="22"/>
          <w:vertAlign w:val="superscript"/>
        </w:rPr>
        <w:t>th</w:t>
      </w:r>
      <w:r w:rsidRPr="00812998">
        <w:rPr>
          <w:sz w:val="22"/>
          <w:szCs w:val="22"/>
        </w:rPr>
        <w:t xml:space="preserve"> AFCAC Plenary to establish a new questionnaire for the follow-up and monitoring of the implementation of </w:t>
      </w:r>
      <w:r w:rsidRPr="00812998">
        <w:rPr>
          <w:sz w:val="22"/>
          <w:szCs w:val="22"/>
          <w:lang w:val="en-GB"/>
        </w:rPr>
        <w:t>the Abuja Safety Targets.</w:t>
      </w:r>
    </w:p>
    <w:p w:rsidR="00837A93" w:rsidRPr="00812998" w:rsidRDefault="00837A93" w:rsidP="00837A93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837A93" w:rsidRPr="00812998" w:rsidRDefault="00837A93" w:rsidP="00837A93">
      <w:pPr>
        <w:numPr>
          <w:ilvl w:val="1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  <w:lang w:val="en-GB"/>
        </w:rPr>
      </w:pPr>
      <w:r w:rsidRPr="00812998">
        <w:rPr>
          <w:sz w:val="22"/>
          <w:szCs w:val="22"/>
          <w:lang w:val="en-GB"/>
        </w:rPr>
        <w:t xml:space="preserve">The campaign </w:t>
      </w:r>
      <w:r w:rsidR="009177A4" w:rsidRPr="00812998">
        <w:rPr>
          <w:sz w:val="22"/>
          <w:szCs w:val="22"/>
          <w:lang w:val="en-GB"/>
        </w:rPr>
        <w:t xml:space="preserve">for </w:t>
      </w:r>
      <w:r w:rsidRPr="00812998">
        <w:rPr>
          <w:sz w:val="22"/>
          <w:szCs w:val="22"/>
          <w:lang w:val="en-GB"/>
        </w:rPr>
        <w:t xml:space="preserve">the collection of data </w:t>
      </w:r>
      <w:r w:rsidR="009177A4" w:rsidRPr="00812998">
        <w:rPr>
          <w:sz w:val="22"/>
          <w:szCs w:val="22"/>
          <w:lang w:val="en-GB"/>
        </w:rPr>
        <w:t xml:space="preserve">was </w:t>
      </w:r>
      <w:r w:rsidRPr="00812998">
        <w:rPr>
          <w:sz w:val="22"/>
          <w:szCs w:val="22"/>
          <w:lang w:val="en-GB"/>
        </w:rPr>
        <w:t xml:space="preserve">based on </w:t>
      </w:r>
      <w:r w:rsidR="000C447C" w:rsidRPr="00812998">
        <w:rPr>
          <w:sz w:val="22"/>
          <w:szCs w:val="22"/>
          <w:lang w:val="en-GB"/>
        </w:rPr>
        <w:t>a new</w:t>
      </w:r>
      <w:r w:rsidRPr="00812998">
        <w:rPr>
          <w:sz w:val="22"/>
          <w:szCs w:val="22"/>
          <w:lang w:val="en-GB"/>
        </w:rPr>
        <w:t xml:space="preserve"> questionnaire developed in cooperation with ICAO and oriented to the Abuja Safety Targets.</w:t>
      </w:r>
      <w:r w:rsidR="00EF371F" w:rsidRPr="00812998">
        <w:rPr>
          <w:sz w:val="22"/>
          <w:szCs w:val="22"/>
        </w:rPr>
        <w:t xml:space="preserve"> A total of 10 explicit questions to be answered or responded to by AFI States to determine the status of implementation of the Abuja Safety Targets</w:t>
      </w:r>
      <w:r w:rsidR="009177A4" w:rsidRPr="00812998">
        <w:rPr>
          <w:sz w:val="22"/>
          <w:szCs w:val="22"/>
        </w:rPr>
        <w:t xml:space="preserve"> were asked</w:t>
      </w:r>
      <w:r w:rsidR="00EF371F" w:rsidRPr="00812998">
        <w:rPr>
          <w:sz w:val="22"/>
          <w:szCs w:val="22"/>
        </w:rPr>
        <w:t>.</w:t>
      </w:r>
    </w:p>
    <w:p w:rsidR="002F59AE" w:rsidRPr="00812998" w:rsidRDefault="002F59AE" w:rsidP="002F59AE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0C447C" w:rsidRPr="00812998" w:rsidRDefault="000C447C" w:rsidP="00837A93">
      <w:pPr>
        <w:numPr>
          <w:ilvl w:val="1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  <w:lang w:val="en-GB"/>
        </w:rPr>
      </w:pPr>
      <w:r w:rsidRPr="00812998">
        <w:rPr>
          <w:sz w:val="22"/>
          <w:szCs w:val="22"/>
        </w:rPr>
        <w:t xml:space="preserve">The new questionnaire on </w:t>
      </w:r>
      <w:r w:rsidR="009177A4" w:rsidRPr="00812998">
        <w:rPr>
          <w:sz w:val="22"/>
          <w:szCs w:val="22"/>
        </w:rPr>
        <w:t xml:space="preserve">the </w:t>
      </w:r>
      <w:r w:rsidRPr="00812998">
        <w:rPr>
          <w:sz w:val="22"/>
          <w:szCs w:val="22"/>
        </w:rPr>
        <w:t xml:space="preserve">collection of data which is attached as an appendix to </w:t>
      </w:r>
      <w:r w:rsidR="009177A4" w:rsidRPr="00812998">
        <w:rPr>
          <w:sz w:val="22"/>
          <w:szCs w:val="22"/>
        </w:rPr>
        <w:t xml:space="preserve">this </w:t>
      </w:r>
      <w:r w:rsidRPr="00812998">
        <w:rPr>
          <w:sz w:val="22"/>
          <w:szCs w:val="22"/>
        </w:rPr>
        <w:t>Working Paper was based on two (2) broad criteria namely:</w:t>
      </w:r>
    </w:p>
    <w:p w:rsidR="00837A93" w:rsidRPr="00812998" w:rsidRDefault="00837A93" w:rsidP="00837A93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2F59AE" w:rsidRPr="00812998" w:rsidRDefault="002F59AE" w:rsidP="002F59AE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2"/>
          <w:szCs w:val="22"/>
        </w:rPr>
      </w:pPr>
      <w:r w:rsidRPr="00812998">
        <w:rPr>
          <w:sz w:val="22"/>
          <w:szCs w:val="22"/>
        </w:rPr>
        <w:t>Reducing the accident rate in the AFI Region to within world average, and</w:t>
      </w:r>
    </w:p>
    <w:p w:rsidR="002F59AE" w:rsidRPr="00812998" w:rsidRDefault="002F59AE" w:rsidP="002F59AE">
      <w:pPr>
        <w:numPr>
          <w:ilvl w:val="0"/>
          <w:numId w:val="21"/>
        </w:numPr>
        <w:autoSpaceDE w:val="0"/>
        <w:autoSpaceDN w:val="0"/>
        <w:adjustRightInd w:val="0"/>
        <w:spacing w:before="120" w:after="120"/>
        <w:contextualSpacing/>
        <w:jc w:val="both"/>
        <w:rPr>
          <w:sz w:val="22"/>
          <w:szCs w:val="22"/>
        </w:rPr>
      </w:pPr>
      <w:r w:rsidRPr="00812998">
        <w:rPr>
          <w:sz w:val="22"/>
          <w:szCs w:val="22"/>
        </w:rPr>
        <w:t>Implementing effective and independent regulatory oversight.</w:t>
      </w:r>
    </w:p>
    <w:p w:rsidR="002F59AE" w:rsidRPr="00812998" w:rsidRDefault="002F59AE" w:rsidP="00837A93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2F59AE" w:rsidRPr="00812998" w:rsidRDefault="002F59AE" w:rsidP="002F59AE">
      <w:pPr>
        <w:numPr>
          <w:ilvl w:val="1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  <w:lang w:val="en-GB"/>
        </w:rPr>
      </w:pPr>
      <w:r w:rsidRPr="00812998">
        <w:rPr>
          <w:sz w:val="22"/>
          <w:szCs w:val="22"/>
        </w:rPr>
        <w:lastRenderedPageBreak/>
        <w:t>In accordance with Conclusion 3/11 of RASG-AFI/3, forty-</w:t>
      </w:r>
      <w:r w:rsidR="00B0519B" w:rsidRPr="00812998">
        <w:rPr>
          <w:sz w:val="22"/>
          <w:szCs w:val="22"/>
        </w:rPr>
        <w:t>four</w:t>
      </w:r>
      <w:r w:rsidR="00B52C96" w:rsidRPr="00812998">
        <w:rPr>
          <w:sz w:val="22"/>
          <w:szCs w:val="22"/>
        </w:rPr>
        <w:t xml:space="preserve"> (4</w:t>
      </w:r>
      <w:r w:rsidR="00B0519B" w:rsidRPr="00812998">
        <w:rPr>
          <w:sz w:val="22"/>
          <w:szCs w:val="22"/>
        </w:rPr>
        <w:t>4</w:t>
      </w:r>
      <w:r w:rsidRPr="00812998">
        <w:rPr>
          <w:sz w:val="22"/>
          <w:szCs w:val="22"/>
        </w:rPr>
        <w:t xml:space="preserve">) AFI States have designated Focal Points to facilitate coordination with AFCAC on safety matters and the monitoring of the implementation of Abuja Safety Targets. The AFI States that </w:t>
      </w:r>
      <w:r w:rsidR="009177A4" w:rsidRPr="00812998">
        <w:rPr>
          <w:sz w:val="22"/>
          <w:szCs w:val="22"/>
        </w:rPr>
        <w:t xml:space="preserve">are </w:t>
      </w:r>
      <w:r w:rsidRPr="00812998">
        <w:rPr>
          <w:sz w:val="22"/>
          <w:szCs w:val="22"/>
        </w:rPr>
        <w:t xml:space="preserve">yet </w:t>
      </w:r>
      <w:r w:rsidR="009177A4" w:rsidRPr="00812998">
        <w:rPr>
          <w:sz w:val="22"/>
          <w:szCs w:val="22"/>
        </w:rPr>
        <w:t xml:space="preserve">to </w:t>
      </w:r>
      <w:r w:rsidRPr="00812998">
        <w:rPr>
          <w:sz w:val="22"/>
          <w:szCs w:val="22"/>
        </w:rPr>
        <w:t xml:space="preserve">designate Focal Points are: Comoros, </w:t>
      </w:r>
      <w:r w:rsidR="00B52C96" w:rsidRPr="00812998">
        <w:rPr>
          <w:sz w:val="22"/>
          <w:szCs w:val="22"/>
        </w:rPr>
        <w:t>Eritrea,</w:t>
      </w:r>
      <w:r w:rsidR="00214285" w:rsidRPr="00812998">
        <w:rPr>
          <w:sz w:val="22"/>
          <w:szCs w:val="22"/>
        </w:rPr>
        <w:t xml:space="preserve"> Djibouti,</w:t>
      </w:r>
      <w:r w:rsidR="00B52C96" w:rsidRPr="00812998">
        <w:rPr>
          <w:sz w:val="22"/>
          <w:szCs w:val="22"/>
        </w:rPr>
        <w:t xml:space="preserve"> and</w:t>
      </w:r>
      <w:r w:rsidRPr="00812998">
        <w:rPr>
          <w:sz w:val="22"/>
          <w:szCs w:val="22"/>
        </w:rPr>
        <w:t xml:space="preserve"> Madagascar.</w:t>
      </w:r>
    </w:p>
    <w:p w:rsidR="00B74DD5" w:rsidRPr="00812998" w:rsidRDefault="00B74DD5" w:rsidP="00B74DD5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5D1973" w:rsidRPr="00812998" w:rsidRDefault="005D1973" w:rsidP="002F59AE">
      <w:pPr>
        <w:numPr>
          <w:ilvl w:val="1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  <w:lang w:val="en-GB"/>
        </w:rPr>
      </w:pPr>
      <w:r w:rsidRPr="00812998">
        <w:rPr>
          <w:sz w:val="22"/>
          <w:szCs w:val="22"/>
        </w:rPr>
        <w:t xml:space="preserve">The Designated Focal Points have started to coordinate with AFCAC and a significant improvement </w:t>
      </w:r>
      <w:r w:rsidR="00EA190B" w:rsidRPr="00812998">
        <w:rPr>
          <w:sz w:val="22"/>
          <w:szCs w:val="22"/>
        </w:rPr>
        <w:t>has been noted in the collection of data.</w:t>
      </w:r>
      <w:r w:rsidRPr="00812998">
        <w:rPr>
          <w:sz w:val="22"/>
          <w:szCs w:val="22"/>
        </w:rPr>
        <w:t xml:space="preserve"> </w:t>
      </w:r>
      <w:r w:rsidR="00B74DD5" w:rsidRPr="00812998">
        <w:rPr>
          <w:sz w:val="22"/>
          <w:szCs w:val="22"/>
        </w:rPr>
        <w:t xml:space="preserve">In this regard, </w:t>
      </w:r>
      <w:r w:rsidR="00EF371F" w:rsidRPr="00812998">
        <w:rPr>
          <w:sz w:val="22"/>
          <w:szCs w:val="22"/>
        </w:rPr>
        <w:t>AFCAC will continue to develop strategic solutions with the Focal</w:t>
      </w:r>
      <w:r w:rsidR="00B74DD5" w:rsidRPr="00812998">
        <w:rPr>
          <w:sz w:val="22"/>
          <w:szCs w:val="22"/>
        </w:rPr>
        <w:t xml:space="preserve"> Points in order to compile</w:t>
      </w:r>
      <w:r w:rsidR="00EF371F" w:rsidRPr="00812998">
        <w:rPr>
          <w:sz w:val="22"/>
          <w:szCs w:val="22"/>
        </w:rPr>
        <w:t xml:space="preserve"> </w:t>
      </w:r>
      <w:r w:rsidRPr="00812998">
        <w:rPr>
          <w:sz w:val="22"/>
          <w:szCs w:val="22"/>
        </w:rPr>
        <w:t xml:space="preserve">comprehensive data from </w:t>
      </w:r>
      <w:r w:rsidR="00EF371F" w:rsidRPr="00812998">
        <w:rPr>
          <w:sz w:val="22"/>
          <w:szCs w:val="22"/>
        </w:rPr>
        <w:t xml:space="preserve">all </w:t>
      </w:r>
      <w:r w:rsidRPr="00812998">
        <w:rPr>
          <w:sz w:val="22"/>
          <w:szCs w:val="22"/>
        </w:rPr>
        <w:t>AFI States</w:t>
      </w:r>
      <w:r w:rsidR="00EF371F" w:rsidRPr="00812998">
        <w:rPr>
          <w:sz w:val="22"/>
          <w:szCs w:val="22"/>
        </w:rPr>
        <w:t>.</w:t>
      </w:r>
    </w:p>
    <w:p w:rsidR="00EF371F" w:rsidRPr="00812998" w:rsidRDefault="00EF371F" w:rsidP="00EF371F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EF371F" w:rsidRPr="00812998" w:rsidRDefault="00EF371F" w:rsidP="002F59AE">
      <w:pPr>
        <w:numPr>
          <w:ilvl w:val="1"/>
          <w:numId w:val="20"/>
        </w:numPr>
        <w:spacing w:before="120" w:after="120"/>
        <w:ind w:left="0" w:firstLine="0"/>
        <w:contextualSpacing/>
        <w:jc w:val="both"/>
        <w:rPr>
          <w:sz w:val="22"/>
          <w:szCs w:val="22"/>
          <w:lang w:val="en-GB"/>
        </w:rPr>
      </w:pPr>
      <w:r w:rsidRPr="00812998">
        <w:rPr>
          <w:sz w:val="22"/>
          <w:szCs w:val="22"/>
        </w:rPr>
        <w:t>The mechanism for the follow-up and monitoring of the status of implementation of the Abuja Safety Targets also includes the collection of data from other sources such as ICAO, IATA, ACI, etc.</w:t>
      </w:r>
    </w:p>
    <w:p w:rsidR="005D1973" w:rsidRPr="00812998" w:rsidRDefault="005D1973" w:rsidP="005D1973">
      <w:pPr>
        <w:spacing w:before="120" w:after="120"/>
        <w:contextualSpacing/>
        <w:jc w:val="both"/>
        <w:rPr>
          <w:sz w:val="22"/>
          <w:szCs w:val="22"/>
          <w:lang w:val="en-GB"/>
        </w:rPr>
      </w:pPr>
    </w:p>
    <w:p w:rsidR="00837A93" w:rsidRPr="00812998" w:rsidRDefault="00837A93" w:rsidP="00837A93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0" w:firstLine="0"/>
        <w:contextualSpacing/>
        <w:jc w:val="both"/>
        <w:rPr>
          <w:b/>
          <w:sz w:val="22"/>
          <w:szCs w:val="22"/>
        </w:rPr>
      </w:pPr>
      <w:r w:rsidRPr="00812998">
        <w:rPr>
          <w:b/>
          <w:sz w:val="22"/>
          <w:szCs w:val="22"/>
        </w:rPr>
        <w:t>STATUS OF IMPLEMENTATION OF THE ABUJA SAFETY TARGETS</w:t>
      </w:r>
    </w:p>
    <w:p w:rsidR="00837A93" w:rsidRPr="00812998" w:rsidRDefault="00837A93" w:rsidP="00837A93">
      <w:pPr>
        <w:autoSpaceDE w:val="0"/>
        <w:autoSpaceDN w:val="0"/>
        <w:adjustRightInd w:val="0"/>
        <w:spacing w:before="120" w:after="120"/>
        <w:contextualSpacing/>
        <w:jc w:val="both"/>
        <w:rPr>
          <w:b/>
          <w:sz w:val="22"/>
          <w:szCs w:val="22"/>
        </w:rPr>
      </w:pPr>
    </w:p>
    <w:p w:rsidR="00837A93" w:rsidRPr="00812998" w:rsidRDefault="00837A93" w:rsidP="00B74DD5">
      <w:pPr>
        <w:numPr>
          <w:ilvl w:val="1"/>
          <w:numId w:val="20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sz w:val="22"/>
          <w:szCs w:val="22"/>
        </w:rPr>
      </w:pPr>
      <w:r w:rsidRPr="00812998">
        <w:rPr>
          <w:sz w:val="22"/>
          <w:szCs w:val="22"/>
        </w:rPr>
        <w:t xml:space="preserve">As of </w:t>
      </w:r>
      <w:r w:rsidR="00B74DD5" w:rsidRPr="00812998">
        <w:rPr>
          <w:sz w:val="22"/>
          <w:szCs w:val="22"/>
        </w:rPr>
        <w:t>May</w:t>
      </w:r>
      <w:r w:rsidRPr="00812998">
        <w:rPr>
          <w:sz w:val="22"/>
          <w:szCs w:val="22"/>
        </w:rPr>
        <w:t xml:space="preserve"> 2016, the status of the implementation of the Abuja Safety Targets is as follows:</w:t>
      </w:r>
    </w:p>
    <w:p w:rsidR="00837A93" w:rsidRPr="00812998" w:rsidRDefault="00837A93" w:rsidP="00837A93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827"/>
      </w:tblGrid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bCs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bCs/>
                <w:sz w:val="22"/>
                <w:szCs w:val="22"/>
                <w:lang w:val="fr-FR" w:eastAsia="fr-FR"/>
              </w:rPr>
              <w:t>Nr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bCs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bCs/>
                <w:sz w:val="22"/>
                <w:szCs w:val="22"/>
                <w:lang w:val="fr-FR" w:eastAsia="fr-FR"/>
              </w:rPr>
              <w:t>Abuja Safety Targets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jc w:val="center"/>
              <w:rPr>
                <w:bCs/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bCs/>
                <w:sz w:val="22"/>
                <w:szCs w:val="22"/>
                <w:lang w:val="fr-FR" w:eastAsia="fr-FR"/>
              </w:rPr>
              <w:t>Assessments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bCs/>
                <w:sz w:val="22"/>
                <w:szCs w:val="22"/>
                <w:lang w:val="fr-FR" w:eastAsia="fr-FR"/>
              </w:rPr>
              <w:t>Achievements</w:t>
            </w:r>
          </w:p>
        </w:tc>
      </w:tr>
      <w:tr w:rsidR="00837A93" w:rsidRPr="00812998" w:rsidTr="00837A93">
        <w:trPr>
          <w:trHeight w:val="14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Reduce Runway related accidents and serious incidents by 50% by end of 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Runway Related Accidents &amp; serious incidents had a rate of </w:t>
            </w:r>
            <w:r w:rsidRPr="00812998">
              <w:rPr>
                <w:rFonts w:eastAsia="Calibri"/>
                <w:b/>
                <w:bCs/>
                <w:sz w:val="22"/>
                <w:szCs w:val="22"/>
                <w:lang w:eastAsia="fr-FR"/>
              </w:rPr>
              <w:t xml:space="preserve">6.8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accidents per million sectors in 2012 and </w:t>
            </w:r>
            <w:r w:rsidRPr="00812998">
              <w:rPr>
                <w:rFonts w:eastAsia="Calibri"/>
                <w:b/>
                <w:bCs/>
                <w:sz w:val="22"/>
                <w:szCs w:val="22"/>
                <w:lang w:eastAsia="fr-FR"/>
              </w:rPr>
              <w:t xml:space="preserve">2.8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by end of 2015.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jc w:val="right"/>
              <w:rPr>
                <w:i/>
                <w:sz w:val="22"/>
                <w:szCs w:val="22"/>
                <w:lang w:val="en-GB" w:eastAsia="fr-FR"/>
              </w:rPr>
            </w:pPr>
            <w:r w:rsidRPr="00812998">
              <w:rPr>
                <w:i/>
                <w:sz w:val="22"/>
                <w:szCs w:val="22"/>
                <w:lang w:val="en-GB" w:eastAsia="fr-FR"/>
              </w:rPr>
              <w:t>(Source: IATA)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b/>
                <w:sz w:val="22"/>
                <w:szCs w:val="22"/>
                <w:lang w:eastAsia="fr-FR"/>
              </w:rPr>
              <w:t xml:space="preserve">Safety Target met. </w:t>
            </w: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The positive trend should be maintained by AFI States.</w:t>
            </w: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As of December 2015. Twelve (12) Runway Safety Teams have been established at 12 international airports within AFI Region. </w:t>
            </w:r>
          </w:p>
        </w:tc>
      </w:tr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Reduce Controlled Flight Into Terrain (CFIT) related accidents and serious incidents by 50% by end of 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CFIT related Accidents &amp; serious Incidents had a rate of </w:t>
            </w:r>
            <w:r w:rsidRPr="00812998">
              <w:rPr>
                <w:rFonts w:eastAsia="Calibri"/>
                <w:b/>
                <w:bCs/>
                <w:sz w:val="22"/>
                <w:szCs w:val="22"/>
                <w:lang w:eastAsia="fr-FR"/>
              </w:rPr>
              <w:t xml:space="preserve">1.2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per million sectors in 2012 and went down to </w:t>
            </w:r>
            <w:r w:rsidRPr="00812998">
              <w:rPr>
                <w:rFonts w:eastAsia="Calibri"/>
                <w:b/>
                <w:bCs/>
                <w:sz w:val="22"/>
                <w:szCs w:val="22"/>
                <w:lang w:eastAsia="fr-FR"/>
              </w:rPr>
              <w:t xml:space="preserve">0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in 2015. </w:t>
            </w:r>
          </w:p>
          <w:p w:rsidR="00837A93" w:rsidRPr="00812998" w:rsidRDefault="00837A93">
            <w:pPr>
              <w:spacing w:before="120" w:after="120"/>
              <w:jc w:val="right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rFonts w:eastAsia="Calibri"/>
                <w:i/>
                <w:iCs/>
                <w:sz w:val="22"/>
                <w:szCs w:val="22"/>
                <w:lang w:val="fr-FR" w:eastAsia="fr-FR"/>
              </w:rPr>
              <w:t>(Source: IATA)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sz w:val="22"/>
                <w:szCs w:val="22"/>
                <w:lang w:val="en-GB" w:eastAsia="fr-FR"/>
              </w:rPr>
              <w:t>Safety Target met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The positive trend should be maintained by AFI States with Fleet modernization by AFI operators, implementation of PBN procedures (APV) by AFI States; and establishment and/or maintenance of CCO/CDO).</w:t>
            </w:r>
          </w:p>
        </w:tc>
      </w:tr>
      <w:tr w:rsidR="00837A93" w:rsidRPr="00812998" w:rsidTr="00837A93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Reduce LOC-I related accidents and serious incidents by 50% by the end of 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LOC-I related accidents &amp; serious incidents had a rate of </w:t>
            </w:r>
            <w:r w:rsidRPr="00812998">
              <w:rPr>
                <w:rFonts w:eastAsia="Calibri"/>
                <w:b/>
                <w:bCs/>
                <w:sz w:val="22"/>
                <w:szCs w:val="22"/>
                <w:lang w:eastAsia="fr-FR"/>
              </w:rPr>
              <w:t xml:space="preserve">2.25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per million sectors in 2012 and went down to </w:t>
            </w:r>
            <w:r w:rsidRPr="00812998">
              <w:rPr>
                <w:rFonts w:eastAsia="Calibri"/>
                <w:b/>
                <w:bCs/>
                <w:sz w:val="22"/>
                <w:szCs w:val="22"/>
                <w:lang w:eastAsia="fr-FR"/>
              </w:rPr>
              <w:t xml:space="preserve">0.80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by end of 2015. </w:t>
            </w:r>
          </w:p>
          <w:p w:rsidR="00837A93" w:rsidRPr="00812998" w:rsidRDefault="00837A93">
            <w:pPr>
              <w:spacing w:before="120" w:after="120"/>
              <w:jc w:val="right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rFonts w:eastAsia="Calibri"/>
                <w:i/>
                <w:iCs/>
                <w:sz w:val="22"/>
                <w:szCs w:val="22"/>
                <w:lang w:val="fr-FR" w:eastAsia="fr-FR"/>
              </w:rPr>
              <w:t>(Source: IATA)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sz w:val="22"/>
                <w:szCs w:val="22"/>
                <w:lang w:val="en-GB" w:eastAsia="fr-FR"/>
              </w:rPr>
              <w:t>Safety Target met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sz w:val="22"/>
                <w:szCs w:val="22"/>
                <w:lang w:val="en-GB" w:eastAsia="fr-FR"/>
              </w:rPr>
              <w:t xml:space="preserve">The positive trend should be maintained. 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sz w:val="22"/>
                <w:szCs w:val="22"/>
                <w:lang w:val="en-GB" w:eastAsia="fr-FR"/>
              </w:rPr>
              <w:t xml:space="preserve">ICAO and Stakeholders to continue their assistance to AFI States in organising more workshops on LOC-I </w:t>
            </w:r>
          </w:p>
        </w:tc>
      </w:tr>
      <w:tr w:rsidR="00837A93" w:rsidRPr="00812998" w:rsidTr="00837A93">
        <w:trPr>
          <w:trHeight w:val="2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States to establish and strengthen autonomous Civil Aviation Authorities by end of 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>From responses to the questionnaire received, the AFI States indicated that a Primary Act empowered their CAA to be an autonomous entity.</w:t>
            </w:r>
          </w:p>
          <w:p w:rsidR="00837A93" w:rsidRPr="00812998" w:rsidRDefault="00837A93" w:rsidP="00812998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 xml:space="preserve">Malawi indicated that the Process is </w:t>
            </w:r>
            <w:r w:rsidR="00247501" w:rsidRPr="00812998">
              <w:rPr>
                <w:sz w:val="22"/>
                <w:szCs w:val="22"/>
                <w:lang w:eastAsia="fr-FR"/>
              </w:rPr>
              <w:t>on-going</w:t>
            </w:r>
            <w:r w:rsidRPr="00812998">
              <w:rPr>
                <w:sz w:val="22"/>
                <w:szCs w:val="22"/>
                <w:lang w:eastAsia="fr-FR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sz w:val="22"/>
                <w:szCs w:val="22"/>
                <w:lang w:val="en-GB" w:eastAsia="fr-FR"/>
              </w:rPr>
              <w:t>Comprehensive data on status of CAAs not available</w:t>
            </w:r>
            <w:r w:rsidRPr="00812998">
              <w:rPr>
                <w:sz w:val="22"/>
                <w:szCs w:val="22"/>
                <w:lang w:val="en-GB" w:eastAsia="fr-FR"/>
              </w:rPr>
              <w:t xml:space="preserve">. </w:t>
            </w:r>
          </w:p>
          <w:p w:rsidR="00837A93" w:rsidRPr="00812998" w:rsidRDefault="00247501" w:rsidP="00812998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sz w:val="22"/>
                <w:szCs w:val="22"/>
                <w:lang w:val="en-GB" w:eastAsia="fr-FR"/>
              </w:rPr>
              <w:t>T</w:t>
            </w:r>
            <w:r w:rsidR="00837A93" w:rsidRPr="00812998">
              <w:rPr>
                <w:sz w:val="22"/>
                <w:szCs w:val="22"/>
                <w:lang w:val="en-GB" w:eastAsia="fr-FR"/>
              </w:rPr>
              <w:t>he twenty-two (22) CAA</w:t>
            </w:r>
            <w:r w:rsidRPr="00812998">
              <w:rPr>
                <w:sz w:val="22"/>
                <w:szCs w:val="22"/>
                <w:lang w:val="en-GB" w:eastAsia="fr-FR"/>
              </w:rPr>
              <w:t>s</w:t>
            </w:r>
            <w:r w:rsidR="00837A93" w:rsidRPr="00812998">
              <w:rPr>
                <w:sz w:val="22"/>
                <w:szCs w:val="22"/>
                <w:lang w:val="en-GB" w:eastAsia="fr-FR"/>
              </w:rPr>
              <w:t xml:space="preserve"> of States that have attained the 60% EI Target, among the forty eight (48) AFI States, have effective autonomy.</w:t>
            </w:r>
          </w:p>
        </w:tc>
      </w:tr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Resolve ALL identified Significant Safety Concerns [existing ones by July 2013 and new ones within 12 months]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val="en-GB" w:eastAsia="fr-FR"/>
              </w:rPr>
              <w:t>A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s of April 2016, 4 States with 4 SSCs namely Djibouti, Angola, Malawi and Eritrea are outstanding :</w:t>
            </w:r>
          </w:p>
          <w:p w:rsidR="00837A93" w:rsidRPr="00812998" w:rsidRDefault="00837A93">
            <w:pPr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b/>
                <w:sz w:val="22"/>
                <w:szCs w:val="22"/>
                <w:u w:val="single"/>
                <w:lang w:eastAsia="fr-FR"/>
              </w:rPr>
              <w:t>Djibouti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and </w:t>
            </w:r>
            <w:r w:rsidRPr="00812998">
              <w:rPr>
                <w:rFonts w:eastAsia="Calibri"/>
                <w:b/>
                <w:sz w:val="22"/>
                <w:szCs w:val="22"/>
                <w:u w:val="single"/>
                <w:lang w:eastAsia="fr-FR"/>
              </w:rPr>
              <w:t>Eritrea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remain priority States for AFCAC AFI-CIS missions.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contextualSpacing/>
              <w:jc w:val="both"/>
              <w:rPr>
                <w:rFonts w:eastAsia="Calibri"/>
                <w:b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b/>
                <w:sz w:val="22"/>
                <w:szCs w:val="22"/>
                <w:lang w:eastAsia="fr-FR"/>
              </w:rPr>
              <w:t>Safety Target not met</w:t>
            </w:r>
          </w:p>
          <w:p w:rsidR="00837A93" w:rsidRPr="00812998" w:rsidRDefault="00837A93">
            <w:pPr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b/>
                <w:sz w:val="22"/>
                <w:szCs w:val="22"/>
                <w:u w:val="single"/>
                <w:lang w:eastAsia="fr-FR"/>
              </w:rPr>
              <w:t>Angola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has made significant progress and has </w:t>
            </w:r>
            <w:r w:rsidR="00D24FD3" w:rsidRPr="00812998">
              <w:rPr>
                <w:rFonts w:eastAsia="Calibri"/>
                <w:sz w:val="22"/>
                <w:szCs w:val="22"/>
                <w:lang w:eastAsia="fr-FR"/>
              </w:rPr>
              <w:t xml:space="preserve">indicated willingness to receive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an ICVM to verify the effective resolution of its identified SSC.</w:t>
            </w:r>
          </w:p>
          <w:p w:rsidR="00837A93" w:rsidRPr="00812998" w:rsidRDefault="00837A93" w:rsidP="00D24FD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A follow-up AFI-CIS mission will be conducted in </w:t>
            </w:r>
            <w:r w:rsidRPr="00812998">
              <w:rPr>
                <w:rFonts w:eastAsia="Calibri"/>
                <w:b/>
                <w:sz w:val="22"/>
                <w:szCs w:val="22"/>
                <w:u w:val="single"/>
                <w:lang w:eastAsia="fr-FR"/>
              </w:rPr>
              <w:t>Malawi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from 16 to 29 May 201</w:t>
            </w:r>
            <w:r w:rsidR="00D24FD3" w:rsidRPr="00812998">
              <w:rPr>
                <w:rFonts w:eastAsia="Calibri"/>
                <w:sz w:val="22"/>
                <w:szCs w:val="22"/>
                <w:lang w:eastAsia="fr-FR"/>
              </w:rPr>
              <w:t>6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. The AFI-CIS Inspectors will assist the Malawi CAA to address specific PQs for the implementation of its Corrective Action Plan</w:t>
            </w:r>
          </w:p>
        </w:tc>
      </w:tr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Implementation of State specific ICAO Plans of Action by July 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>Thirty-Two (32 ) States have accepted ICAO Plans of Action and are at different stages of implementation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jc w:val="right"/>
              <w:rPr>
                <w:i/>
                <w:sz w:val="22"/>
                <w:szCs w:val="22"/>
                <w:lang w:val="fr-FR" w:eastAsia="fr-FR"/>
              </w:rPr>
            </w:pPr>
            <w:r w:rsidRPr="00812998">
              <w:rPr>
                <w:i/>
                <w:sz w:val="22"/>
                <w:szCs w:val="22"/>
                <w:lang w:val="fr-FR" w:eastAsia="fr-FR"/>
              </w:rPr>
              <w:t>(Source: ICAO)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>The Abuja Safety Targets are fully incorporated in</w:t>
            </w:r>
            <w:r w:rsidR="00247501" w:rsidRPr="00812998">
              <w:rPr>
                <w:sz w:val="22"/>
                <w:szCs w:val="22"/>
                <w:lang w:eastAsia="fr-FR"/>
              </w:rPr>
              <w:t>to</w:t>
            </w:r>
            <w:r w:rsidRPr="00812998">
              <w:rPr>
                <w:sz w:val="22"/>
                <w:szCs w:val="22"/>
                <w:lang w:eastAsia="fr-FR"/>
              </w:rPr>
              <w:t xml:space="preserve"> the Plans of Action.</w:t>
            </w:r>
          </w:p>
          <w:p w:rsidR="00837A93" w:rsidRPr="00812998" w:rsidRDefault="00837A93" w:rsidP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>Most States with ICAO Plans of Action have registered significant progress in the level of safety oversight.</w:t>
            </w:r>
          </w:p>
        </w:tc>
      </w:tr>
      <w:tr w:rsidR="00837A93" w:rsidRPr="00812998" w:rsidTr="00837A93">
        <w:trPr>
          <w:trHeight w:val="1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Progressively increase the Effective Implementation (EI) score of ICAO’s USOAP results to no less than 60% (35% or 19 of all African States by end of 2013, and 70% or 38 of all African States by end of 2015 and 100% or 54 of all African States by end of 2017)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bCs/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 xml:space="preserve">As of April 2016, Twenty-two (22) States have attained EI ≥ 60% and </w:t>
            </w:r>
            <w:r w:rsidRPr="00812998">
              <w:rPr>
                <w:bCs/>
                <w:sz w:val="22"/>
                <w:szCs w:val="22"/>
                <w:lang w:eastAsia="fr-FR"/>
              </w:rPr>
              <w:t xml:space="preserve">Fourteen (14) AFI States have EI ≤ 30%. </w:t>
            </w:r>
          </w:p>
          <w:p w:rsidR="00837A93" w:rsidRPr="00812998" w:rsidRDefault="00837A93">
            <w:pPr>
              <w:spacing w:before="120" w:after="120"/>
              <w:rPr>
                <w:bCs/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rPr>
                <w:bCs/>
                <w:sz w:val="22"/>
                <w:szCs w:val="22"/>
                <w:lang w:eastAsia="fr-FR"/>
              </w:rPr>
            </w:pPr>
            <w:r w:rsidRPr="00812998">
              <w:rPr>
                <w:bCs/>
                <w:sz w:val="22"/>
                <w:szCs w:val="22"/>
                <w:lang w:eastAsia="fr-FR"/>
              </w:rPr>
              <w:t>AFI Average USOAP Overall EI = 45.43%</w:t>
            </w:r>
          </w:p>
          <w:p w:rsidR="00837A93" w:rsidRPr="00812998" w:rsidRDefault="00837A93">
            <w:pPr>
              <w:spacing w:before="120" w:after="120"/>
              <w:rPr>
                <w:bCs/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rPr>
                <w:bCs/>
                <w:sz w:val="22"/>
                <w:szCs w:val="22"/>
                <w:lang w:val="fr-FR" w:eastAsia="fr-FR"/>
              </w:rPr>
            </w:pPr>
            <w:r w:rsidRPr="00812998">
              <w:rPr>
                <w:bCs/>
                <w:sz w:val="22"/>
                <w:szCs w:val="22"/>
                <w:lang w:val="fr-FR" w:eastAsia="fr-FR"/>
              </w:rPr>
              <w:t>EI Global Average = 62.87%</w:t>
            </w:r>
          </w:p>
          <w:p w:rsidR="00837A93" w:rsidRPr="00812998" w:rsidRDefault="00837A93">
            <w:pPr>
              <w:spacing w:before="120" w:after="120"/>
              <w:jc w:val="right"/>
              <w:rPr>
                <w:bCs/>
                <w:i/>
                <w:sz w:val="22"/>
                <w:szCs w:val="22"/>
                <w:lang w:val="fr-FR" w:eastAsia="fr-FR"/>
              </w:rPr>
            </w:pPr>
            <w:r w:rsidRPr="00812998">
              <w:rPr>
                <w:bCs/>
                <w:i/>
                <w:sz w:val="22"/>
                <w:szCs w:val="22"/>
                <w:lang w:val="fr-FR" w:eastAsia="fr-FR"/>
              </w:rPr>
              <w:t>(Source: ICAO)</w:t>
            </w:r>
          </w:p>
          <w:p w:rsidR="00837A93" w:rsidRPr="00812998" w:rsidRDefault="00837A93">
            <w:pPr>
              <w:spacing w:before="120" w:after="120"/>
              <w:jc w:val="right"/>
              <w:rPr>
                <w:i/>
                <w:sz w:val="22"/>
                <w:szCs w:val="22"/>
                <w:lang w:val="fr-FR" w:eastAsia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Safety Target not met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>Number of States with EI of 60% or greater has increased significantly from Fifteen (15) in 2014 to Twenty-two (22) at 2015 end.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</w:p>
          <w:p w:rsidR="00837A93" w:rsidRPr="00812998" w:rsidRDefault="00837A93" w:rsidP="00812998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 xml:space="preserve">The efforts of ICAO and AFCAC </w:t>
            </w:r>
            <w:r w:rsidR="00247501" w:rsidRPr="00812998">
              <w:rPr>
                <w:sz w:val="22"/>
                <w:szCs w:val="22"/>
                <w:lang w:eastAsia="fr-FR"/>
              </w:rPr>
              <w:t xml:space="preserve">will need </w:t>
            </w:r>
            <w:r w:rsidRPr="00812998">
              <w:rPr>
                <w:sz w:val="22"/>
                <w:szCs w:val="22"/>
                <w:lang w:eastAsia="fr-FR"/>
              </w:rPr>
              <w:t>to be intensified to accelerate the implementation of the CAPs</w:t>
            </w:r>
          </w:p>
        </w:tc>
      </w:tr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Implement State Safety Programs (SSP) and ensure that all Service Providers implement a Safety Management System (SMS) by end of 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>Eleven (11) States have initiated implementation of SSP and the highest attained is level 2.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sz w:val="22"/>
                <w:szCs w:val="22"/>
                <w:lang w:eastAsia="fr-FR"/>
              </w:rPr>
              <w:t xml:space="preserve">However, none of the </w:t>
            </w:r>
            <w:r w:rsidRPr="00812998">
              <w:rPr>
                <w:sz w:val="22"/>
                <w:szCs w:val="22"/>
                <w:lang w:val="en-GB" w:eastAsia="fr-FR"/>
              </w:rPr>
              <w:t xml:space="preserve">forty </w:t>
            </w:r>
            <w:r w:rsidRPr="00812998">
              <w:rPr>
                <w:sz w:val="22"/>
                <w:szCs w:val="22"/>
                <w:lang w:eastAsia="fr-FR"/>
              </w:rPr>
              <w:t>eight (48) States has attained level 4 implementation of SSP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jc w:val="right"/>
              <w:rPr>
                <w:i/>
                <w:sz w:val="22"/>
                <w:szCs w:val="22"/>
                <w:lang w:val="fr-FR" w:eastAsia="fr-FR"/>
              </w:rPr>
            </w:pPr>
            <w:r w:rsidRPr="00812998">
              <w:rPr>
                <w:i/>
                <w:sz w:val="22"/>
                <w:szCs w:val="22"/>
                <w:lang w:val="fr-FR" w:eastAsia="fr-FR"/>
              </w:rPr>
              <w:t>(Source: ICAO)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sz w:val="22"/>
                <w:szCs w:val="22"/>
                <w:lang w:val="en-GB" w:eastAsia="fr-FR"/>
              </w:rPr>
              <w:lastRenderedPageBreak/>
              <w:t xml:space="preserve">Safety Target not met </w:t>
            </w: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val="en-GB" w:eastAsia="fr-FR"/>
              </w:rPr>
            </w:pPr>
          </w:p>
          <w:p w:rsidR="00837A93" w:rsidRPr="00812998" w:rsidRDefault="00837A93" w:rsidP="00812998">
            <w:pPr>
              <w:spacing w:before="120" w:after="120"/>
              <w:rPr>
                <w:sz w:val="22"/>
                <w:szCs w:val="22"/>
                <w:highlight w:val="yellow"/>
                <w:lang w:eastAsia="fr-FR"/>
              </w:rPr>
            </w:pPr>
            <w:r w:rsidRPr="00812998">
              <w:rPr>
                <w:sz w:val="22"/>
                <w:szCs w:val="22"/>
                <w:lang w:val="en-GB" w:eastAsia="fr-FR"/>
              </w:rPr>
              <w:t>Comprehensive data on status of SSP/SMS implementation not available. T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he implementation of SSP remains a serious challenge, as no State indicated </w:t>
            </w:r>
            <w:r w:rsidR="00247501" w:rsidRPr="00812998">
              <w:rPr>
                <w:rFonts w:eastAsia="Calibri"/>
                <w:sz w:val="22"/>
                <w:szCs w:val="22"/>
                <w:lang w:eastAsia="fr-FR"/>
              </w:rPr>
              <w:t>the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</w:t>
            </w:r>
            <w:r w:rsidR="00247501" w:rsidRPr="00812998">
              <w:rPr>
                <w:rFonts w:eastAsia="Calibri"/>
                <w:sz w:val="22"/>
                <w:szCs w:val="22"/>
                <w:lang w:eastAsia="fr-FR"/>
              </w:rPr>
              <w:t xml:space="preserve">realization of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full implementation of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lastRenderedPageBreak/>
              <w:t xml:space="preserve">SSP. However, </w:t>
            </w:r>
            <w:r w:rsidR="00247501" w:rsidRPr="00812998">
              <w:rPr>
                <w:rFonts w:eastAsia="Calibri"/>
                <w:sz w:val="22"/>
                <w:szCs w:val="22"/>
                <w:lang w:eastAsia="fr-FR"/>
              </w:rPr>
              <w:t xml:space="preserve">some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AFI States indicated that some of their operators have implemented SMS</w:t>
            </w:r>
          </w:p>
        </w:tc>
      </w:tr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Certify all international aerodromes by end of 2015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As of December, 2015 Forty eight (48) International</w:t>
            </w: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Aerodromes were certified, 21.39% of the total number of 229 international airports within AFI.</w:t>
            </w: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val="fr-FR" w:eastAsia="fr-FR"/>
              </w:rPr>
            </w:pPr>
            <w:r w:rsidRPr="00812998">
              <w:rPr>
                <w:rFonts w:eastAsia="Calibri"/>
                <w:sz w:val="22"/>
                <w:szCs w:val="22"/>
                <w:lang w:val="fr-FR" w:eastAsia="fr-FR"/>
              </w:rPr>
              <w:t>.</w:t>
            </w: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  <w:lang w:val="fr-FR" w:eastAsia="fr-FR"/>
              </w:rPr>
            </w:pPr>
            <w:r w:rsidRPr="00812998">
              <w:rPr>
                <w:rFonts w:eastAsia="Calibri"/>
                <w:i/>
                <w:iCs/>
                <w:sz w:val="22"/>
                <w:szCs w:val="22"/>
                <w:lang w:val="fr-FR" w:eastAsia="fr-FR"/>
              </w:rPr>
              <w:t>(Source: ACI Africa, based on available information)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b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b/>
                <w:sz w:val="22"/>
                <w:szCs w:val="22"/>
                <w:lang w:eastAsia="fr-FR"/>
              </w:rPr>
              <w:t>Safety Target Not Met.</w:t>
            </w:r>
          </w:p>
          <w:p w:rsidR="00837A93" w:rsidRPr="00812998" w:rsidRDefault="00837A93">
            <w:pPr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From the responses to the questionnaire, aerodrome certification is still a serious challenge for AFI States. However, almost all AFI States indicated that the process of certification of international aerodrome is in progress;</w:t>
            </w:r>
          </w:p>
          <w:p w:rsidR="008B37FC" w:rsidRPr="00812998" w:rsidRDefault="008B37FC">
            <w:pPr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The expansion of the AFI Plan to cover AGA and ANS will foster the implementation of aerodrome certification;</w:t>
            </w:r>
          </w:p>
          <w:p w:rsidR="00812998" w:rsidRPr="00812998" w:rsidRDefault="00812998">
            <w:pPr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spacing w:before="120" w:after="120"/>
              <w:rPr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States will 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 xml:space="preserve">definitely </w:t>
            </w:r>
            <w:r w:rsidR="00812998" w:rsidRPr="00812998">
              <w:rPr>
                <w:rFonts w:eastAsia="Calibri"/>
                <w:sz w:val="22"/>
                <w:szCs w:val="22"/>
                <w:lang w:eastAsia="fr-FR"/>
              </w:rPr>
              <w:t>need more assistance  o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n this issue</w:t>
            </w:r>
          </w:p>
        </w:tc>
      </w:tr>
      <w:tr w:rsidR="00837A93" w:rsidRPr="00812998" w:rsidTr="00837A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fr-FR" w:eastAsia="fr-FR"/>
              </w:rPr>
            </w:pPr>
            <w:r w:rsidRPr="00812998">
              <w:rPr>
                <w:b/>
                <w:sz w:val="22"/>
                <w:szCs w:val="22"/>
                <w:lang w:val="fr-FR" w:eastAsia="fr-FR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>Require all African airlines to obtain an IATA Operational Safety Audit (IOSA) certification by end of 2015</w:t>
            </w:r>
          </w:p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By 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 xml:space="preserve">the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end of 2015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>,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eleven (11) airlines from eleven (11) States were added to the IOSA Registry. </w:t>
            </w: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</w:p>
          <w:p w:rsidR="00837A93" w:rsidRPr="00812998" w:rsidRDefault="00837A9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The progress is very 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>s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low as only 11 more airlines have been added to 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 xml:space="preserve">the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IOSA registry since 2012. The total number of AFI airlines on the IOSA Registry as of December 31, 2015 was thirty (30)</w:t>
            </w:r>
          </w:p>
          <w:p w:rsidR="00837A93" w:rsidRPr="00812998" w:rsidRDefault="00837A93">
            <w:pPr>
              <w:spacing w:before="120" w:after="120"/>
              <w:jc w:val="right"/>
              <w:rPr>
                <w:sz w:val="22"/>
                <w:szCs w:val="22"/>
                <w:lang w:val="en-GB" w:eastAsia="fr-FR"/>
              </w:rPr>
            </w:pPr>
            <w:r w:rsidRPr="00812998">
              <w:rPr>
                <w:rFonts w:eastAsia="Calibri"/>
                <w:i/>
                <w:iCs/>
                <w:sz w:val="22"/>
                <w:szCs w:val="22"/>
                <w:lang w:val="fr-FR" w:eastAsia="fr-FR"/>
              </w:rPr>
              <w:t>(Source : IATA)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93" w:rsidRPr="00812998" w:rsidRDefault="00837A93">
            <w:pPr>
              <w:spacing w:before="120" w:after="120"/>
              <w:rPr>
                <w:b/>
                <w:sz w:val="22"/>
                <w:szCs w:val="22"/>
                <w:lang w:val="en-GB" w:eastAsia="fr-FR"/>
              </w:rPr>
            </w:pPr>
            <w:r w:rsidRPr="00812998">
              <w:rPr>
                <w:b/>
                <w:sz w:val="22"/>
                <w:szCs w:val="22"/>
                <w:lang w:eastAsia="fr-FR"/>
              </w:rPr>
              <w:t xml:space="preserve">No </w:t>
            </w:r>
            <w:r w:rsidRPr="00812998">
              <w:rPr>
                <w:b/>
                <w:sz w:val="22"/>
                <w:szCs w:val="22"/>
                <w:lang w:val="en-GB" w:eastAsia="fr-FR"/>
              </w:rPr>
              <w:t>comprehensive data available on the status of IOSA as a State regulatory requirement</w:t>
            </w:r>
          </w:p>
          <w:p w:rsidR="00837A93" w:rsidRPr="00812998" w:rsidRDefault="00837A93" w:rsidP="00837A93">
            <w:pPr>
              <w:numPr>
                <w:ilvl w:val="0"/>
                <w:numId w:val="22"/>
              </w:numPr>
              <w:spacing w:before="120" w:after="120"/>
              <w:ind w:left="219" w:hanging="219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Only </w:t>
            </w:r>
            <w:r w:rsidR="00F14912" w:rsidRPr="00812998">
              <w:rPr>
                <w:rFonts w:eastAsia="Calibri"/>
                <w:sz w:val="22"/>
                <w:szCs w:val="22"/>
                <w:lang w:eastAsia="fr-FR"/>
              </w:rPr>
              <w:t xml:space="preserve">Equatorial Guinea,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Ghana </w:t>
            </w:r>
            <w:r w:rsidR="00F14912" w:rsidRPr="00812998">
              <w:rPr>
                <w:rFonts w:eastAsia="Calibri"/>
                <w:sz w:val="22"/>
                <w:szCs w:val="22"/>
                <w:lang w:eastAsia="fr-FR"/>
              </w:rPr>
              <w:t xml:space="preserve">and Mozambique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indicated incorporat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>ion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</w:t>
            </w:r>
            <w:r w:rsidR="008B37FC" w:rsidRPr="00812998">
              <w:rPr>
                <w:rFonts w:eastAsia="Calibri"/>
                <w:sz w:val="22"/>
                <w:szCs w:val="22"/>
                <w:lang w:eastAsia="fr-FR"/>
              </w:rPr>
              <w:t xml:space="preserve">of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IOSA certification requirement into </w:t>
            </w:r>
            <w:r w:rsidR="00F14912" w:rsidRPr="00812998">
              <w:rPr>
                <w:rFonts w:eastAsia="Calibri"/>
                <w:sz w:val="22"/>
                <w:szCs w:val="22"/>
                <w:lang w:eastAsia="fr-FR"/>
              </w:rPr>
              <w:t>their National Regulations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;</w:t>
            </w:r>
          </w:p>
          <w:p w:rsidR="00837A93" w:rsidRPr="00812998" w:rsidRDefault="00837A93" w:rsidP="00812998">
            <w:pPr>
              <w:numPr>
                <w:ilvl w:val="0"/>
                <w:numId w:val="22"/>
              </w:numPr>
              <w:spacing w:before="120" w:after="120"/>
              <w:ind w:left="219" w:hanging="219"/>
              <w:contextualSpacing/>
              <w:jc w:val="both"/>
              <w:rPr>
                <w:rFonts w:eastAsia="Calibri"/>
                <w:sz w:val="22"/>
                <w:szCs w:val="22"/>
                <w:lang w:eastAsia="fr-FR"/>
              </w:rPr>
            </w:pPr>
            <w:r w:rsidRPr="00812998">
              <w:rPr>
                <w:rFonts w:eastAsia="Calibri"/>
                <w:sz w:val="22"/>
                <w:szCs w:val="22"/>
                <w:lang w:eastAsia="fr-FR"/>
              </w:rPr>
              <w:t>Many Airlines may be ready for IOSA certification even in States that have not</w:t>
            </w:r>
            <w:r w:rsidR="00F14912" w:rsidRPr="00812998">
              <w:rPr>
                <w:rFonts w:eastAsia="Calibri"/>
                <w:sz w:val="22"/>
                <w:szCs w:val="22"/>
                <w:lang w:eastAsia="fr-FR"/>
              </w:rPr>
              <w:t xml:space="preserve"> yet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 xml:space="preserve"> </w:t>
            </w:r>
            <w:r w:rsidR="00812998" w:rsidRPr="00812998">
              <w:rPr>
                <w:rFonts w:eastAsia="Calibri"/>
                <w:sz w:val="22"/>
                <w:szCs w:val="22"/>
                <w:lang w:eastAsia="fr-FR"/>
              </w:rPr>
              <w:t xml:space="preserve">incorporated </w:t>
            </w:r>
            <w:r w:rsidRPr="00812998">
              <w:rPr>
                <w:rFonts w:eastAsia="Calibri"/>
                <w:sz w:val="22"/>
                <w:szCs w:val="22"/>
                <w:lang w:eastAsia="fr-FR"/>
              </w:rPr>
              <w:t>IOSA certification</w:t>
            </w:r>
            <w:r w:rsidR="00F14912" w:rsidRPr="00812998">
              <w:rPr>
                <w:rFonts w:eastAsia="Calibri"/>
                <w:sz w:val="22"/>
                <w:szCs w:val="22"/>
                <w:lang w:eastAsia="fr-FR"/>
              </w:rPr>
              <w:t xml:space="preserve"> in their Regulations</w:t>
            </w:r>
          </w:p>
        </w:tc>
      </w:tr>
    </w:tbl>
    <w:p w:rsidR="00837A93" w:rsidRPr="00812998" w:rsidRDefault="00837A93" w:rsidP="00837A93">
      <w:pPr>
        <w:autoSpaceDE w:val="0"/>
        <w:autoSpaceDN w:val="0"/>
        <w:adjustRightInd w:val="0"/>
        <w:spacing w:before="240" w:after="160" w:line="256" w:lineRule="auto"/>
        <w:contextualSpacing/>
        <w:jc w:val="both"/>
        <w:rPr>
          <w:sz w:val="22"/>
          <w:szCs w:val="22"/>
        </w:rPr>
      </w:pPr>
    </w:p>
    <w:p w:rsidR="00837A93" w:rsidRPr="00812998" w:rsidRDefault="00837A93" w:rsidP="00873AF2">
      <w:pPr>
        <w:autoSpaceDE w:val="0"/>
        <w:autoSpaceDN w:val="0"/>
        <w:adjustRightInd w:val="0"/>
        <w:spacing w:before="240" w:after="160" w:line="256" w:lineRule="auto"/>
        <w:contextualSpacing/>
        <w:jc w:val="both"/>
        <w:rPr>
          <w:rFonts w:eastAsia="Calibri"/>
          <w:sz w:val="22"/>
          <w:szCs w:val="22"/>
        </w:rPr>
      </w:pPr>
    </w:p>
    <w:p w:rsidR="00DE3440" w:rsidRPr="00812998" w:rsidRDefault="00837A93" w:rsidP="00873AF2">
      <w:pPr>
        <w:pStyle w:val="Default"/>
        <w:jc w:val="center"/>
        <w:rPr>
          <w:b/>
          <w:color w:val="auto"/>
          <w:sz w:val="22"/>
          <w:szCs w:val="22"/>
        </w:rPr>
      </w:pPr>
      <w:r w:rsidRPr="00812998">
        <w:rPr>
          <w:rFonts w:eastAsia="Calibri"/>
          <w:color w:val="auto"/>
          <w:sz w:val="22"/>
          <w:szCs w:val="22"/>
        </w:rPr>
        <w:t>- END -</w:t>
      </w:r>
    </w:p>
    <w:sectPr w:rsidR="00DE3440" w:rsidRPr="00812998" w:rsidSect="00873AF2">
      <w:headerReference w:type="default" r:id="rId9"/>
      <w:footerReference w:type="default" r:id="rId10"/>
      <w:headerReference w:type="first" r:id="rId11"/>
      <w:pgSz w:w="12240" w:h="15840"/>
      <w:pgMar w:top="1152" w:right="1584" w:bottom="1152" w:left="1584" w:header="720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A0" w:rsidRDefault="006366A0" w:rsidP="00EB4129">
      <w:r>
        <w:separator/>
      </w:r>
    </w:p>
  </w:endnote>
  <w:endnote w:type="continuationSeparator" w:id="0">
    <w:p w:rsidR="006366A0" w:rsidRDefault="006366A0" w:rsidP="00E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2E" w:rsidRPr="00873AF2" w:rsidRDefault="002C421E" w:rsidP="00873AF2">
    <w:pPr>
      <w:pStyle w:val="Footer"/>
      <w:jc w:val="center"/>
      <w:rPr>
        <w:sz w:val="22"/>
        <w:szCs w:val="22"/>
      </w:rPr>
    </w:pPr>
    <w:r w:rsidRPr="00B52886">
      <w:rPr>
        <w:sz w:val="22"/>
        <w:szCs w:val="22"/>
      </w:rPr>
      <w:fldChar w:fldCharType="begin"/>
    </w:r>
    <w:r w:rsidR="003B512E" w:rsidRPr="00B52886">
      <w:rPr>
        <w:sz w:val="22"/>
        <w:szCs w:val="22"/>
      </w:rPr>
      <w:instrText xml:space="preserve"> PAGE   \* MERGEFORMAT </w:instrText>
    </w:r>
    <w:r w:rsidRPr="00B52886">
      <w:rPr>
        <w:sz w:val="22"/>
        <w:szCs w:val="22"/>
      </w:rPr>
      <w:fldChar w:fldCharType="separate"/>
    </w:r>
    <w:r w:rsidR="006C6B22">
      <w:rPr>
        <w:noProof/>
        <w:sz w:val="22"/>
        <w:szCs w:val="22"/>
      </w:rPr>
      <w:t>4</w:t>
    </w:r>
    <w:r w:rsidRPr="00B52886">
      <w:rPr>
        <w:noProof/>
        <w:sz w:val="22"/>
        <w:szCs w:val="22"/>
      </w:rPr>
      <w:fldChar w:fldCharType="end"/>
    </w:r>
  </w:p>
  <w:p w:rsidR="003B512E" w:rsidRPr="00873AF2" w:rsidRDefault="00873AF2" w:rsidP="00873AF2">
    <w:pPr>
      <w:jc w:val="right"/>
      <w:rPr>
        <w:sz w:val="16"/>
        <w:szCs w:val="16"/>
      </w:rPr>
    </w:pPr>
    <w:r w:rsidRPr="00873AF2">
      <w:rPr>
        <w:sz w:val="16"/>
        <w:szCs w:val="16"/>
      </w:rPr>
      <w:t>Update on the implementation of the Abuja Safety Targets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A0" w:rsidRDefault="006366A0" w:rsidP="00EB4129">
      <w:r>
        <w:separator/>
      </w:r>
    </w:p>
  </w:footnote>
  <w:footnote w:type="continuationSeparator" w:id="0">
    <w:p w:rsidR="006366A0" w:rsidRDefault="006366A0" w:rsidP="00EB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2E" w:rsidRDefault="003B512E" w:rsidP="006033B8">
    <w:pPr>
      <w:jc w:val="right"/>
    </w:pPr>
  </w:p>
  <w:p w:rsidR="003B512E" w:rsidRDefault="00877E55" w:rsidP="00877E55">
    <w:pPr>
      <w:tabs>
        <w:tab w:val="left" w:pos="63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2E" w:rsidRDefault="003B512E" w:rsidP="003F6A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42B"/>
    <w:multiLevelType w:val="multilevel"/>
    <w:tmpl w:val="B5889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560" w:hanging="1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15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0" w:hanging="1560"/>
      </w:pPr>
      <w:rPr>
        <w:rFonts w:hint="default"/>
      </w:rPr>
    </w:lvl>
  </w:abstractNum>
  <w:abstractNum w:abstractNumId="1" w15:restartNumberingAfterBreak="0">
    <w:nsid w:val="04990712"/>
    <w:multiLevelType w:val="hybridMultilevel"/>
    <w:tmpl w:val="B8D2C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86388"/>
    <w:multiLevelType w:val="hybridMultilevel"/>
    <w:tmpl w:val="52F0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F1E51"/>
    <w:multiLevelType w:val="multilevel"/>
    <w:tmpl w:val="93244C54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740DA8"/>
    <w:multiLevelType w:val="hybridMultilevel"/>
    <w:tmpl w:val="F62CC278"/>
    <w:lvl w:ilvl="0" w:tplc="4852F61C">
      <w:start w:val="1"/>
      <w:numFmt w:val="decimal"/>
      <w:lvlText w:val="1.%1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2"/>
      </w:rPr>
    </w:lvl>
    <w:lvl w:ilvl="1" w:tplc="047A1D24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325BAD"/>
    <w:multiLevelType w:val="hybridMultilevel"/>
    <w:tmpl w:val="2DEE66BC"/>
    <w:lvl w:ilvl="0" w:tplc="4DD2CD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B705D"/>
    <w:multiLevelType w:val="multilevel"/>
    <w:tmpl w:val="58AE5C80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37A40D2"/>
    <w:multiLevelType w:val="multilevel"/>
    <w:tmpl w:val="19DEB9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560" w:hanging="15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60" w:hanging="15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5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0" w:hanging="1560"/>
      </w:pPr>
      <w:rPr>
        <w:rFonts w:hint="default"/>
      </w:rPr>
    </w:lvl>
  </w:abstractNum>
  <w:abstractNum w:abstractNumId="8" w15:restartNumberingAfterBreak="0">
    <w:nsid w:val="24BC0C8C"/>
    <w:multiLevelType w:val="hybridMultilevel"/>
    <w:tmpl w:val="1E6A1C0C"/>
    <w:lvl w:ilvl="0" w:tplc="0809000F">
      <w:start w:val="1"/>
      <w:numFmt w:val="decimal"/>
      <w:lvlText w:val="%1."/>
      <w:lvlJc w:val="left"/>
      <w:pPr>
        <w:ind w:left="874" w:hanging="360"/>
      </w:pPr>
    </w:lvl>
    <w:lvl w:ilvl="1" w:tplc="08090019" w:tentative="1">
      <w:start w:val="1"/>
      <w:numFmt w:val="lowerLetter"/>
      <w:lvlText w:val="%2.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9" w15:restartNumberingAfterBreak="0">
    <w:nsid w:val="274A786C"/>
    <w:multiLevelType w:val="hybridMultilevel"/>
    <w:tmpl w:val="2F08C9C8"/>
    <w:lvl w:ilvl="0" w:tplc="047A1D2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A925B19"/>
    <w:multiLevelType w:val="hybridMultilevel"/>
    <w:tmpl w:val="2876A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E50EA"/>
    <w:multiLevelType w:val="hybridMultilevel"/>
    <w:tmpl w:val="F68275EE"/>
    <w:lvl w:ilvl="0" w:tplc="36D4DD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05A1E"/>
    <w:multiLevelType w:val="hybridMultilevel"/>
    <w:tmpl w:val="F95CF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624F1"/>
    <w:multiLevelType w:val="hybridMultilevel"/>
    <w:tmpl w:val="F81E6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5084C"/>
    <w:multiLevelType w:val="multilevel"/>
    <w:tmpl w:val="58AE5C80"/>
    <w:lvl w:ilvl="0">
      <w:start w:val="1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4C4F2B38"/>
    <w:multiLevelType w:val="hybridMultilevel"/>
    <w:tmpl w:val="F440DFC8"/>
    <w:lvl w:ilvl="0" w:tplc="7A220D02">
      <w:start w:val="1"/>
      <w:numFmt w:val="lowerLetter"/>
      <w:lvlText w:val="%1)"/>
      <w:lvlJc w:val="left"/>
      <w:pPr>
        <w:ind w:left="810" w:hanging="360"/>
      </w:pPr>
      <w:rPr>
        <w:lang w:val="en-US"/>
      </w:rPr>
    </w:lvl>
    <w:lvl w:ilvl="1" w:tplc="040C0019">
      <w:start w:val="1"/>
      <w:numFmt w:val="lowerLetter"/>
      <w:lvlText w:val="%2."/>
      <w:lvlJc w:val="left"/>
      <w:pPr>
        <w:ind w:left="1530" w:hanging="360"/>
      </w:pPr>
    </w:lvl>
    <w:lvl w:ilvl="2" w:tplc="040C001B">
      <w:start w:val="1"/>
      <w:numFmt w:val="lowerRoman"/>
      <w:lvlText w:val="%3."/>
      <w:lvlJc w:val="right"/>
      <w:pPr>
        <w:ind w:left="2250" w:hanging="180"/>
      </w:pPr>
    </w:lvl>
    <w:lvl w:ilvl="3" w:tplc="040C000F">
      <w:start w:val="1"/>
      <w:numFmt w:val="decimal"/>
      <w:lvlText w:val="%4."/>
      <w:lvlJc w:val="left"/>
      <w:pPr>
        <w:ind w:left="2970" w:hanging="360"/>
      </w:pPr>
    </w:lvl>
    <w:lvl w:ilvl="4" w:tplc="040C0019">
      <w:start w:val="1"/>
      <w:numFmt w:val="lowerLetter"/>
      <w:lvlText w:val="%5."/>
      <w:lvlJc w:val="left"/>
      <w:pPr>
        <w:ind w:left="3690" w:hanging="360"/>
      </w:pPr>
    </w:lvl>
    <w:lvl w:ilvl="5" w:tplc="040C001B">
      <w:start w:val="1"/>
      <w:numFmt w:val="lowerRoman"/>
      <w:lvlText w:val="%6."/>
      <w:lvlJc w:val="right"/>
      <w:pPr>
        <w:ind w:left="4410" w:hanging="180"/>
      </w:pPr>
    </w:lvl>
    <w:lvl w:ilvl="6" w:tplc="040C000F">
      <w:start w:val="1"/>
      <w:numFmt w:val="decimal"/>
      <w:lvlText w:val="%7."/>
      <w:lvlJc w:val="left"/>
      <w:pPr>
        <w:ind w:left="5130" w:hanging="360"/>
      </w:pPr>
    </w:lvl>
    <w:lvl w:ilvl="7" w:tplc="040C0019">
      <w:start w:val="1"/>
      <w:numFmt w:val="lowerLetter"/>
      <w:lvlText w:val="%8."/>
      <w:lvlJc w:val="left"/>
      <w:pPr>
        <w:ind w:left="5850" w:hanging="360"/>
      </w:pPr>
    </w:lvl>
    <w:lvl w:ilvl="8" w:tplc="040C001B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D845B94"/>
    <w:multiLevelType w:val="hybridMultilevel"/>
    <w:tmpl w:val="C76272F6"/>
    <w:lvl w:ilvl="0" w:tplc="7E6EE702">
      <w:start w:val="1"/>
      <w:numFmt w:val="lowerLetter"/>
      <w:lvlText w:val="%1)"/>
      <w:lvlJc w:val="left"/>
      <w:pPr>
        <w:ind w:left="22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63B557A6"/>
    <w:multiLevelType w:val="multilevel"/>
    <w:tmpl w:val="652CC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560" w:hanging="15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60" w:hanging="15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5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60" w:hanging="15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5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5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5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0" w:hanging="1560"/>
      </w:pPr>
      <w:rPr>
        <w:rFonts w:hint="default"/>
      </w:rPr>
    </w:lvl>
  </w:abstractNum>
  <w:abstractNum w:abstractNumId="18" w15:restartNumberingAfterBreak="0">
    <w:nsid w:val="680F488E"/>
    <w:multiLevelType w:val="hybridMultilevel"/>
    <w:tmpl w:val="7DE05F88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739B9"/>
    <w:multiLevelType w:val="hybridMultilevel"/>
    <w:tmpl w:val="41F0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6727C"/>
    <w:multiLevelType w:val="hybridMultilevel"/>
    <w:tmpl w:val="08AC2C6E"/>
    <w:lvl w:ilvl="0" w:tplc="5D32D35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6ECD74A7"/>
    <w:multiLevelType w:val="hybridMultilevel"/>
    <w:tmpl w:val="93244C54"/>
    <w:lvl w:ilvl="0" w:tplc="A7562FF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7044F8"/>
    <w:multiLevelType w:val="hybridMultilevel"/>
    <w:tmpl w:val="72E09922"/>
    <w:lvl w:ilvl="0" w:tplc="B748BD3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35497"/>
    <w:multiLevelType w:val="hybridMultilevel"/>
    <w:tmpl w:val="18468D16"/>
    <w:lvl w:ilvl="0" w:tplc="B5FE6B9E">
      <w:start w:val="20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21"/>
  </w:num>
  <w:num w:numId="6">
    <w:abstractNumId w:val="3"/>
  </w:num>
  <w:num w:numId="7">
    <w:abstractNumId w:val="20"/>
  </w:num>
  <w:num w:numId="8">
    <w:abstractNumId w:val="12"/>
  </w:num>
  <w:num w:numId="9">
    <w:abstractNumId w:val="16"/>
  </w:num>
  <w:num w:numId="10">
    <w:abstractNumId w:val="8"/>
  </w:num>
  <w:num w:numId="11">
    <w:abstractNumId w:val="7"/>
  </w:num>
  <w:num w:numId="12">
    <w:abstractNumId w:val="17"/>
  </w:num>
  <w:num w:numId="13">
    <w:abstractNumId w:val="5"/>
  </w:num>
  <w:num w:numId="14">
    <w:abstractNumId w:val="19"/>
  </w:num>
  <w:num w:numId="15">
    <w:abstractNumId w:val="1"/>
  </w:num>
  <w:num w:numId="16">
    <w:abstractNumId w:val="2"/>
  </w:num>
  <w:num w:numId="17">
    <w:abstractNumId w:val="13"/>
  </w:num>
  <w:num w:numId="18">
    <w:abstractNumId w:val="10"/>
  </w:num>
  <w:num w:numId="19">
    <w:abstractNumId w:val="2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88"/>
    <w:rsid w:val="0000309A"/>
    <w:rsid w:val="00014AAC"/>
    <w:rsid w:val="000236A7"/>
    <w:rsid w:val="00026104"/>
    <w:rsid w:val="000305B7"/>
    <w:rsid w:val="000337DE"/>
    <w:rsid w:val="00045625"/>
    <w:rsid w:val="00047371"/>
    <w:rsid w:val="00047E37"/>
    <w:rsid w:val="0005050C"/>
    <w:rsid w:val="00050E64"/>
    <w:rsid w:val="00051D0A"/>
    <w:rsid w:val="00061C69"/>
    <w:rsid w:val="0006285A"/>
    <w:rsid w:val="000640FD"/>
    <w:rsid w:val="00064EC5"/>
    <w:rsid w:val="00085377"/>
    <w:rsid w:val="000854C4"/>
    <w:rsid w:val="00085F21"/>
    <w:rsid w:val="00090034"/>
    <w:rsid w:val="00090C59"/>
    <w:rsid w:val="00092178"/>
    <w:rsid w:val="000A2BCE"/>
    <w:rsid w:val="000A7FFA"/>
    <w:rsid w:val="000B62CC"/>
    <w:rsid w:val="000C32B1"/>
    <w:rsid w:val="000C447C"/>
    <w:rsid w:val="000C7DDE"/>
    <w:rsid w:val="000D1443"/>
    <w:rsid w:val="000D4BB2"/>
    <w:rsid w:val="000D6334"/>
    <w:rsid w:val="000E285B"/>
    <w:rsid w:val="000E53F5"/>
    <w:rsid w:val="000F0289"/>
    <w:rsid w:val="000F185B"/>
    <w:rsid w:val="000F3937"/>
    <w:rsid w:val="001014F6"/>
    <w:rsid w:val="00104B90"/>
    <w:rsid w:val="00104DA0"/>
    <w:rsid w:val="001105C0"/>
    <w:rsid w:val="0011179C"/>
    <w:rsid w:val="00123EE2"/>
    <w:rsid w:val="00124F45"/>
    <w:rsid w:val="0012549E"/>
    <w:rsid w:val="001273ED"/>
    <w:rsid w:val="00130A54"/>
    <w:rsid w:val="0013432B"/>
    <w:rsid w:val="0013617F"/>
    <w:rsid w:val="00140DAE"/>
    <w:rsid w:val="001414D6"/>
    <w:rsid w:val="00141755"/>
    <w:rsid w:val="001448EF"/>
    <w:rsid w:val="00145EA7"/>
    <w:rsid w:val="00152DA2"/>
    <w:rsid w:val="00155106"/>
    <w:rsid w:val="00156460"/>
    <w:rsid w:val="0015722F"/>
    <w:rsid w:val="0016727F"/>
    <w:rsid w:val="0016771D"/>
    <w:rsid w:val="0017498B"/>
    <w:rsid w:val="00176315"/>
    <w:rsid w:val="001817A6"/>
    <w:rsid w:val="0018500F"/>
    <w:rsid w:val="00186EA7"/>
    <w:rsid w:val="00190F3B"/>
    <w:rsid w:val="00193119"/>
    <w:rsid w:val="001949A0"/>
    <w:rsid w:val="00195D25"/>
    <w:rsid w:val="001A15FF"/>
    <w:rsid w:val="001A5020"/>
    <w:rsid w:val="001B0D6C"/>
    <w:rsid w:val="001B61ED"/>
    <w:rsid w:val="001B7F7B"/>
    <w:rsid w:val="001C13D3"/>
    <w:rsid w:val="001C7A11"/>
    <w:rsid w:val="001D06D5"/>
    <w:rsid w:val="001D3E6B"/>
    <w:rsid w:val="001D7673"/>
    <w:rsid w:val="001E0F33"/>
    <w:rsid w:val="001F6AC7"/>
    <w:rsid w:val="00200B55"/>
    <w:rsid w:val="00203378"/>
    <w:rsid w:val="00204BD3"/>
    <w:rsid w:val="00212820"/>
    <w:rsid w:val="00214285"/>
    <w:rsid w:val="00221E54"/>
    <w:rsid w:val="0022217B"/>
    <w:rsid w:val="00224115"/>
    <w:rsid w:val="0022686D"/>
    <w:rsid w:val="00227B37"/>
    <w:rsid w:val="00236D67"/>
    <w:rsid w:val="00241B7E"/>
    <w:rsid w:val="00247501"/>
    <w:rsid w:val="0025242B"/>
    <w:rsid w:val="0026026A"/>
    <w:rsid w:val="0026166F"/>
    <w:rsid w:val="0027084D"/>
    <w:rsid w:val="002711C9"/>
    <w:rsid w:val="0028028A"/>
    <w:rsid w:val="002867AF"/>
    <w:rsid w:val="0028686F"/>
    <w:rsid w:val="00297F85"/>
    <w:rsid w:val="002B0BD7"/>
    <w:rsid w:val="002B2223"/>
    <w:rsid w:val="002B45A1"/>
    <w:rsid w:val="002B4E50"/>
    <w:rsid w:val="002B74EF"/>
    <w:rsid w:val="002C0670"/>
    <w:rsid w:val="002C21C4"/>
    <w:rsid w:val="002C4188"/>
    <w:rsid w:val="002C421E"/>
    <w:rsid w:val="002D3DBE"/>
    <w:rsid w:val="002D42E7"/>
    <w:rsid w:val="002D4B91"/>
    <w:rsid w:val="002D5527"/>
    <w:rsid w:val="002D5C33"/>
    <w:rsid w:val="002E0B5D"/>
    <w:rsid w:val="002F002A"/>
    <w:rsid w:val="002F59AE"/>
    <w:rsid w:val="00300F7C"/>
    <w:rsid w:val="003022A3"/>
    <w:rsid w:val="00303F5D"/>
    <w:rsid w:val="00306261"/>
    <w:rsid w:val="00306C0E"/>
    <w:rsid w:val="00307D3B"/>
    <w:rsid w:val="00311870"/>
    <w:rsid w:val="00311E08"/>
    <w:rsid w:val="00311F80"/>
    <w:rsid w:val="003141F9"/>
    <w:rsid w:val="003164C2"/>
    <w:rsid w:val="00317089"/>
    <w:rsid w:val="0032098B"/>
    <w:rsid w:val="0032140F"/>
    <w:rsid w:val="00336DDB"/>
    <w:rsid w:val="00340E8F"/>
    <w:rsid w:val="0034236A"/>
    <w:rsid w:val="00342C0C"/>
    <w:rsid w:val="003435E9"/>
    <w:rsid w:val="00344F1C"/>
    <w:rsid w:val="00345822"/>
    <w:rsid w:val="00350BE4"/>
    <w:rsid w:val="003523A9"/>
    <w:rsid w:val="00354967"/>
    <w:rsid w:val="0035631B"/>
    <w:rsid w:val="00363AE9"/>
    <w:rsid w:val="00376AA7"/>
    <w:rsid w:val="00380800"/>
    <w:rsid w:val="00393BB2"/>
    <w:rsid w:val="003945C4"/>
    <w:rsid w:val="003B03B6"/>
    <w:rsid w:val="003B3950"/>
    <w:rsid w:val="003B4917"/>
    <w:rsid w:val="003B512E"/>
    <w:rsid w:val="003C1D8D"/>
    <w:rsid w:val="003C7D67"/>
    <w:rsid w:val="003D02A4"/>
    <w:rsid w:val="003D210A"/>
    <w:rsid w:val="003D3EF4"/>
    <w:rsid w:val="003D5CC6"/>
    <w:rsid w:val="003D7632"/>
    <w:rsid w:val="003E5955"/>
    <w:rsid w:val="003E7D8B"/>
    <w:rsid w:val="003F2DC6"/>
    <w:rsid w:val="003F6AF7"/>
    <w:rsid w:val="003F7958"/>
    <w:rsid w:val="00400A97"/>
    <w:rsid w:val="00404E06"/>
    <w:rsid w:val="0040751D"/>
    <w:rsid w:val="004101D7"/>
    <w:rsid w:val="0041389B"/>
    <w:rsid w:val="004216CC"/>
    <w:rsid w:val="0042201D"/>
    <w:rsid w:val="0042305A"/>
    <w:rsid w:val="004234FF"/>
    <w:rsid w:val="004266C5"/>
    <w:rsid w:val="00426B6E"/>
    <w:rsid w:val="004342CD"/>
    <w:rsid w:val="00435D40"/>
    <w:rsid w:val="004362CC"/>
    <w:rsid w:val="00443DEA"/>
    <w:rsid w:val="004471E7"/>
    <w:rsid w:val="004477BA"/>
    <w:rsid w:val="00453B84"/>
    <w:rsid w:val="0045444C"/>
    <w:rsid w:val="004546A4"/>
    <w:rsid w:val="00456C2C"/>
    <w:rsid w:val="004577CC"/>
    <w:rsid w:val="0046494A"/>
    <w:rsid w:val="00465501"/>
    <w:rsid w:val="00471C98"/>
    <w:rsid w:val="00472D3D"/>
    <w:rsid w:val="004809D8"/>
    <w:rsid w:val="00485DEE"/>
    <w:rsid w:val="00486A0A"/>
    <w:rsid w:val="00492BC3"/>
    <w:rsid w:val="00494E48"/>
    <w:rsid w:val="0049510A"/>
    <w:rsid w:val="00495EED"/>
    <w:rsid w:val="004A4DF7"/>
    <w:rsid w:val="004B0AA1"/>
    <w:rsid w:val="004B1CB7"/>
    <w:rsid w:val="004B2795"/>
    <w:rsid w:val="004B4F25"/>
    <w:rsid w:val="004C28F3"/>
    <w:rsid w:val="004C2EFE"/>
    <w:rsid w:val="004C3430"/>
    <w:rsid w:val="004C5382"/>
    <w:rsid w:val="004D0194"/>
    <w:rsid w:val="004D0834"/>
    <w:rsid w:val="004D0B14"/>
    <w:rsid w:val="004D3AD9"/>
    <w:rsid w:val="004E5645"/>
    <w:rsid w:val="004E5DF6"/>
    <w:rsid w:val="004F40B2"/>
    <w:rsid w:val="004F41B2"/>
    <w:rsid w:val="004F5763"/>
    <w:rsid w:val="004F6C0A"/>
    <w:rsid w:val="004F7273"/>
    <w:rsid w:val="00502B30"/>
    <w:rsid w:val="005056C4"/>
    <w:rsid w:val="00507519"/>
    <w:rsid w:val="00513391"/>
    <w:rsid w:val="00515DEB"/>
    <w:rsid w:val="0052006C"/>
    <w:rsid w:val="0052009A"/>
    <w:rsid w:val="00522E5C"/>
    <w:rsid w:val="00522EC0"/>
    <w:rsid w:val="00525405"/>
    <w:rsid w:val="00526A92"/>
    <w:rsid w:val="00531BB9"/>
    <w:rsid w:val="00532130"/>
    <w:rsid w:val="0053640E"/>
    <w:rsid w:val="0053666F"/>
    <w:rsid w:val="00556756"/>
    <w:rsid w:val="00556B30"/>
    <w:rsid w:val="005619AE"/>
    <w:rsid w:val="00563528"/>
    <w:rsid w:val="00566B3E"/>
    <w:rsid w:val="00573B7A"/>
    <w:rsid w:val="00583862"/>
    <w:rsid w:val="00583AD9"/>
    <w:rsid w:val="005844AC"/>
    <w:rsid w:val="00584580"/>
    <w:rsid w:val="00591DB9"/>
    <w:rsid w:val="00591E97"/>
    <w:rsid w:val="00592561"/>
    <w:rsid w:val="0059270A"/>
    <w:rsid w:val="00594742"/>
    <w:rsid w:val="00596255"/>
    <w:rsid w:val="005968A2"/>
    <w:rsid w:val="005A0EEE"/>
    <w:rsid w:val="005A28DE"/>
    <w:rsid w:val="005A3207"/>
    <w:rsid w:val="005A3AF3"/>
    <w:rsid w:val="005B2D2A"/>
    <w:rsid w:val="005B770B"/>
    <w:rsid w:val="005C3F05"/>
    <w:rsid w:val="005C51CE"/>
    <w:rsid w:val="005C5F88"/>
    <w:rsid w:val="005D103A"/>
    <w:rsid w:val="005D1973"/>
    <w:rsid w:val="005D29EA"/>
    <w:rsid w:val="005E0C4B"/>
    <w:rsid w:val="005F495F"/>
    <w:rsid w:val="005F65D8"/>
    <w:rsid w:val="006009DD"/>
    <w:rsid w:val="006033B8"/>
    <w:rsid w:val="00605DA3"/>
    <w:rsid w:val="00616289"/>
    <w:rsid w:val="006214C1"/>
    <w:rsid w:val="00627548"/>
    <w:rsid w:val="0063282B"/>
    <w:rsid w:val="00633D00"/>
    <w:rsid w:val="006366A0"/>
    <w:rsid w:val="00637807"/>
    <w:rsid w:val="0065111F"/>
    <w:rsid w:val="006538CA"/>
    <w:rsid w:val="00655433"/>
    <w:rsid w:val="00656E16"/>
    <w:rsid w:val="00657C68"/>
    <w:rsid w:val="00660C9C"/>
    <w:rsid w:val="00665688"/>
    <w:rsid w:val="00672214"/>
    <w:rsid w:val="006768EF"/>
    <w:rsid w:val="00682F30"/>
    <w:rsid w:val="006844BE"/>
    <w:rsid w:val="006846D2"/>
    <w:rsid w:val="0068494B"/>
    <w:rsid w:val="00684E06"/>
    <w:rsid w:val="0068686D"/>
    <w:rsid w:val="00687F12"/>
    <w:rsid w:val="006905B2"/>
    <w:rsid w:val="00691B47"/>
    <w:rsid w:val="0069313D"/>
    <w:rsid w:val="00693B27"/>
    <w:rsid w:val="006A541A"/>
    <w:rsid w:val="006A68FF"/>
    <w:rsid w:val="006B0EEF"/>
    <w:rsid w:val="006C3605"/>
    <w:rsid w:val="006C55AB"/>
    <w:rsid w:val="006C6B22"/>
    <w:rsid w:val="006D0405"/>
    <w:rsid w:val="006D1B1A"/>
    <w:rsid w:val="006E0281"/>
    <w:rsid w:val="006E76B3"/>
    <w:rsid w:val="006F24B0"/>
    <w:rsid w:val="006F4D90"/>
    <w:rsid w:val="00703C6D"/>
    <w:rsid w:val="00713801"/>
    <w:rsid w:val="007172D7"/>
    <w:rsid w:val="00717FFB"/>
    <w:rsid w:val="00720725"/>
    <w:rsid w:val="007232AA"/>
    <w:rsid w:val="00723C8A"/>
    <w:rsid w:val="00730F4E"/>
    <w:rsid w:val="00741571"/>
    <w:rsid w:val="00743C86"/>
    <w:rsid w:val="00745390"/>
    <w:rsid w:val="00745669"/>
    <w:rsid w:val="00747FD2"/>
    <w:rsid w:val="007510FC"/>
    <w:rsid w:val="00752D77"/>
    <w:rsid w:val="00752E03"/>
    <w:rsid w:val="007556A4"/>
    <w:rsid w:val="00776B03"/>
    <w:rsid w:val="00783706"/>
    <w:rsid w:val="007848AF"/>
    <w:rsid w:val="007919F3"/>
    <w:rsid w:val="00791D5F"/>
    <w:rsid w:val="007935D7"/>
    <w:rsid w:val="007A6A26"/>
    <w:rsid w:val="007A6CEF"/>
    <w:rsid w:val="007B3F92"/>
    <w:rsid w:val="007B49F8"/>
    <w:rsid w:val="007B5839"/>
    <w:rsid w:val="007C6FA2"/>
    <w:rsid w:val="007D1291"/>
    <w:rsid w:val="007D7D76"/>
    <w:rsid w:val="007E7DDC"/>
    <w:rsid w:val="00803DC0"/>
    <w:rsid w:val="00804DBF"/>
    <w:rsid w:val="008073E1"/>
    <w:rsid w:val="00812998"/>
    <w:rsid w:val="00815C2B"/>
    <w:rsid w:val="00824D02"/>
    <w:rsid w:val="00825A0C"/>
    <w:rsid w:val="0083382B"/>
    <w:rsid w:val="008376D4"/>
    <w:rsid w:val="00837A93"/>
    <w:rsid w:val="00837BD7"/>
    <w:rsid w:val="0085289F"/>
    <w:rsid w:val="008543BF"/>
    <w:rsid w:val="00854BDB"/>
    <w:rsid w:val="008627F6"/>
    <w:rsid w:val="00864DDF"/>
    <w:rsid w:val="00867394"/>
    <w:rsid w:val="008707FD"/>
    <w:rsid w:val="00873537"/>
    <w:rsid w:val="00873AF2"/>
    <w:rsid w:val="0087423D"/>
    <w:rsid w:val="008756B3"/>
    <w:rsid w:val="00876800"/>
    <w:rsid w:val="00877E55"/>
    <w:rsid w:val="00882BF7"/>
    <w:rsid w:val="008870D6"/>
    <w:rsid w:val="00892879"/>
    <w:rsid w:val="0089375A"/>
    <w:rsid w:val="008B1B7F"/>
    <w:rsid w:val="008B37FC"/>
    <w:rsid w:val="008B50FC"/>
    <w:rsid w:val="008C2D4E"/>
    <w:rsid w:val="008C4C85"/>
    <w:rsid w:val="008C651D"/>
    <w:rsid w:val="008D235B"/>
    <w:rsid w:val="008D6DCD"/>
    <w:rsid w:val="008E249F"/>
    <w:rsid w:val="008F0105"/>
    <w:rsid w:val="008F6320"/>
    <w:rsid w:val="00904A52"/>
    <w:rsid w:val="00907E5A"/>
    <w:rsid w:val="00916A61"/>
    <w:rsid w:val="009177A4"/>
    <w:rsid w:val="00922312"/>
    <w:rsid w:val="00926C1A"/>
    <w:rsid w:val="00935455"/>
    <w:rsid w:val="009426A7"/>
    <w:rsid w:val="0094754F"/>
    <w:rsid w:val="00947841"/>
    <w:rsid w:val="0095380B"/>
    <w:rsid w:val="00957D9A"/>
    <w:rsid w:val="0096536F"/>
    <w:rsid w:val="00970E43"/>
    <w:rsid w:val="00982529"/>
    <w:rsid w:val="00983433"/>
    <w:rsid w:val="00985C6A"/>
    <w:rsid w:val="00992D94"/>
    <w:rsid w:val="009A3789"/>
    <w:rsid w:val="009A5244"/>
    <w:rsid w:val="009B3684"/>
    <w:rsid w:val="009C0E0C"/>
    <w:rsid w:val="009C550A"/>
    <w:rsid w:val="009D74A5"/>
    <w:rsid w:val="009E1993"/>
    <w:rsid w:val="009E44AE"/>
    <w:rsid w:val="009E7F9C"/>
    <w:rsid w:val="009F1276"/>
    <w:rsid w:val="009F24F2"/>
    <w:rsid w:val="009F553D"/>
    <w:rsid w:val="00A05A0E"/>
    <w:rsid w:val="00A05D14"/>
    <w:rsid w:val="00A11962"/>
    <w:rsid w:val="00A20CDD"/>
    <w:rsid w:val="00A30C88"/>
    <w:rsid w:val="00A3557B"/>
    <w:rsid w:val="00A43585"/>
    <w:rsid w:val="00A440D9"/>
    <w:rsid w:val="00A46804"/>
    <w:rsid w:val="00A46D8E"/>
    <w:rsid w:val="00A52CD8"/>
    <w:rsid w:val="00A54337"/>
    <w:rsid w:val="00A55735"/>
    <w:rsid w:val="00A56F03"/>
    <w:rsid w:val="00A64C8D"/>
    <w:rsid w:val="00A65EC0"/>
    <w:rsid w:val="00A6749D"/>
    <w:rsid w:val="00A71DDF"/>
    <w:rsid w:val="00A77FD9"/>
    <w:rsid w:val="00A840DA"/>
    <w:rsid w:val="00A96E6A"/>
    <w:rsid w:val="00AA297D"/>
    <w:rsid w:val="00AB013B"/>
    <w:rsid w:val="00AB108C"/>
    <w:rsid w:val="00AB3B25"/>
    <w:rsid w:val="00AB5D24"/>
    <w:rsid w:val="00AC15A0"/>
    <w:rsid w:val="00AC6727"/>
    <w:rsid w:val="00AD7478"/>
    <w:rsid w:val="00AE0081"/>
    <w:rsid w:val="00AE3665"/>
    <w:rsid w:val="00AE3C60"/>
    <w:rsid w:val="00AE57DC"/>
    <w:rsid w:val="00AF13B0"/>
    <w:rsid w:val="00AF3403"/>
    <w:rsid w:val="00B01E51"/>
    <w:rsid w:val="00B03DF3"/>
    <w:rsid w:val="00B04A5A"/>
    <w:rsid w:val="00B0519B"/>
    <w:rsid w:val="00B06E0C"/>
    <w:rsid w:val="00B1010D"/>
    <w:rsid w:val="00B1118E"/>
    <w:rsid w:val="00B1247B"/>
    <w:rsid w:val="00B13AA5"/>
    <w:rsid w:val="00B13D95"/>
    <w:rsid w:val="00B1536F"/>
    <w:rsid w:val="00B167B3"/>
    <w:rsid w:val="00B16E29"/>
    <w:rsid w:val="00B22E22"/>
    <w:rsid w:val="00B31796"/>
    <w:rsid w:val="00B3440C"/>
    <w:rsid w:val="00B37734"/>
    <w:rsid w:val="00B476A1"/>
    <w:rsid w:val="00B52886"/>
    <w:rsid w:val="00B52C96"/>
    <w:rsid w:val="00B52D0F"/>
    <w:rsid w:val="00B563BB"/>
    <w:rsid w:val="00B65B24"/>
    <w:rsid w:val="00B65FFE"/>
    <w:rsid w:val="00B72D58"/>
    <w:rsid w:val="00B74DD5"/>
    <w:rsid w:val="00B766D0"/>
    <w:rsid w:val="00B8112F"/>
    <w:rsid w:val="00B8228A"/>
    <w:rsid w:val="00B8312B"/>
    <w:rsid w:val="00B834B6"/>
    <w:rsid w:val="00B866DF"/>
    <w:rsid w:val="00B91535"/>
    <w:rsid w:val="00B93AD4"/>
    <w:rsid w:val="00B962EE"/>
    <w:rsid w:val="00BA0809"/>
    <w:rsid w:val="00BA3B4D"/>
    <w:rsid w:val="00BA5008"/>
    <w:rsid w:val="00BA75A1"/>
    <w:rsid w:val="00BB6C85"/>
    <w:rsid w:val="00BB7EC5"/>
    <w:rsid w:val="00BC5BC2"/>
    <w:rsid w:val="00BC79CF"/>
    <w:rsid w:val="00BD6127"/>
    <w:rsid w:val="00BE6F8F"/>
    <w:rsid w:val="00BF0C7D"/>
    <w:rsid w:val="00BF2D7D"/>
    <w:rsid w:val="00C00A0B"/>
    <w:rsid w:val="00C02639"/>
    <w:rsid w:val="00C0340C"/>
    <w:rsid w:val="00C11B16"/>
    <w:rsid w:val="00C131A5"/>
    <w:rsid w:val="00C15305"/>
    <w:rsid w:val="00C20C5C"/>
    <w:rsid w:val="00C3157C"/>
    <w:rsid w:val="00C36908"/>
    <w:rsid w:val="00C4588E"/>
    <w:rsid w:val="00C47E36"/>
    <w:rsid w:val="00C546C9"/>
    <w:rsid w:val="00C5485D"/>
    <w:rsid w:val="00C55784"/>
    <w:rsid w:val="00C60F78"/>
    <w:rsid w:val="00C6210B"/>
    <w:rsid w:val="00C715CE"/>
    <w:rsid w:val="00C75786"/>
    <w:rsid w:val="00C7685D"/>
    <w:rsid w:val="00C878C8"/>
    <w:rsid w:val="00C90D04"/>
    <w:rsid w:val="00CA73F8"/>
    <w:rsid w:val="00CB0BC6"/>
    <w:rsid w:val="00CB2240"/>
    <w:rsid w:val="00CB3B1B"/>
    <w:rsid w:val="00CB7024"/>
    <w:rsid w:val="00CB7AE1"/>
    <w:rsid w:val="00CC5D31"/>
    <w:rsid w:val="00CC677B"/>
    <w:rsid w:val="00CC6797"/>
    <w:rsid w:val="00CC785C"/>
    <w:rsid w:val="00D00A35"/>
    <w:rsid w:val="00D06F88"/>
    <w:rsid w:val="00D112EF"/>
    <w:rsid w:val="00D13F22"/>
    <w:rsid w:val="00D16D6D"/>
    <w:rsid w:val="00D24FD3"/>
    <w:rsid w:val="00D25E1F"/>
    <w:rsid w:val="00D33E50"/>
    <w:rsid w:val="00D3791F"/>
    <w:rsid w:val="00D42FC3"/>
    <w:rsid w:val="00D509AD"/>
    <w:rsid w:val="00D53147"/>
    <w:rsid w:val="00D576A3"/>
    <w:rsid w:val="00D57E2C"/>
    <w:rsid w:val="00D619E3"/>
    <w:rsid w:val="00D73A95"/>
    <w:rsid w:val="00D82B99"/>
    <w:rsid w:val="00D83FFB"/>
    <w:rsid w:val="00D9327E"/>
    <w:rsid w:val="00D9593C"/>
    <w:rsid w:val="00DA2B10"/>
    <w:rsid w:val="00DB4EC7"/>
    <w:rsid w:val="00DB509B"/>
    <w:rsid w:val="00DB6264"/>
    <w:rsid w:val="00DC6013"/>
    <w:rsid w:val="00DC6238"/>
    <w:rsid w:val="00DC6656"/>
    <w:rsid w:val="00DC71E7"/>
    <w:rsid w:val="00DD5B74"/>
    <w:rsid w:val="00DD7B84"/>
    <w:rsid w:val="00DE0950"/>
    <w:rsid w:val="00DE3440"/>
    <w:rsid w:val="00DE589B"/>
    <w:rsid w:val="00DF22F4"/>
    <w:rsid w:val="00DF2D83"/>
    <w:rsid w:val="00DF4937"/>
    <w:rsid w:val="00DF62AE"/>
    <w:rsid w:val="00DF6382"/>
    <w:rsid w:val="00E00FD2"/>
    <w:rsid w:val="00E023F8"/>
    <w:rsid w:val="00E0275F"/>
    <w:rsid w:val="00E05480"/>
    <w:rsid w:val="00E054BA"/>
    <w:rsid w:val="00E06BF7"/>
    <w:rsid w:val="00E06C40"/>
    <w:rsid w:val="00E128F8"/>
    <w:rsid w:val="00E16A97"/>
    <w:rsid w:val="00E23544"/>
    <w:rsid w:val="00E23F00"/>
    <w:rsid w:val="00E30C1F"/>
    <w:rsid w:val="00E31833"/>
    <w:rsid w:val="00E32265"/>
    <w:rsid w:val="00E35408"/>
    <w:rsid w:val="00E37F98"/>
    <w:rsid w:val="00E42FCB"/>
    <w:rsid w:val="00E434B8"/>
    <w:rsid w:val="00E43AEF"/>
    <w:rsid w:val="00E475B0"/>
    <w:rsid w:val="00E47A23"/>
    <w:rsid w:val="00E509FE"/>
    <w:rsid w:val="00E5744C"/>
    <w:rsid w:val="00E615BE"/>
    <w:rsid w:val="00E61878"/>
    <w:rsid w:val="00E71109"/>
    <w:rsid w:val="00E84831"/>
    <w:rsid w:val="00E868AA"/>
    <w:rsid w:val="00E90FC1"/>
    <w:rsid w:val="00EA06CF"/>
    <w:rsid w:val="00EA190B"/>
    <w:rsid w:val="00EB2DD0"/>
    <w:rsid w:val="00EB4129"/>
    <w:rsid w:val="00EB7409"/>
    <w:rsid w:val="00EC5083"/>
    <w:rsid w:val="00EC57B1"/>
    <w:rsid w:val="00ED6C4F"/>
    <w:rsid w:val="00ED7108"/>
    <w:rsid w:val="00ED7A8F"/>
    <w:rsid w:val="00EE071A"/>
    <w:rsid w:val="00EE0991"/>
    <w:rsid w:val="00EE2E20"/>
    <w:rsid w:val="00EF2E78"/>
    <w:rsid w:val="00EF371F"/>
    <w:rsid w:val="00EF4474"/>
    <w:rsid w:val="00EF7754"/>
    <w:rsid w:val="00F02ED4"/>
    <w:rsid w:val="00F049C2"/>
    <w:rsid w:val="00F14912"/>
    <w:rsid w:val="00F1656A"/>
    <w:rsid w:val="00F1776D"/>
    <w:rsid w:val="00F17A06"/>
    <w:rsid w:val="00F21064"/>
    <w:rsid w:val="00F265A2"/>
    <w:rsid w:val="00F26699"/>
    <w:rsid w:val="00F31355"/>
    <w:rsid w:val="00F315B9"/>
    <w:rsid w:val="00F31768"/>
    <w:rsid w:val="00F343DB"/>
    <w:rsid w:val="00F34DD2"/>
    <w:rsid w:val="00F3522F"/>
    <w:rsid w:val="00F36557"/>
    <w:rsid w:val="00F40647"/>
    <w:rsid w:val="00F417E4"/>
    <w:rsid w:val="00F4426C"/>
    <w:rsid w:val="00F4436D"/>
    <w:rsid w:val="00F63995"/>
    <w:rsid w:val="00F66FA2"/>
    <w:rsid w:val="00F73E60"/>
    <w:rsid w:val="00F76DC1"/>
    <w:rsid w:val="00F77C2B"/>
    <w:rsid w:val="00F90272"/>
    <w:rsid w:val="00F91BB3"/>
    <w:rsid w:val="00F966C1"/>
    <w:rsid w:val="00F97F40"/>
    <w:rsid w:val="00FA2EF7"/>
    <w:rsid w:val="00FA4F4B"/>
    <w:rsid w:val="00FB4B6F"/>
    <w:rsid w:val="00FB5710"/>
    <w:rsid w:val="00FC2FC5"/>
    <w:rsid w:val="00FC6DC5"/>
    <w:rsid w:val="00FD02BD"/>
    <w:rsid w:val="00FD431C"/>
    <w:rsid w:val="00FD61C9"/>
    <w:rsid w:val="00FD644A"/>
    <w:rsid w:val="00FD64A1"/>
    <w:rsid w:val="00FE1638"/>
    <w:rsid w:val="00FE16A2"/>
    <w:rsid w:val="00FE2A7A"/>
    <w:rsid w:val="00FE5813"/>
    <w:rsid w:val="00FF1031"/>
    <w:rsid w:val="00FF27DB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9C8EA23-9795-44B8-8F41-83483FAB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067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74566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C0670"/>
    <w:rPr>
      <w:rFonts w:ascii="Cambria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uiPriority w:val="99"/>
    <w:rsid w:val="00F02ED4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12">
    <w:name w:val="CM12"/>
    <w:basedOn w:val="Default"/>
    <w:next w:val="Default"/>
    <w:uiPriority w:val="99"/>
    <w:rsid w:val="00F02ED4"/>
    <w:pPr>
      <w:spacing w:after="250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02ED4"/>
    <w:pPr>
      <w:spacing w:after="505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F02ED4"/>
    <w:pPr>
      <w:spacing w:line="25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F02ED4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02ED4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02ED4"/>
    <w:pPr>
      <w:spacing w:line="25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02ED4"/>
    <w:pPr>
      <w:spacing w:line="24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02ED4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02ED4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02ED4"/>
    <w:pPr>
      <w:spacing w:line="251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02ED4"/>
    <w:pPr>
      <w:spacing w:line="253" w:lineRule="atLeast"/>
    </w:pPr>
    <w:rPr>
      <w:color w:val="auto"/>
    </w:rPr>
  </w:style>
  <w:style w:type="paragraph" w:styleId="BodyText2">
    <w:name w:val="Body Text 2"/>
    <w:basedOn w:val="Normal"/>
    <w:link w:val="BodyText2Char"/>
    <w:uiPriority w:val="99"/>
    <w:rsid w:val="00A56F03"/>
    <w:pPr>
      <w:ind w:left="2880" w:hanging="2880"/>
    </w:pPr>
    <w:rPr>
      <w:sz w:val="20"/>
      <w:szCs w:val="20"/>
      <w:lang w:val="en-GB"/>
    </w:rPr>
  </w:style>
  <w:style w:type="character" w:customStyle="1" w:styleId="BodyText2Char">
    <w:name w:val="Body Text 2 Char"/>
    <w:link w:val="BodyText2"/>
    <w:uiPriority w:val="99"/>
    <w:locked/>
    <w:rsid w:val="00A56F03"/>
    <w:rPr>
      <w:rFonts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00F7C"/>
    <w:pPr>
      <w:tabs>
        <w:tab w:val="center" w:pos="4320"/>
        <w:tab w:val="right" w:pos="8640"/>
      </w:tabs>
      <w:jc w:val="both"/>
    </w:pPr>
    <w:rPr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300F7C"/>
    <w:rPr>
      <w:rFonts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00F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">
    <w:name w:val="i"/>
    <w:aliases w:val="ii,iii"/>
    <w:basedOn w:val="Normal"/>
    <w:uiPriority w:val="99"/>
    <w:rsid w:val="00720725"/>
    <w:pPr>
      <w:widowControl w:val="0"/>
      <w:autoSpaceDE w:val="0"/>
      <w:autoSpaceDN w:val="0"/>
      <w:adjustRightInd w:val="0"/>
      <w:ind w:left="1442" w:hanging="721"/>
    </w:pPr>
    <w:rPr>
      <w:sz w:val="20"/>
    </w:rPr>
  </w:style>
  <w:style w:type="paragraph" w:styleId="Title">
    <w:name w:val="Title"/>
    <w:basedOn w:val="Normal"/>
    <w:link w:val="TitleChar"/>
    <w:uiPriority w:val="99"/>
    <w:qFormat/>
    <w:rsid w:val="00720725"/>
    <w:pPr>
      <w:tabs>
        <w:tab w:val="left" w:pos="-1440"/>
        <w:tab w:val="left" w:pos="-720"/>
        <w:tab w:val="left" w:pos="0"/>
        <w:tab w:val="left" w:pos="721"/>
        <w:tab w:val="left" w:pos="1442"/>
        <w:tab w:val="left" w:pos="2163"/>
        <w:tab w:val="left" w:pos="2884"/>
        <w:tab w:val="left" w:pos="3606"/>
        <w:tab w:val="left" w:pos="4327"/>
        <w:tab w:val="left" w:pos="5048"/>
        <w:tab w:val="left" w:pos="5769"/>
        <w:tab w:val="left" w:pos="6490"/>
        <w:tab w:val="left" w:pos="7212"/>
        <w:tab w:val="left" w:pos="7933"/>
        <w:tab w:val="left" w:pos="8654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720725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EB41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B41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1638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semiHidden/>
    <w:rsid w:val="00745669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locked/>
    <w:rsid w:val="000A2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26C1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E2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57E2C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D57E2C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72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21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221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2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221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746ACDD1F0448B745E857F3C3A929" ma:contentTypeVersion="" ma:contentTypeDescription="Create a new document." ma:contentTypeScope="" ma:versionID="4a498916e7db1839c84cf55af7f426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6016B2-7CD8-451B-B093-F70CE2215B74}"/>
</file>

<file path=customXml/itemProps2.xml><?xml version="1.0" encoding="utf-8"?>
<ds:datastoreItem xmlns:ds="http://schemas.openxmlformats.org/officeDocument/2006/customXml" ds:itemID="{EA545E0C-F3FD-433F-9617-77F7E027E6AA}"/>
</file>

<file path=customXml/itemProps3.xml><?xml version="1.0" encoding="utf-8"?>
<ds:datastoreItem xmlns:ds="http://schemas.openxmlformats.org/officeDocument/2006/customXml" ds:itemID="{E32B31B4-7F6F-450C-9815-3DA36DE6CA45}"/>
</file>

<file path=customXml/itemProps4.xml><?xml version="1.0" encoding="utf-8"?>
<ds:datastoreItem xmlns:ds="http://schemas.openxmlformats.org/officeDocument/2006/customXml" ds:itemID="{8B9FBB53-BA44-4EDF-9585-692E9C793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WP14.doc</vt:lpstr>
      <vt:lpstr>Microsoft Word - WP14.doc</vt:lpstr>
    </vt:vector>
  </TitlesOfParts>
  <Company>HP</Company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WP14.doc</dc:title>
  <dc:creator>OManjang@icao.int</dc:creator>
  <cp:lastModifiedBy>Ousman, KEMO MANJANG</cp:lastModifiedBy>
  <cp:revision>2</cp:revision>
  <cp:lastPrinted>2016-06-15T14:17:00Z</cp:lastPrinted>
  <dcterms:created xsi:type="dcterms:W3CDTF">2016-06-22T10:31:00Z</dcterms:created>
  <dcterms:modified xsi:type="dcterms:W3CDTF">2016-06-22T10:31:00Z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0x010100F08746ACDD1F0448B745E857F3C3A929</vt:lpwstr>
  </property>
</Properties>
</file>