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9BB23" w14:textId="77777777" w:rsidR="001E0C45" w:rsidRDefault="001E0C45"/>
    <w:p w14:paraId="2034A186" w14:textId="5F81A806" w:rsidR="001E0C45" w:rsidRDefault="001E0C45">
      <w:pPr>
        <w:rPr>
          <w:rStyle w:val="rynqvb"/>
        </w:rPr>
      </w:pPr>
    </w:p>
    <w:p w14:paraId="169BA40D" w14:textId="2F1DAD0C" w:rsidR="001E0C45" w:rsidRDefault="001E0C45" w:rsidP="001E0C45">
      <w:pPr>
        <w:jc w:val="both"/>
        <w:rPr>
          <w:rStyle w:val="rynqvb"/>
          <w:rFonts w:ascii="Berlin Sans FB Demi" w:hAnsi="Berlin Sans FB Demi"/>
          <w:color w:val="C45911" w:themeColor="accent2" w:themeShade="BF"/>
          <w:sz w:val="52"/>
          <w:szCs w:val="52"/>
        </w:rPr>
      </w:pPr>
      <w:r w:rsidRPr="001E0C45">
        <w:rPr>
          <w:rStyle w:val="rynqvb"/>
          <w:rFonts w:ascii="Berlin Sans FB Demi" w:hAnsi="Berlin Sans FB Demi"/>
          <w:color w:val="C45911" w:themeColor="accent2" w:themeShade="BF"/>
          <w:sz w:val="52"/>
          <w:szCs w:val="52"/>
        </w:rPr>
        <w:t>Guide pour la localisation et la récupération sous-marines d</w:t>
      </w:r>
      <w:r w:rsidR="00BC061B">
        <w:rPr>
          <w:rStyle w:val="rynqvb"/>
          <w:rFonts w:ascii="Berlin Sans FB Demi" w:hAnsi="Berlin Sans FB Demi"/>
          <w:color w:val="C45911" w:themeColor="accent2" w:themeShade="BF"/>
          <w:sz w:val="52"/>
          <w:szCs w:val="52"/>
        </w:rPr>
        <w:t>’</w:t>
      </w:r>
      <w:r w:rsidRPr="001E0C45">
        <w:rPr>
          <w:rStyle w:val="rynqvb"/>
          <w:rFonts w:ascii="Berlin Sans FB Demi" w:hAnsi="Berlin Sans FB Demi"/>
          <w:color w:val="C45911" w:themeColor="accent2" w:themeShade="BF"/>
          <w:sz w:val="52"/>
          <w:szCs w:val="52"/>
        </w:rPr>
        <w:t>épaves d'aéronefs et des enregistreurs de vol.</w:t>
      </w:r>
    </w:p>
    <w:p w14:paraId="6B8AE0B8" w14:textId="77777777" w:rsidR="007910D3" w:rsidRDefault="007910D3" w:rsidP="001E0C45">
      <w:pPr>
        <w:jc w:val="both"/>
        <w:rPr>
          <w:rStyle w:val="rynqvb"/>
          <w:rFonts w:ascii="Berlin Sans FB Demi" w:hAnsi="Berlin Sans FB Demi"/>
          <w:color w:val="C45911" w:themeColor="accent2" w:themeShade="BF"/>
          <w:sz w:val="52"/>
          <w:szCs w:val="52"/>
        </w:rPr>
      </w:pPr>
    </w:p>
    <w:p w14:paraId="15AEC90B" w14:textId="77777777" w:rsidR="007910D3" w:rsidRDefault="007910D3" w:rsidP="001E0C45">
      <w:pPr>
        <w:jc w:val="both"/>
        <w:rPr>
          <w:rStyle w:val="rynqvb"/>
          <w:rFonts w:ascii="Berlin Sans FB Demi" w:hAnsi="Berlin Sans FB Demi"/>
          <w:color w:val="C45911" w:themeColor="accent2" w:themeShade="BF"/>
          <w:sz w:val="52"/>
          <w:szCs w:val="52"/>
        </w:rPr>
      </w:pPr>
    </w:p>
    <w:p w14:paraId="1A00A48D" w14:textId="77777777" w:rsidR="007910D3" w:rsidRDefault="007910D3" w:rsidP="001E0C45">
      <w:pPr>
        <w:jc w:val="both"/>
        <w:rPr>
          <w:rStyle w:val="rynqvb"/>
          <w:rFonts w:ascii="Berlin Sans FB Demi" w:hAnsi="Berlin Sans FB Demi"/>
          <w:color w:val="C45911" w:themeColor="accent2" w:themeShade="BF"/>
          <w:sz w:val="52"/>
          <w:szCs w:val="52"/>
        </w:rPr>
      </w:pPr>
    </w:p>
    <w:p w14:paraId="3E418CE3" w14:textId="77777777" w:rsidR="007910D3" w:rsidRPr="001E0C45" w:rsidRDefault="007910D3" w:rsidP="001E0C45">
      <w:pPr>
        <w:jc w:val="both"/>
        <w:rPr>
          <w:rStyle w:val="rynqvb"/>
          <w:rFonts w:ascii="Berlin Sans FB Demi" w:hAnsi="Berlin Sans FB Demi"/>
          <w:color w:val="C45911" w:themeColor="accent2" w:themeShade="BF"/>
          <w:sz w:val="52"/>
          <w:szCs w:val="52"/>
        </w:rPr>
      </w:pPr>
    </w:p>
    <w:p w14:paraId="2257F0EC" w14:textId="77777777" w:rsidR="001E0C45" w:rsidRDefault="001E0C45">
      <w:pPr>
        <w:rPr>
          <w:rStyle w:val="rynqvb"/>
        </w:rPr>
      </w:pPr>
    </w:p>
    <w:p w14:paraId="15125AD7" w14:textId="5BBC32D6" w:rsidR="001E0C45" w:rsidRDefault="007910D3">
      <w:pPr>
        <w:rPr>
          <w:rStyle w:val="rynqvb"/>
        </w:rPr>
      </w:pPr>
      <w:r w:rsidRPr="007910D3">
        <w:rPr>
          <w:rStyle w:val="rynqvb"/>
          <w:noProof/>
        </w:rPr>
        <w:drawing>
          <wp:inline distT="0" distB="0" distL="0" distR="0" wp14:anchorId="201A927D" wp14:editId="1A5220AC">
            <wp:extent cx="5448300" cy="3131820"/>
            <wp:effectExtent l="0" t="0" r="0" b="0"/>
            <wp:docPr id="15990720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3131820"/>
                    </a:xfrm>
                    <a:prstGeom prst="rect">
                      <a:avLst/>
                    </a:prstGeom>
                    <a:noFill/>
                    <a:ln>
                      <a:noFill/>
                    </a:ln>
                  </pic:spPr>
                </pic:pic>
              </a:graphicData>
            </a:graphic>
          </wp:inline>
        </w:drawing>
      </w:r>
    </w:p>
    <w:p w14:paraId="6295F5C8" w14:textId="77777777" w:rsidR="001E0C45" w:rsidRDefault="001E0C45">
      <w:pPr>
        <w:rPr>
          <w:rStyle w:val="rynqvb"/>
        </w:rPr>
      </w:pPr>
    </w:p>
    <w:p w14:paraId="4201CC90" w14:textId="77777777" w:rsidR="001E0C45" w:rsidRDefault="001E0C45">
      <w:pPr>
        <w:rPr>
          <w:rStyle w:val="rynqvb"/>
        </w:rPr>
      </w:pPr>
    </w:p>
    <w:p w14:paraId="6B9226FF" w14:textId="77777777" w:rsidR="001E0C45" w:rsidRDefault="001E0C45">
      <w:pPr>
        <w:rPr>
          <w:rStyle w:val="rynqvb"/>
        </w:rPr>
      </w:pPr>
    </w:p>
    <w:p w14:paraId="49FE9BDB" w14:textId="77777777" w:rsidR="001E0C45" w:rsidRDefault="001E0C45">
      <w:pPr>
        <w:rPr>
          <w:rStyle w:val="rynqvb"/>
        </w:rPr>
      </w:pPr>
    </w:p>
    <w:p w14:paraId="78F306A5" w14:textId="77777777" w:rsidR="001E0C45" w:rsidRDefault="001E0C45">
      <w:pPr>
        <w:rPr>
          <w:rStyle w:val="rynqvb"/>
        </w:rPr>
      </w:pPr>
    </w:p>
    <w:p w14:paraId="6D47891F" w14:textId="77777777" w:rsidR="001E0C45" w:rsidRDefault="001E0C45">
      <w:pPr>
        <w:rPr>
          <w:rStyle w:val="rynqvb"/>
        </w:rPr>
      </w:pPr>
    </w:p>
    <w:p w14:paraId="752E16C7" w14:textId="6504237F" w:rsidR="007910D3" w:rsidRDefault="007910D3" w:rsidP="007910D3">
      <w:pPr>
        <w:jc w:val="both"/>
        <w:rPr>
          <w:rStyle w:val="rynqvb"/>
          <w:b/>
          <w:bCs/>
          <w:sz w:val="28"/>
          <w:szCs w:val="28"/>
        </w:rPr>
      </w:pPr>
      <w:r>
        <w:rPr>
          <w:rStyle w:val="rynqvb"/>
          <w:b/>
          <w:bCs/>
          <w:sz w:val="28"/>
          <w:szCs w:val="28"/>
        </w:rPr>
        <w:t>1. Introduction</w:t>
      </w:r>
    </w:p>
    <w:p w14:paraId="7CBF8340" w14:textId="77777777" w:rsidR="007910D3" w:rsidRDefault="007910D3">
      <w:pPr>
        <w:rPr>
          <w:rFonts w:ascii="Times New Roman" w:eastAsia="Times New Roman" w:hAnsi="Times New Roman" w:cs="Times New Roman"/>
          <w:kern w:val="0"/>
          <w:sz w:val="24"/>
          <w:szCs w:val="24"/>
          <w:lang w:eastAsia="fr-FR"/>
          <w14:ligatures w14:val="none"/>
        </w:rPr>
      </w:pPr>
    </w:p>
    <w:p w14:paraId="1FEC9996" w14:textId="197D39C0" w:rsidR="00EE6417" w:rsidRPr="007910D3" w:rsidRDefault="007910D3">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1.1 </w:t>
      </w:r>
      <w:r w:rsidR="00EE6417" w:rsidRPr="007910D3">
        <w:rPr>
          <w:rFonts w:ascii="Times New Roman" w:eastAsia="Times New Roman" w:hAnsi="Times New Roman" w:cs="Times New Roman"/>
          <w:kern w:val="0"/>
          <w:sz w:val="24"/>
          <w:szCs w:val="24"/>
          <w:lang w:eastAsia="fr-FR"/>
          <w14:ligatures w14:val="none"/>
        </w:rPr>
        <w:t>Tout État disposant d'un littoral ou d'une étendue d'eau intérieure, ou d'aéronefs immatriculés dans son registre national survolant les eaux internationales, peut être tenu de mener une enquête sur la perte d'un aéronef dans ses eaux territoriales ou en haute mer. Des accidents mortels ayant une dimension sous-marine se produisent régulièrement.</w:t>
      </w:r>
    </w:p>
    <w:p w14:paraId="5C7F38FD" w14:textId="77777777" w:rsidR="00EE6417" w:rsidRPr="007910D3" w:rsidRDefault="00EE6417">
      <w:pPr>
        <w:rPr>
          <w:rFonts w:ascii="Times New Roman" w:eastAsia="Times New Roman" w:hAnsi="Times New Roman" w:cs="Times New Roman"/>
          <w:kern w:val="0"/>
          <w:sz w:val="24"/>
          <w:szCs w:val="24"/>
          <w:lang w:eastAsia="fr-FR"/>
          <w14:ligatures w14:val="none"/>
        </w:rPr>
      </w:pPr>
    </w:p>
    <w:p w14:paraId="7E4F189A" w14:textId="01395733" w:rsidR="00EE6417" w:rsidRPr="00EE6417" w:rsidRDefault="007910D3" w:rsidP="00EE6417">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1.2 </w:t>
      </w:r>
      <w:r w:rsidR="00EE6417" w:rsidRPr="00EE6417">
        <w:rPr>
          <w:rFonts w:ascii="Times New Roman" w:eastAsia="Times New Roman" w:hAnsi="Times New Roman" w:cs="Times New Roman"/>
          <w:kern w:val="0"/>
          <w:sz w:val="24"/>
          <w:szCs w:val="24"/>
          <w:lang w:eastAsia="fr-FR"/>
          <w14:ligatures w14:val="none"/>
        </w:rPr>
        <w:t>Lorsqu'un avion s'écrase dans l'eau, que ce soit en mer, sur un lac ou une rivière, le premier besoin – l'accès au lieu de l'accident – ​​est problématique en soi. Les difficultés s'aggravent à mesure que l'eau devient plus profonde.</w:t>
      </w:r>
    </w:p>
    <w:p w14:paraId="5A378160" w14:textId="77777777" w:rsidR="00EE6417" w:rsidRPr="007910D3" w:rsidRDefault="00EE6417" w:rsidP="00EE6417">
      <w:pPr>
        <w:jc w:val="both"/>
        <w:rPr>
          <w:rFonts w:ascii="Times New Roman" w:eastAsia="Times New Roman" w:hAnsi="Times New Roman" w:cs="Times New Roman"/>
          <w:kern w:val="0"/>
          <w:sz w:val="24"/>
          <w:szCs w:val="24"/>
          <w:lang w:eastAsia="fr-FR"/>
          <w14:ligatures w14:val="none"/>
        </w:rPr>
      </w:pPr>
    </w:p>
    <w:p w14:paraId="3CD3A9AE" w14:textId="3DAAF69F" w:rsidR="00EE6417" w:rsidRDefault="007910D3" w:rsidP="00EE6417">
      <w:pPr>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1.3 </w:t>
      </w:r>
      <w:r w:rsidR="00EE6417" w:rsidRPr="007910D3">
        <w:rPr>
          <w:rFonts w:ascii="Times New Roman" w:eastAsia="Times New Roman" w:hAnsi="Times New Roman" w:cs="Times New Roman"/>
          <w:kern w:val="0"/>
          <w:sz w:val="24"/>
          <w:szCs w:val="24"/>
          <w:lang w:eastAsia="fr-FR"/>
          <w14:ligatures w14:val="none"/>
        </w:rPr>
        <w:t>La localisation et la récupération sous-marines présentent des caractéristiques extrêmement complexes et nécessitent une intervention bien planifiée et rapide, coordonnée entre de nombreuses parties. Une préparation inadéquate ou une mauvaise gestion de l'enquête initiale peuvent dégénérer en crise et menacer des preuves cruciales. Ce risque augmente lorsque le lieu de l'accident est problématique.</w:t>
      </w:r>
    </w:p>
    <w:p w14:paraId="7176C80D"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7E8F62F6" w14:textId="4E7B0A28" w:rsidR="00EE6417" w:rsidRDefault="007910D3" w:rsidP="00EE6417">
      <w:pPr>
        <w:jc w:val="both"/>
        <w:rPr>
          <w:rStyle w:val="rynqvb"/>
          <w:b/>
          <w:bCs/>
          <w:sz w:val="28"/>
          <w:szCs w:val="28"/>
        </w:rPr>
      </w:pPr>
      <w:r>
        <w:rPr>
          <w:rStyle w:val="rynqvb"/>
          <w:b/>
          <w:bCs/>
          <w:sz w:val="28"/>
          <w:szCs w:val="28"/>
        </w:rPr>
        <w:t>2. Pr</w:t>
      </w:r>
      <w:r w:rsidR="00EE6417" w:rsidRPr="00EE6417">
        <w:rPr>
          <w:rStyle w:val="rynqvb"/>
          <w:b/>
          <w:bCs/>
          <w:sz w:val="28"/>
          <w:szCs w:val="28"/>
        </w:rPr>
        <w:t xml:space="preserve">éparation pour les opérations de localisation et de récupération sous-marines </w:t>
      </w:r>
    </w:p>
    <w:p w14:paraId="6478F587" w14:textId="6EE5BCF8" w:rsidR="00EE6417" w:rsidRPr="00EE6417" w:rsidRDefault="00EE6417" w:rsidP="00EE6417">
      <w:pPr>
        <w:jc w:val="both"/>
        <w:rPr>
          <w:rStyle w:val="rynqvb"/>
          <w:b/>
          <w:bCs/>
          <w:sz w:val="28"/>
          <w:szCs w:val="28"/>
        </w:rPr>
      </w:pPr>
      <w:r w:rsidRPr="00EE6417">
        <w:rPr>
          <w:rStyle w:val="rynqvb"/>
          <w:b/>
          <w:bCs/>
          <w:sz w:val="28"/>
          <w:szCs w:val="28"/>
        </w:rPr>
        <w:t xml:space="preserve">2.1 Partenariats et contacts </w:t>
      </w:r>
    </w:p>
    <w:p w14:paraId="00F9109A" w14:textId="53A7B935"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Pr>
          <w:rStyle w:val="rynqvb"/>
        </w:rPr>
        <w:t>2</w:t>
      </w:r>
      <w:r w:rsidRPr="00836818">
        <w:rPr>
          <w:rFonts w:ascii="Times New Roman" w:eastAsia="Times New Roman" w:hAnsi="Times New Roman" w:cs="Times New Roman"/>
          <w:kern w:val="0"/>
          <w:sz w:val="24"/>
          <w:szCs w:val="24"/>
          <w:lang w:eastAsia="fr-FR"/>
          <w14:ligatures w14:val="none"/>
        </w:rPr>
        <w:t>.1.1 Les autorités chargées des enquêtes de sécurité ne sont généralement pas en mesure de mener une enquête ayant une dimension sous-marine sans aide extérieure. Il est donc nécessaire d'établir au préalable des relations avec des partenaires et des sources d'assistance potentiels.</w:t>
      </w:r>
    </w:p>
    <w:p w14:paraId="7CBCD275" w14:textId="330D6F62"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 xml:space="preserve">2.1.2 Au sein de l'État de l'autorité d'enquête de sécurité, ces partenaires devraient inclure les ministères chargés des questions maritimes, la marine et le corps diplomatique. Il est particulièrement important de disposer d'une procédure garantissant un accès rapide aux données bathymétriques et </w:t>
      </w:r>
      <w:proofErr w:type="spellStart"/>
      <w:r w:rsidRPr="00836818">
        <w:rPr>
          <w:rFonts w:ascii="Times New Roman" w:eastAsia="Times New Roman" w:hAnsi="Times New Roman" w:cs="Times New Roman"/>
          <w:kern w:val="0"/>
          <w:sz w:val="24"/>
          <w:szCs w:val="24"/>
          <w:lang w:eastAsia="fr-FR"/>
          <w14:ligatures w14:val="none"/>
        </w:rPr>
        <w:t>bathythermographiques</w:t>
      </w:r>
      <w:proofErr w:type="spellEnd"/>
      <w:r w:rsidRPr="00836818">
        <w:rPr>
          <w:rFonts w:ascii="Times New Roman" w:eastAsia="Times New Roman" w:hAnsi="Times New Roman" w:cs="Times New Roman"/>
          <w:kern w:val="0"/>
          <w:sz w:val="24"/>
          <w:szCs w:val="24"/>
          <w:lang w:eastAsia="fr-FR"/>
          <w14:ligatures w14:val="none"/>
        </w:rPr>
        <w:t xml:space="preserve">, au moins pour les eaux nationales. </w:t>
      </w:r>
    </w:p>
    <w:p w14:paraId="587FF8E0" w14:textId="301A51B1"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2.1.3 Des partenariats devraient également être établis avec des collègues d'autres autorités nationales d'enquête de sécurité, ainsi qu'avec les services militaires et diplomatiques étrangers concernés.</w:t>
      </w:r>
    </w:p>
    <w:p w14:paraId="5E48899C" w14:textId="77777777"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 xml:space="preserve">2.1.4 Bien qu'il soit conseillé de solliciter l'avis d'organismes tels que la police, la marine et les garde-côtes, le contrôle global de l'opération doit toujours être assuré par l'autorité chargée des enquêtes de sécurité. Il peut être utile de solliciter l'aide d'autres autorités nationales d'enquête ayant récemment mené des opérations similaires. </w:t>
      </w:r>
    </w:p>
    <w:p w14:paraId="2B6641AE" w14:textId="52DC08C0"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2.1.5 Dans le cadre de ces contacts à l'étranger, il est judicieux d'établir une homogénéité des spécifications techniques des équipements et des logiciels utilisés par les États de la région, afin de faciliter le partage et l'utilisation de ces ressources en cas de besoin.</w:t>
      </w:r>
    </w:p>
    <w:p w14:paraId="0A6488A6" w14:textId="77777777"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lastRenderedPageBreak/>
        <w:t xml:space="preserve">2.1.6 Il est également important de savoir où se procurer l'équipement nécessaire. S'il est possible d'emprunter du matériel auprès de partenaires, il peut être nécessaire de conclure des contrats de location pour des navires, des engins sous-marins et d'autres équipements spécialisés ou coûteux. Les coordonnées des prestataires appropriés, ainsi qu'une compréhension des types d'équipement et d'expertise (par exemple, en plongée) que chacun peut proposer, doivent faire partie intégrante des préparatifs permanents d'une éventuelle opération sous-marine. </w:t>
      </w:r>
    </w:p>
    <w:p w14:paraId="26F7A87B" w14:textId="227C01FA"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2.1.7 Les listes de contrôle pour les opérations sous-marines sont importantes à des fins de planification. Mais chaque accident est unique et une planification détaillée sera inévitablement spécifique à chaque événement.</w:t>
      </w:r>
    </w:p>
    <w:p w14:paraId="4B4B9893" w14:textId="2561B36F"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2.1.8 Un équipement et un personnel efficaces peuvent être coûteux, mais ils peuvent réduire les coûts globaux. « Employer un expert coûte cher, mais pas autant que d'employer un non-expert. »</w:t>
      </w:r>
    </w:p>
    <w:p w14:paraId="34E75BBE" w14:textId="42DEA641" w:rsidR="00EE6417" w:rsidRDefault="00EE6417" w:rsidP="00EE6417">
      <w:pPr>
        <w:jc w:val="both"/>
        <w:rPr>
          <w:rStyle w:val="rynqvb"/>
        </w:rPr>
      </w:pPr>
      <w:r w:rsidRPr="00EE6417">
        <w:rPr>
          <w:rStyle w:val="rynqvb"/>
          <w:b/>
          <w:bCs/>
          <w:sz w:val="28"/>
          <w:szCs w:val="28"/>
        </w:rPr>
        <w:t>2.2 Location de matériel et de navires</w:t>
      </w:r>
    </w:p>
    <w:p w14:paraId="5724049D" w14:textId="446E8DB5"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2.2.1 Le facteur clé dans le choix du navire et de son équipement embarqué est la nature du lieu de l'accident : l'état de la mer, la profondeur probable et l'environnement des fonds marins. D'autres facteurs importants sont la proximité du port le plus proche et la disponibilité de navires adaptés. Les autorités chargées des enquêtes de sécurité, peu habituées aux opérations sous-marines, sous-estiment souvent le temps nécessaire pour mettre en place les moyens maritimes nécessaires au démarrage des opérations.</w:t>
      </w:r>
    </w:p>
    <w:p w14:paraId="752E2FBF" w14:textId="13CA81E6" w:rsidR="00EE6417" w:rsidRDefault="00EE6417" w:rsidP="00EE6417">
      <w:pPr>
        <w:jc w:val="center"/>
        <w:rPr>
          <w:rStyle w:val="rynqvb"/>
        </w:rPr>
      </w:pPr>
      <w:r w:rsidRPr="00EE6417">
        <w:rPr>
          <w:rStyle w:val="rynqvb"/>
          <w:noProof/>
        </w:rPr>
        <w:drawing>
          <wp:inline distT="0" distB="0" distL="0" distR="0" wp14:anchorId="5AE620AE" wp14:editId="5AF762F1">
            <wp:extent cx="2475962" cy="1638300"/>
            <wp:effectExtent l="0" t="0" r="635" b="0"/>
            <wp:docPr id="1889337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4725" cy="1644099"/>
                    </a:xfrm>
                    <a:prstGeom prst="rect">
                      <a:avLst/>
                    </a:prstGeom>
                    <a:noFill/>
                    <a:ln>
                      <a:noFill/>
                    </a:ln>
                  </pic:spPr>
                </pic:pic>
              </a:graphicData>
            </a:graphic>
          </wp:inline>
        </w:drawing>
      </w:r>
    </w:p>
    <w:p w14:paraId="474B285C" w14:textId="77777777"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 xml:space="preserve">2.2.2 Pour évaluer l'adéquation des navires disponibles, il convient de tenir compte de leur capacité à accomplir la tâche requise dans le temps imparti, notamment de leur équipement en équipements spécialisés tels que des dispositifs acoustiques pour la détection des signaux de 37,5 kHz et, si nécessaire, d'un sonar multifaisceaux de coque pour la bathymétrie des fonds marins. D'autres éléments à prendre en compte sont la localisation et la disponibilité actuelles du navire, le temps de trajet jusqu'au lieu de l'accident et le coût total de l'affrètement, y compris la fourniture de l'équipement et la mobilisation/démobilisation. </w:t>
      </w:r>
    </w:p>
    <w:p w14:paraId="5E90D81C" w14:textId="1069D633" w:rsidR="00EE6417" w:rsidRPr="00836818" w:rsidRDefault="00EE6417"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2.2.3 Les embarcations de taille relativement réduite, destinées aux opérations sur les lacs, les rivières et les côtes proches, ne seront probablement pas difficiles à sécuriser. Pour les opérations en mer, il est nécessaire de savoir où trouver un navire plus grand et adapté.</w:t>
      </w:r>
    </w:p>
    <w:p w14:paraId="6098052C" w14:textId="77777777" w:rsidR="00633515" w:rsidRPr="00836818" w:rsidRDefault="00633515"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 xml:space="preserve">2.2.4 Si aucun navire d'État approprié n'est disponible, il peut être nécessaire de se rapprocher du marché de l'affrètement et d'envisager de lancer un appel d'offres ou un cahier des charges. Ce document doit préciser la taille de l'aéronef perdu (ce qui déterminera l'équipement de levage et l'espace de pont nécessaires), la profondeur du site, les éventuels problèmes liés aux restes </w:t>
      </w:r>
      <w:r w:rsidRPr="00836818">
        <w:rPr>
          <w:rFonts w:ascii="Times New Roman" w:eastAsia="Times New Roman" w:hAnsi="Times New Roman" w:cs="Times New Roman"/>
          <w:kern w:val="0"/>
          <w:sz w:val="24"/>
          <w:szCs w:val="24"/>
          <w:lang w:eastAsia="fr-FR"/>
          <w14:ligatures w14:val="none"/>
        </w:rPr>
        <w:lastRenderedPageBreak/>
        <w:t>humains et la durée prévue de l'opération. Des questions annexes peuvent être la nécessité d'un héliport et les exigences en matière d'audit ou de certification. La date limite de réponse doit être indiquée.</w:t>
      </w:r>
    </w:p>
    <w:p w14:paraId="4B458108" w14:textId="4056E4E5" w:rsidR="00633515" w:rsidRPr="00836818" w:rsidRDefault="00633515" w:rsidP="00EE6417">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2.2.5 De ​​nombreux navires adaptés au sauvetage d'aéronefs sont utilisés pour soutenir le secteur pétrolier et gazier offshore, notamment en mer du Nord, dans le golfe Persique, dans le golfe du Mexique et au large de l'Afrique de l'Ouest. Rares sont ceux conçus pour soutenir des opérations à plus de 2 000 mètres de profondeur et, dans ce cas, il peut être nécessaire d'affréter le navire et de louer séparément l'équipement supplémentaire. Dans ces circonstances, il sera important d'établir la compatibilité du navire et de ses systèmes avec les équipements embarqués, par exemple en matière de stockage, de levage, d'alimentation électrique, de chargement et d'arrimage sur le pont.</w:t>
      </w:r>
    </w:p>
    <w:p w14:paraId="654D5593" w14:textId="19E2CA0C" w:rsidR="00EE6417" w:rsidRDefault="00633515" w:rsidP="00633515">
      <w:pPr>
        <w:jc w:val="center"/>
        <w:rPr>
          <w:rStyle w:val="rynqvb"/>
        </w:rPr>
      </w:pPr>
      <w:r w:rsidRPr="00633515">
        <w:rPr>
          <w:rStyle w:val="rynqvb"/>
          <w:noProof/>
        </w:rPr>
        <w:drawing>
          <wp:inline distT="0" distB="0" distL="0" distR="0" wp14:anchorId="2C6DE429" wp14:editId="0ED6BC69">
            <wp:extent cx="1918480" cy="2849880"/>
            <wp:effectExtent l="0" t="0" r="5715" b="7620"/>
            <wp:docPr id="10021184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1510" cy="2854381"/>
                    </a:xfrm>
                    <a:prstGeom prst="rect">
                      <a:avLst/>
                    </a:prstGeom>
                    <a:noFill/>
                    <a:ln>
                      <a:noFill/>
                    </a:ln>
                  </pic:spPr>
                </pic:pic>
              </a:graphicData>
            </a:graphic>
          </wp:inline>
        </w:drawing>
      </w:r>
    </w:p>
    <w:p w14:paraId="06A7F755" w14:textId="3933CD71" w:rsidR="00633515" w:rsidRPr="00836818" w:rsidRDefault="00633515" w:rsidP="00633515">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2.2.6 L'expérience montre que la mobilisation de grands navires capables de récupérer l'épave en eaux profondes peut prendre du temps. Il peut être avantageux d'adopter une approche en deux étapes : d'abord, un navire plus petit, capable d'atteindre rapidement le lieu de l'accident, et de commencer la localisation des balises de localisation sous-marines (ULB), en attendant l'arrivée d'un navire de récupération. La décision d'envoyer le navire de récupération ne devrait être prise qu'une fois l'épave localisée, et le délai entre sa localisation et le départ du navire devrait être réduit au minimum. Si l'épave n'a pas été localisée pendant la période où les ULB sont censées émettre, il sera nécessaire de procéder à une autre phase de localisation, à l'aide d'un sonar, qui correspondra généralement aux exigences des différents navires.</w:t>
      </w:r>
    </w:p>
    <w:p w14:paraId="4CC35B91" w14:textId="3D7DBDCB" w:rsidR="00633515" w:rsidRPr="00836818" w:rsidRDefault="00633515" w:rsidP="00633515">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2.2.7 En tant qu'entrepreneur principal, il est important d'être conscient des responsabilités partagées qui peuvent avoir été assumées, par exemple en cas de dommages aux pipelines sous-marins ou à d'autres infrastructures pendant l'exploitation. Il est également important de s'assurer que le navire dispose des certifications requises de l'État du pavillon et de la société de classification, par exemple en ce qui concerne ses équipements de sécurité et sa maintenance, la formation et la certification de son équipage, son assurance pollution et ses systèmes de gestion de la santé et de la sécurité.</w:t>
      </w:r>
    </w:p>
    <w:p w14:paraId="49839B47" w14:textId="77777777" w:rsidR="00633515" w:rsidRPr="00836818" w:rsidRDefault="00633515" w:rsidP="00633515">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2.2.8 Le contrat d'affrètement BIMCO2, « Charte-partie à temps pour navires de service offshore » (</w:t>
      </w:r>
      <w:proofErr w:type="spellStart"/>
      <w:r w:rsidRPr="00836818">
        <w:rPr>
          <w:rFonts w:ascii="Times New Roman" w:eastAsia="Times New Roman" w:hAnsi="Times New Roman" w:cs="Times New Roman"/>
          <w:kern w:val="0"/>
          <w:sz w:val="24"/>
          <w:szCs w:val="24"/>
          <w:lang w:eastAsia="fr-FR"/>
          <w14:ligatures w14:val="none"/>
        </w:rPr>
        <w:t>Supplytime</w:t>
      </w:r>
      <w:proofErr w:type="spellEnd"/>
      <w:r w:rsidRPr="00836818">
        <w:rPr>
          <w:rFonts w:ascii="Times New Roman" w:eastAsia="Times New Roman" w:hAnsi="Times New Roman" w:cs="Times New Roman"/>
          <w:kern w:val="0"/>
          <w:sz w:val="24"/>
          <w:szCs w:val="24"/>
          <w:lang w:eastAsia="fr-FR"/>
          <w14:ligatures w14:val="none"/>
        </w:rPr>
        <w:t xml:space="preserve"> 2005), est un modèle contractuel standard bien connu des armateurs. Le </w:t>
      </w:r>
      <w:r w:rsidRPr="00836818">
        <w:rPr>
          <w:rFonts w:ascii="Times New Roman" w:eastAsia="Times New Roman" w:hAnsi="Times New Roman" w:cs="Times New Roman"/>
          <w:kern w:val="0"/>
          <w:sz w:val="24"/>
          <w:szCs w:val="24"/>
          <w:lang w:eastAsia="fr-FR"/>
          <w14:ligatures w14:val="none"/>
        </w:rPr>
        <w:lastRenderedPageBreak/>
        <w:t xml:space="preserve">règlement des litiges relatifs à ce contrat est soumis à la procédure d'arbitrage prévue et définie à l'article 34, partie II de l'annexe B du contrat. </w:t>
      </w:r>
    </w:p>
    <w:p w14:paraId="30A8A795" w14:textId="19914FBA" w:rsidR="000B0B7A" w:rsidRPr="00836818" w:rsidRDefault="000B0B7A" w:rsidP="00633515">
      <w:pPr>
        <w:jc w:val="both"/>
        <w:rPr>
          <w:rFonts w:ascii="Times New Roman" w:eastAsia="Times New Roman" w:hAnsi="Times New Roman" w:cs="Times New Roman"/>
          <w:kern w:val="0"/>
          <w:sz w:val="24"/>
          <w:szCs w:val="24"/>
          <w:lang w:eastAsia="fr-FR"/>
          <w14:ligatures w14:val="none"/>
        </w:rPr>
      </w:pPr>
      <w:r w:rsidRPr="00836818">
        <w:rPr>
          <w:rFonts w:ascii="Times New Roman" w:eastAsia="Times New Roman" w:hAnsi="Times New Roman" w:cs="Times New Roman"/>
          <w:kern w:val="0"/>
          <w:sz w:val="24"/>
          <w:szCs w:val="24"/>
          <w:lang w:eastAsia="fr-FR"/>
          <w14:ligatures w14:val="none"/>
        </w:rPr>
        <w:t>2.2.9 Une fois le navire sélectionné et le contrat signé, il est important qu’une bonne relation de travail soit établie et maintenue entre l’équipe d’enquête et le capitaine du navire.</w:t>
      </w:r>
    </w:p>
    <w:p w14:paraId="6EA2E6B5" w14:textId="77777777" w:rsidR="00633515" w:rsidRDefault="00633515" w:rsidP="00633515">
      <w:pPr>
        <w:jc w:val="both"/>
        <w:rPr>
          <w:rStyle w:val="rynqvb"/>
        </w:rPr>
      </w:pPr>
    </w:p>
    <w:p w14:paraId="60C56AE0" w14:textId="77777777" w:rsidR="000B0B7A" w:rsidRPr="000B0B7A" w:rsidRDefault="000B0B7A" w:rsidP="00633515">
      <w:pPr>
        <w:jc w:val="both"/>
        <w:rPr>
          <w:rStyle w:val="rynqvb"/>
          <w:b/>
          <w:bCs/>
          <w:sz w:val="28"/>
          <w:szCs w:val="28"/>
        </w:rPr>
      </w:pPr>
      <w:r w:rsidRPr="000B0B7A">
        <w:rPr>
          <w:rStyle w:val="rynqvb"/>
          <w:b/>
          <w:bCs/>
          <w:sz w:val="28"/>
          <w:szCs w:val="28"/>
        </w:rPr>
        <w:t xml:space="preserve">2.3 Autres équipements spéciaux </w:t>
      </w:r>
    </w:p>
    <w:p w14:paraId="2F3B86F9" w14:textId="648332CD" w:rsidR="000B0B7A" w:rsidRDefault="000B0B7A" w:rsidP="00633515">
      <w:pPr>
        <w:jc w:val="both"/>
        <w:rPr>
          <w:rStyle w:val="rynqvb"/>
        </w:rPr>
      </w:pPr>
      <w:r>
        <w:rPr>
          <w:rStyle w:val="rynqvb"/>
        </w:rPr>
        <w:t xml:space="preserve">2.3.1 La profondeur à laquelle l'épave de l'avion et les enregistreurs de vol sont supposés se trouver sera le principal déterminant des options de récupération. </w:t>
      </w:r>
    </w:p>
    <w:p w14:paraId="2502D092" w14:textId="10A1EE31" w:rsidR="00633515" w:rsidRDefault="000B0B7A" w:rsidP="00633515">
      <w:pPr>
        <w:jc w:val="both"/>
        <w:rPr>
          <w:rStyle w:val="rynqvb"/>
        </w:rPr>
      </w:pPr>
      <w:r>
        <w:rPr>
          <w:rStyle w:val="rynqvb"/>
        </w:rPr>
        <w:t>2.3.2 La plongée à l'air comprimé est possible jusqu'à 40 mètres de profondeur et la plongée à saturation jusqu'à 500 mètres.</w:t>
      </w:r>
      <w:r>
        <w:rPr>
          <w:rStyle w:val="hwtze"/>
        </w:rPr>
        <w:t xml:space="preserve"> </w:t>
      </w:r>
      <w:r>
        <w:rPr>
          <w:rStyle w:val="rynqvb"/>
        </w:rPr>
        <w:t>Cependant, pour les opérations en eaux profondes et prolongées, l'utilisation d'un véhicule télécommandé (ROV) est généralement la meilleure option.</w:t>
      </w:r>
      <w:r>
        <w:rPr>
          <w:rStyle w:val="hwtze"/>
        </w:rPr>
        <w:t xml:space="preserve"> </w:t>
      </w:r>
      <w:r>
        <w:rPr>
          <w:rStyle w:val="rynqvb"/>
        </w:rPr>
        <w:t>Ces véhicules sont reliés au navire principal par un cordon ombilical transportant l'énergie et des capacités de navigation et d'imagerie. Ils existent sous différentes formes et tailles, et peuvent être équipés d'un ou plusieurs manipulateurs pour travailler sur le site de l'accident.</w:t>
      </w:r>
      <w:r>
        <w:rPr>
          <w:rStyle w:val="hwtze"/>
        </w:rPr>
        <w:t xml:space="preserve"> </w:t>
      </w:r>
      <w:r>
        <w:rPr>
          <w:rStyle w:val="rynqvb"/>
        </w:rPr>
        <w:t>L'utilisation d'un ROV permet à l'ensemble de l'équipe d'enquête de visualiser et d'exploiter en temps réel les images transmises par le ROV au navire principal.</w:t>
      </w:r>
      <w:r>
        <w:rPr>
          <w:rStyle w:val="hwtze"/>
        </w:rPr>
        <w:t xml:space="preserve"> </w:t>
      </w:r>
      <w:r>
        <w:rPr>
          <w:rStyle w:val="rynqvb"/>
        </w:rPr>
        <w:t>Elle facilite également la cartographie du site de l'accident.</w:t>
      </w:r>
    </w:p>
    <w:p w14:paraId="369A7856" w14:textId="6A3976B5" w:rsidR="00633515" w:rsidRDefault="000B0B7A" w:rsidP="007910D3">
      <w:pPr>
        <w:jc w:val="center"/>
        <w:rPr>
          <w:rStyle w:val="rynqvb"/>
        </w:rPr>
      </w:pPr>
      <w:r w:rsidRPr="000B0B7A">
        <w:rPr>
          <w:rStyle w:val="rynqvb"/>
          <w:noProof/>
        </w:rPr>
        <w:drawing>
          <wp:inline distT="0" distB="0" distL="0" distR="0" wp14:anchorId="398BFE7B" wp14:editId="60C7927B">
            <wp:extent cx="1314450" cy="909279"/>
            <wp:effectExtent l="0" t="0" r="0" b="5715"/>
            <wp:docPr id="7525521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074" cy="913170"/>
                    </a:xfrm>
                    <a:prstGeom prst="rect">
                      <a:avLst/>
                    </a:prstGeom>
                    <a:noFill/>
                    <a:ln>
                      <a:noFill/>
                    </a:ln>
                  </pic:spPr>
                </pic:pic>
              </a:graphicData>
            </a:graphic>
          </wp:inline>
        </w:drawing>
      </w:r>
    </w:p>
    <w:p w14:paraId="37B0F44B" w14:textId="4043A963" w:rsidR="00633515" w:rsidRDefault="000B0B7A" w:rsidP="00633515">
      <w:pPr>
        <w:jc w:val="both"/>
        <w:rPr>
          <w:rStyle w:val="rynqvb"/>
        </w:rPr>
      </w:pPr>
      <w:r>
        <w:rPr>
          <w:rStyle w:val="rynqvb"/>
        </w:rPr>
        <w:t>2.3.3 Une gamme de ROV peut être déployée pour des opérations jusqu'à 6 000 mètres de profondeur, et certains ROV très spécialisés (et rares) peuvent être utilisés en dessous de cette profondeur.</w:t>
      </w:r>
      <w:r>
        <w:rPr>
          <w:rStyle w:val="hwtze"/>
        </w:rPr>
        <w:t xml:space="preserve"> </w:t>
      </w:r>
      <w:r>
        <w:rPr>
          <w:rStyle w:val="rynqvb"/>
        </w:rPr>
        <w:t>Le fournisseur d'un ROV est tenu de spécifier la capacité de positionnement dynamique (par exemple, « DP I » ou « DP II ») requise du navire à partir duquel il sera opéré.</w:t>
      </w:r>
      <w:r>
        <w:rPr>
          <w:rStyle w:val="hwtze"/>
        </w:rPr>
        <w:t xml:space="preserve"> </w:t>
      </w:r>
      <w:r>
        <w:rPr>
          <w:rStyle w:val="rynqvb"/>
        </w:rPr>
        <w:t>Cette capacité est précieuse pour les recherches en mer, car la connaissance de la position exacte du navire, par exemple par rapport à une grille de recherche, est importante et peut fournir une plateforme de travail stable pour des opérations dans des conditions de mer allant jusqu'à Force 7.</w:t>
      </w:r>
    </w:p>
    <w:p w14:paraId="6E57034B" w14:textId="6B2FB095" w:rsidR="00633515" w:rsidRDefault="000B0B7A" w:rsidP="000B0B7A">
      <w:pPr>
        <w:jc w:val="center"/>
        <w:rPr>
          <w:rStyle w:val="rynqvb"/>
        </w:rPr>
      </w:pPr>
      <w:r w:rsidRPr="000B0B7A">
        <w:rPr>
          <w:rStyle w:val="rynqvb"/>
          <w:noProof/>
        </w:rPr>
        <w:drawing>
          <wp:inline distT="0" distB="0" distL="0" distR="0" wp14:anchorId="1EDA69DE" wp14:editId="36E31259">
            <wp:extent cx="2887466" cy="2164080"/>
            <wp:effectExtent l="0" t="0" r="8255" b="7620"/>
            <wp:docPr id="20851758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69" cy="2165881"/>
                    </a:xfrm>
                    <a:prstGeom prst="rect">
                      <a:avLst/>
                    </a:prstGeom>
                    <a:noFill/>
                    <a:ln>
                      <a:noFill/>
                    </a:ln>
                  </pic:spPr>
                </pic:pic>
              </a:graphicData>
            </a:graphic>
          </wp:inline>
        </w:drawing>
      </w:r>
    </w:p>
    <w:p w14:paraId="27493FB3" w14:textId="77777777" w:rsidR="00633515" w:rsidRDefault="00633515" w:rsidP="000B0B7A">
      <w:pPr>
        <w:jc w:val="both"/>
        <w:rPr>
          <w:rStyle w:val="rynqvb"/>
        </w:rPr>
      </w:pPr>
    </w:p>
    <w:p w14:paraId="324C389D" w14:textId="77777777" w:rsidR="000B0B7A" w:rsidRPr="000B0B7A" w:rsidRDefault="000B0B7A" w:rsidP="000B0B7A">
      <w:pPr>
        <w:spacing w:after="0" w:line="240" w:lineRule="auto"/>
        <w:jc w:val="both"/>
        <w:rPr>
          <w:rFonts w:ascii="Times New Roman" w:eastAsia="Times New Roman" w:hAnsi="Times New Roman" w:cs="Times New Roman"/>
          <w:kern w:val="0"/>
          <w:sz w:val="24"/>
          <w:szCs w:val="24"/>
          <w:lang w:eastAsia="fr-FR"/>
          <w14:ligatures w14:val="none"/>
        </w:rPr>
      </w:pPr>
      <w:r w:rsidRPr="000B0B7A">
        <w:rPr>
          <w:rFonts w:ascii="Times New Roman" w:eastAsia="Times New Roman" w:hAnsi="Times New Roman" w:cs="Times New Roman"/>
          <w:kern w:val="0"/>
          <w:sz w:val="24"/>
          <w:szCs w:val="24"/>
          <w:lang w:eastAsia="fr-FR"/>
          <w14:ligatures w14:val="none"/>
        </w:rPr>
        <w:lastRenderedPageBreak/>
        <w:t>2.3.4 Un autre type de navire sans équipage disponible pour les opérations sous-marines est le véhicule sous-marin autonome (AUV), qui est un outil de recherche (plutôt que de récupération). Les AUV ne sont pas reliés à un navire parent, mais sont alimentés par batterie et programmés pour suivre un programme de recherche défini, à l'issue duquel ils remontent à la surface et transmettent leurs résultats au centre de contrôle. Ce dernier peut être installé à bord d'un navire ou dans un véhicule routier stationné au bord d'un lac ou d'une rivière. La préparation et la mise à l'eau d'un AUV ne prennent généralement que quelques heures et son équipe de contrôle peut ne compter que trois ou quatre personnes. Les AUV les plus sophistiqués sont dotés de fonctions de vol stationnaire et d'évitement automatique d'obstacles. Ils peuvent être équipés de plusieurs capteurs, notamment un sonar latéral et des caméras.</w:t>
      </w:r>
    </w:p>
    <w:p w14:paraId="26364403" w14:textId="77777777" w:rsidR="00633515" w:rsidRDefault="00633515" w:rsidP="00633515">
      <w:pPr>
        <w:spacing w:after="0" w:line="240" w:lineRule="auto"/>
        <w:rPr>
          <w:rFonts w:ascii="Times New Roman" w:eastAsia="Times New Roman" w:hAnsi="Times New Roman" w:cs="Times New Roman"/>
          <w:kern w:val="0"/>
          <w:sz w:val="24"/>
          <w:szCs w:val="24"/>
          <w:lang w:eastAsia="fr-FR"/>
          <w14:ligatures w14:val="none"/>
        </w:rPr>
      </w:pPr>
    </w:p>
    <w:p w14:paraId="4EBF0272" w14:textId="2FF24374" w:rsidR="00633515" w:rsidRDefault="000B0B7A" w:rsidP="000B0B7A">
      <w:pPr>
        <w:jc w:val="center"/>
        <w:rPr>
          <w:rStyle w:val="rynqvb"/>
        </w:rPr>
      </w:pPr>
      <w:r w:rsidRPr="000B0B7A">
        <w:rPr>
          <w:rStyle w:val="rynqvb"/>
          <w:noProof/>
        </w:rPr>
        <w:drawing>
          <wp:inline distT="0" distB="0" distL="0" distR="0" wp14:anchorId="61E0F4E1" wp14:editId="5F4D34DF">
            <wp:extent cx="4290060" cy="1668780"/>
            <wp:effectExtent l="0" t="0" r="0" b="7620"/>
            <wp:docPr id="13102972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1668780"/>
                    </a:xfrm>
                    <a:prstGeom prst="rect">
                      <a:avLst/>
                    </a:prstGeom>
                    <a:noFill/>
                    <a:ln>
                      <a:noFill/>
                    </a:ln>
                  </pic:spPr>
                </pic:pic>
              </a:graphicData>
            </a:graphic>
          </wp:inline>
        </w:drawing>
      </w:r>
    </w:p>
    <w:p w14:paraId="3F94D53F" w14:textId="77777777" w:rsidR="00633515" w:rsidRDefault="00633515" w:rsidP="00633515">
      <w:pPr>
        <w:jc w:val="both"/>
        <w:rPr>
          <w:rStyle w:val="rynqvb"/>
        </w:rPr>
      </w:pPr>
    </w:p>
    <w:p w14:paraId="5A56B513" w14:textId="77777777" w:rsidR="000B0B7A" w:rsidRPr="000B0B7A" w:rsidRDefault="000B0B7A" w:rsidP="00EE6417">
      <w:pPr>
        <w:jc w:val="both"/>
        <w:rPr>
          <w:rStyle w:val="rynqvb"/>
          <w:b/>
          <w:bCs/>
          <w:sz w:val="28"/>
          <w:szCs w:val="28"/>
        </w:rPr>
      </w:pPr>
      <w:r w:rsidRPr="000B0B7A">
        <w:rPr>
          <w:rStyle w:val="rynqvb"/>
          <w:b/>
          <w:bCs/>
          <w:sz w:val="28"/>
          <w:szCs w:val="28"/>
        </w:rPr>
        <w:t xml:space="preserve">3 Défis et priorités sur place </w:t>
      </w:r>
    </w:p>
    <w:p w14:paraId="41402EB9" w14:textId="77777777" w:rsidR="000B0B7A" w:rsidRPr="000B0B7A" w:rsidRDefault="000B0B7A" w:rsidP="00EE6417">
      <w:pPr>
        <w:jc w:val="both"/>
        <w:rPr>
          <w:rStyle w:val="rynqvb"/>
          <w:b/>
          <w:bCs/>
          <w:sz w:val="28"/>
          <w:szCs w:val="28"/>
        </w:rPr>
      </w:pPr>
      <w:r w:rsidRPr="000B0B7A">
        <w:rPr>
          <w:rStyle w:val="rynqvb"/>
          <w:b/>
          <w:bCs/>
          <w:sz w:val="28"/>
          <w:szCs w:val="28"/>
        </w:rPr>
        <w:t xml:space="preserve">3.1 Travail en mer </w:t>
      </w:r>
    </w:p>
    <w:p w14:paraId="6B3222F9" w14:textId="77777777" w:rsidR="000B0B7A" w:rsidRDefault="000B0B7A" w:rsidP="00EE6417">
      <w:pPr>
        <w:jc w:val="both"/>
        <w:rPr>
          <w:rStyle w:val="rynqvb"/>
        </w:rPr>
      </w:pPr>
      <w:r>
        <w:rPr>
          <w:rStyle w:val="rynqvb"/>
        </w:rPr>
        <w:t xml:space="preserve">3.1.1 Certaines difficultés des opérations en mer découlent du temps pendant lequel l'équipe d'enquête peut être amenée à rester hors de contact physique avec la côte. Pour tout long voyage, il est nécessaire de bien réfléchir à l'avance (même sous pression) à tous les types d'équipements nécessaires et au personnel spécialisé requis à bord. </w:t>
      </w:r>
    </w:p>
    <w:p w14:paraId="165B1C5B" w14:textId="564D368A" w:rsidR="00EE6417" w:rsidRDefault="000B0B7A" w:rsidP="00EE6417">
      <w:pPr>
        <w:jc w:val="both"/>
        <w:rPr>
          <w:rStyle w:val="rynqvb"/>
        </w:rPr>
      </w:pPr>
      <w:r>
        <w:rPr>
          <w:rStyle w:val="rynqvb"/>
        </w:rPr>
        <w:t>3.1.2 Certains équipements transportés sur le lieu de l'accident (tels que les transpondeurs et les hydrophones portatifs) s'avéreront inutilisables. Il est donc judicieux d'intégrer une redondance au matériel transporté et de disposer d'une capacité de réparation à bord. Pour les opérations en mer, un équipement plus robuste qu'il n'y paraît à première vue est généralement nécessaire.</w:t>
      </w:r>
    </w:p>
    <w:p w14:paraId="0ECF9194" w14:textId="77777777" w:rsidR="000B0B7A" w:rsidRDefault="000B0B7A" w:rsidP="00EE6417">
      <w:pPr>
        <w:jc w:val="both"/>
        <w:rPr>
          <w:rStyle w:val="rynqvb"/>
        </w:rPr>
      </w:pPr>
      <w:r>
        <w:rPr>
          <w:rStyle w:val="rynqvb"/>
        </w:rPr>
        <w:t>3.1.3 Sur le lieu de l'accident, les manœuvres simples (traverser la zone de recherche, envoyer et récupérer les petites embarcations et les plongeurs) prennent beaucoup plus de temps que prévu par les personnes habituées au milieu aéronautique.</w:t>
      </w:r>
      <w:r>
        <w:rPr>
          <w:rStyle w:val="hwtze"/>
        </w:rPr>
        <w:t xml:space="preserve"> </w:t>
      </w:r>
      <w:r>
        <w:rPr>
          <w:rStyle w:val="rynqvb"/>
        </w:rPr>
        <w:t xml:space="preserve">L'équipe d'enquête doit s'y préparer. </w:t>
      </w:r>
    </w:p>
    <w:p w14:paraId="79DC70B1" w14:textId="0FAA2EBC" w:rsidR="000B0B7A" w:rsidRDefault="000B0B7A" w:rsidP="00EE6417">
      <w:pPr>
        <w:jc w:val="both"/>
        <w:rPr>
          <w:rStyle w:val="rynqvb"/>
        </w:rPr>
      </w:pPr>
      <w:r>
        <w:rPr>
          <w:rStyle w:val="rynqvb"/>
        </w:rPr>
        <w:t>3.1.4 Les navires de travail présentent des problèmes de santé et de sécurité particuliers pour ceux qui ne les connaissent pas.</w:t>
      </w:r>
      <w:r>
        <w:rPr>
          <w:rStyle w:val="hwtze"/>
        </w:rPr>
        <w:t xml:space="preserve"> </w:t>
      </w:r>
      <w:r>
        <w:rPr>
          <w:rStyle w:val="rynqvb"/>
        </w:rPr>
        <w:t>L'équipe d'enquête doit procéder à une évaluation des risques liés à l'environnement de travail, en consultation avec le responsable de la santé et de la sécurité du navire, y compris la possibilité de mal de mer, en envisageant des médicaments sûrs et appropriés.</w:t>
      </w:r>
    </w:p>
    <w:p w14:paraId="35B72975" w14:textId="77777777" w:rsidR="000B0B7A" w:rsidRDefault="000B0B7A" w:rsidP="00EE6417">
      <w:pPr>
        <w:jc w:val="both"/>
        <w:rPr>
          <w:rStyle w:val="hwtze"/>
        </w:rPr>
      </w:pPr>
      <w:r>
        <w:rPr>
          <w:rStyle w:val="rynqvb"/>
        </w:rPr>
        <w:t>3.1.5 Le bruit et les mouvements du navire, les espaces confinés et imparfaitement propres dont dispose probablement l'équipe d'enquête, la présence d'eau de mer et d'humidité, sont autant d'éléments qui créent un environnement de travail hostile aux personnes et aux équipements électroniques sensibles tels que les caméras et les ordinateurs.</w:t>
      </w:r>
      <w:r>
        <w:rPr>
          <w:rStyle w:val="hwtze"/>
        </w:rPr>
        <w:t xml:space="preserve"> </w:t>
      </w:r>
    </w:p>
    <w:p w14:paraId="7CB2E5AE" w14:textId="4C10A5D8" w:rsidR="000B0B7A" w:rsidRDefault="000B0B7A" w:rsidP="00EE6417">
      <w:pPr>
        <w:jc w:val="both"/>
        <w:rPr>
          <w:rStyle w:val="rynqvb"/>
        </w:rPr>
      </w:pPr>
      <w:r>
        <w:rPr>
          <w:rStyle w:val="rynqvb"/>
        </w:rPr>
        <w:lastRenderedPageBreak/>
        <w:t>3.1.6 Un problème particulier lors des opérations en mer survient lorsqu'un gros débris est soulevé de la mer, ce qui invalide le principe d'Archimède.</w:t>
      </w:r>
      <w:r>
        <w:rPr>
          <w:rStyle w:val="hwtze"/>
        </w:rPr>
        <w:t xml:space="preserve"> </w:t>
      </w:r>
      <w:r>
        <w:rPr>
          <w:rStyle w:val="rynqvb"/>
        </w:rPr>
        <w:t>Cela peut entraîner une augmentation soudaine et dangereuse de la charge, susceptible d'endommager l'épave et de perdre des preuves.</w:t>
      </w:r>
      <w:r>
        <w:rPr>
          <w:rStyle w:val="hwtze"/>
        </w:rPr>
        <w:t xml:space="preserve"> </w:t>
      </w:r>
      <w:r>
        <w:rPr>
          <w:rStyle w:val="rynqvb"/>
        </w:rPr>
        <w:t>Il peut être nécessaire de contrer ce phénomène.</w:t>
      </w:r>
    </w:p>
    <w:p w14:paraId="75A122AE" w14:textId="4E2C1B51" w:rsidR="000B0B7A" w:rsidRDefault="000B0B7A" w:rsidP="000B0B7A">
      <w:pPr>
        <w:jc w:val="center"/>
        <w:rPr>
          <w:rStyle w:val="rynqvb"/>
        </w:rPr>
      </w:pPr>
      <w:r w:rsidRPr="000B0B7A">
        <w:rPr>
          <w:rStyle w:val="rynqvb"/>
          <w:noProof/>
        </w:rPr>
        <w:drawing>
          <wp:inline distT="0" distB="0" distL="0" distR="0" wp14:anchorId="4F9308EC" wp14:editId="6CA1B5DD">
            <wp:extent cx="2926080" cy="1919150"/>
            <wp:effectExtent l="0" t="0" r="7620" b="5080"/>
            <wp:docPr id="11351078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114" cy="1924419"/>
                    </a:xfrm>
                    <a:prstGeom prst="rect">
                      <a:avLst/>
                    </a:prstGeom>
                    <a:noFill/>
                    <a:ln>
                      <a:noFill/>
                    </a:ln>
                  </pic:spPr>
                </pic:pic>
              </a:graphicData>
            </a:graphic>
          </wp:inline>
        </w:drawing>
      </w:r>
    </w:p>
    <w:p w14:paraId="070468C0" w14:textId="5CCB33A1" w:rsidR="000B0B7A" w:rsidRDefault="00325783" w:rsidP="00325783">
      <w:pPr>
        <w:jc w:val="both"/>
        <w:rPr>
          <w:rStyle w:val="rynqvb"/>
        </w:rPr>
      </w:pPr>
      <w:r>
        <w:rPr>
          <w:rStyle w:val="rynqvb"/>
        </w:rPr>
        <w:t>Pour limiter ce risque, il est nécessaire d'installer des ancrages supplémentaires à l'épave (afin de supporter les charges supplémentaires aux points clés) et d'utiliser des filets.</w:t>
      </w:r>
      <w:r w:rsidRPr="00325783">
        <w:rPr>
          <w:rStyle w:val="rynqvb"/>
        </w:rPr>
        <w:t xml:space="preserve"> </w:t>
      </w:r>
      <w:r>
        <w:rPr>
          <w:rStyle w:val="rynqvb"/>
        </w:rPr>
        <w:t>L'utilisation d'une grue à compensation de houle active peut contribuer à atténuer les variations de charge sur la ligne de levage. L'état de l'épave, ainsi que tout dommage subi pendant le levage, doivent être enregistrés avant toute tentative de récupération.</w:t>
      </w:r>
    </w:p>
    <w:p w14:paraId="40090224" w14:textId="77777777" w:rsidR="00325783" w:rsidRPr="00325783" w:rsidRDefault="00325783" w:rsidP="00325783">
      <w:pPr>
        <w:jc w:val="both"/>
        <w:rPr>
          <w:rStyle w:val="rynqvb"/>
          <w:b/>
          <w:bCs/>
          <w:sz w:val="28"/>
          <w:szCs w:val="28"/>
        </w:rPr>
      </w:pPr>
      <w:r w:rsidRPr="00325783">
        <w:rPr>
          <w:rStyle w:val="rynqvb"/>
          <w:b/>
          <w:bCs/>
          <w:sz w:val="28"/>
          <w:szCs w:val="28"/>
        </w:rPr>
        <w:t xml:space="preserve">3.2 Localisation </w:t>
      </w:r>
    </w:p>
    <w:p w14:paraId="0EAEEC75" w14:textId="3DE417CA" w:rsidR="00325783" w:rsidRDefault="00325783" w:rsidP="00325783">
      <w:pPr>
        <w:jc w:val="both"/>
        <w:rPr>
          <w:rStyle w:val="rynqvb"/>
        </w:rPr>
      </w:pPr>
      <w:r>
        <w:rPr>
          <w:rStyle w:val="rynqvb"/>
        </w:rPr>
        <w:t>3.2.1 Une balise de localisation sous-marine (ULB) installée sur l'enregistreur de vol d'un aéronef est déclenchée par immersion dans l'eau.</w:t>
      </w:r>
      <w:r>
        <w:rPr>
          <w:rStyle w:val="hwtze"/>
        </w:rPr>
        <w:t xml:space="preserve"> </w:t>
      </w:r>
      <w:r>
        <w:rPr>
          <w:rStyle w:val="rynqvb"/>
        </w:rPr>
        <w:t xml:space="preserve">Elle émet une impulsion ultrasonore de 10 millisecondes, à </w:t>
      </w:r>
      <w:r w:rsidR="00207303">
        <w:rPr>
          <w:rStyle w:val="rynqvb"/>
        </w:rPr>
        <w:t xml:space="preserve">8,8 </w:t>
      </w:r>
      <w:r>
        <w:rPr>
          <w:rStyle w:val="rynqvb"/>
        </w:rPr>
        <w:t>kHz et à intervalles d'une seconde.</w:t>
      </w:r>
      <w:r>
        <w:rPr>
          <w:rStyle w:val="hwtze"/>
        </w:rPr>
        <w:t xml:space="preserve"> </w:t>
      </w:r>
      <w:r>
        <w:rPr>
          <w:rStyle w:val="rynqvb"/>
        </w:rPr>
        <w:t>L'OACI exige actuellement que les ULB (« </w:t>
      </w:r>
      <w:proofErr w:type="spellStart"/>
      <w:r>
        <w:rPr>
          <w:rStyle w:val="rynqvb"/>
        </w:rPr>
        <w:t>pingers</w:t>
      </w:r>
      <w:proofErr w:type="spellEnd"/>
      <w:r>
        <w:rPr>
          <w:rStyle w:val="rynqvb"/>
        </w:rPr>
        <w:t xml:space="preserve"> ») émettent pendant au moins </w:t>
      </w:r>
      <w:r w:rsidR="00207303">
        <w:rPr>
          <w:rStyle w:val="rynqvb"/>
        </w:rPr>
        <w:t xml:space="preserve">90 </w:t>
      </w:r>
      <w:r>
        <w:rPr>
          <w:rStyle w:val="rynqvb"/>
        </w:rPr>
        <w:t xml:space="preserve"> jours.</w:t>
      </w:r>
      <w:r>
        <w:rPr>
          <w:rStyle w:val="hwtze"/>
        </w:rPr>
        <w:t xml:space="preserve"> </w:t>
      </w:r>
      <w:r>
        <w:rPr>
          <w:rStyle w:val="rynqvb"/>
        </w:rPr>
        <w:t>Leur portée audible nominale est de 2 à 5 km, selon des paramètres tels que la profondeur, la température de l'eau et l'état de la mer.</w:t>
      </w:r>
    </w:p>
    <w:p w14:paraId="731D8014" w14:textId="67B1F4FB" w:rsidR="000B0B7A" w:rsidRDefault="00325783" w:rsidP="00325783">
      <w:pPr>
        <w:jc w:val="both"/>
        <w:rPr>
          <w:rStyle w:val="rynqvb"/>
        </w:rPr>
      </w:pPr>
      <w:r>
        <w:rPr>
          <w:rStyle w:val="rynqvb"/>
        </w:rPr>
        <w:t>3.2.2 Lors d'une opération de recherche, il est important de déployer les ressources les plus efficaces le plus tôt possible, afin de minimiser le risque d'une recherche prolongée et d'une enquête encore plus coûteuse.</w:t>
      </w:r>
      <w:r>
        <w:rPr>
          <w:rStyle w:val="hwtze"/>
        </w:rPr>
        <w:t xml:space="preserve"> </w:t>
      </w:r>
      <w:r>
        <w:rPr>
          <w:rStyle w:val="rynqvb"/>
        </w:rPr>
        <w:t xml:space="preserve">Il est préférable d'entreprendre d'abord un balayage acoustique passif (alors que les </w:t>
      </w:r>
      <w:proofErr w:type="spellStart"/>
      <w:r>
        <w:rPr>
          <w:rStyle w:val="rynqvb"/>
        </w:rPr>
        <w:t>pingers</w:t>
      </w:r>
      <w:proofErr w:type="spellEnd"/>
      <w:r>
        <w:rPr>
          <w:rStyle w:val="rynqvb"/>
        </w:rPr>
        <w:t xml:space="preserve"> sont censés émettre encore), suivi d'une recherche active au sonar latéral, effectuée sous une pression temporelle moindre.</w:t>
      </w:r>
    </w:p>
    <w:p w14:paraId="19ACA9B0" w14:textId="77777777" w:rsidR="00325783" w:rsidRDefault="00325783" w:rsidP="00325783">
      <w:pPr>
        <w:jc w:val="both"/>
        <w:rPr>
          <w:rStyle w:val="rynqvb"/>
        </w:rPr>
      </w:pPr>
      <w:r>
        <w:rPr>
          <w:rStyle w:val="rynqvb"/>
        </w:rPr>
        <w:t>3.2.3 Il est conseillé de commencer le plus tôt possible, à l'aide d'une petite embarcation, pour localiser le ou les émetteurs, en se basant sur un examen préliminaire des données de « perte », telles que le radar et le Système de communication, d'adressage et de compte rendu des aéronefs (ACARS). La ​​zone de recherche pourra être affinée ultérieurement, à mesure que davantage de données seront disponibles.</w:t>
      </w:r>
      <w:r>
        <w:rPr>
          <w:rStyle w:val="hwtze"/>
        </w:rPr>
        <w:t xml:space="preserve"> </w:t>
      </w:r>
      <w:r>
        <w:rPr>
          <w:rStyle w:val="rynqvb"/>
        </w:rPr>
        <w:t xml:space="preserve">La recherche sonar ne débutera qu'après la fin de la période d'émission de l'émetteur. </w:t>
      </w:r>
    </w:p>
    <w:p w14:paraId="5F2418DB" w14:textId="680B6EF5" w:rsidR="00325783" w:rsidRDefault="00325783" w:rsidP="00325783">
      <w:pPr>
        <w:jc w:val="both"/>
        <w:rPr>
          <w:rStyle w:val="rynqvb"/>
        </w:rPr>
      </w:pPr>
      <w:r>
        <w:rPr>
          <w:rStyle w:val="rynqvb"/>
        </w:rPr>
        <w:t>3.2.4 La fréquence de 37,5 kHz est hors du spectre audible pour l'oreille humaine. Les hydrophones acoustiques « traduisent » le signal dans le spectre audible, un processus qui ne reproduit pas exactement l'émission originale, qui peut être « polluée » par le milieu aquatique et donc mal traitée.</w:t>
      </w:r>
    </w:p>
    <w:p w14:paraId="7EE63B9F" w14:textId="60B1940B" w:rsidR="00325783" w:rsidRDefault="00325783" w:rsidP="00325783">
      <w:pPr>
        <w:jc w:val="both"/>
        <w:rPr>
          <w:rStyle w:val="rynqvb"/>
        </w:rPr>
      </w:pPr>
      <w:r>
        <w:rPr>
          <w:rStyle w:val="rynqvb"/>
        </w:rPr>
        <w:t>3.2.5 Les signaux ULB peuvent être captés à l'aide d'hydrophones acoustiques déployés individuellement, en tant qu'unité portative ou en réseau (par exemple, dans un boîtier tubulaire flexible, remorqué derrière et sous un navire). La ​​numérisation du signal ULB par un logiciel embarqué permet à un ordinateur, plutôt qu'à un humain, d'effectuer l'écoute de l'ULB.</w:t>
      </w:r>
    </w:p>
    <w:p w14:paraId="3173CB96" w14:textId="77777777" w:rsidR="00325783" w:rsidRDefault="00325783" w:rsidP="00325783">
      <w:pPr>
        <w:jc w:val="both"/>
        <w:rPr>
          <w:rStyle w:val="rynqvb"/>
        </w:rPr>
      </w:pPr>
    </w:p>
    <w:p w14:paraId="76E0A735" w14:textId="77777777" w:rsidR="00325783" w:rsidRDefault="00325783" w:rsidP="00325783">
      <w:pPr>
        <w:jc w:val="both"/>
        <w:rPr>
          <w:rStyle w:val="rynqvb"/>
        </w:rPr>
      </w:pPr>
    </w:p>
    <w:p w14:paraId="598CB679" w14:textId="77777777" w:rsidR="00325783" w:rsidRDefault="00325783" w:rsidP="00325783">
      <w:pPr>
        <w:jc w:val="both"/>
        <w:rPr>
          <w:rStyle w:val="rynqvb"/>
        </w:rPr>
      </w:pPr>
    </w:p>
    <w:p w14:paraId="0AE65484" w14:textId="25479BC8" w:rsidR="00325783" w:rsidRDefault="00325783" w:rsidP="00325783">
      <w:pPr>
        <w:jc w:val="both"/>
        <w:rPr>
          <w:rStyle w:val="rynqvb"/>
        </w:rPr>
      </w:pPr>
      <w:r>
        <w:rPr>
          <w:rStyle w:val="rynqvb"/>
        </w:rPr>
        <w:t>3.2.6 Un tel réseau peut être déployé avec succès même dans des conditions de mer difficiles.</w:t>
      </w:r>
      <w:r>
        <w:rPr>
          <w:rStyle w:val="hwtze"/>
        </w:rPr>
        <w:t xml:space="preserve"> </w:t>
      </w:r>
      <w:r>
        <w:rPr>
          <w:rStyle w:val="rynqvb"/>
        </w:rPr>
        <w:t>Cependant, en eaux peu profondes, le niveau de bruit de fond peut faire en sorte que le pic de signal, perçu lors de la détection du ping, soit discret, voire manqué.</w:t>
      </w:r>
      <w:r>
        <w:rPr>
          <w:rStyle w:val="hwtze"/>
        </w:rPr>
        <w:t xml:space="preserve"> </w:t>
      </w:r>
      <w:r>
        <w:rPr>
          <w:rStyle w:val="rynqvb"/>
        </w:rPr>
        <w:t>Avec des signaux aussi faibles, des difficultés peuvent également survenir lorsque les sons émis par l'environnement biologique (par exemple, les baleines) perturbent les appareils acoustiques.</w:t>
      </w:r>
      <w:r>
        <w:rPr>
          <w:rStyle w:val="hwtze"/>
        </w:rPr>
        <w:t xml:space="preserve"> </w:t>
      </w:r>
      <w:r>
        <w:rPr>
          <w:rStyle w:val="rynqvb"/>
        </w:rPr>
        <w:t>Les émissions sonores des cétacés se présentent généralement sous la forme de « sifflements » rapides sur un large spectre de fréquences, qui peuvent parfois être perçus comme un bref signal d'alarme régulier, après avoir été échantillonnés et traités par les appareils acoustiques.</w:t>
      </w:r>
    </w:p>
    <w:p w14:paraId="19F5542B" w14:textId="22ED1AB7" w:rsidR="00325783" w:rsidRDefault="00325783" w:rsidP="00325783">
      <w:pPr>
        <w:rPr>
          <w:rStyle w:val="rynqvb"/>
        </w:rPr>
      </w:pPr>
      <w:r w:rsidRPr="00325783">
        <w:rPr>
          <w:rStyle w:val="rynqvb"/>
          <w:noProof/>
        </w:rPr>
        <w:drawing>
          <wp:inline distT="0" distB="0" distL="0" distR="0" wp14:anchorId="5F13AA1E" wp14:editId="4AB0E7E0">
            <wp:extent cx="2476500" cy="1613232"/>
            <wp:effectExtent l="0" t="0" r="0" b="6350"/>
            <wp:docPr id="17884255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009" cy="1616821"/>
                    </a:xfrm>
                    <a:prstGeom prst="rect">
                      <a:avLst/>
                    </a:prstGeom>
                    <a:noFill/>
                    <a:ln>
                      <a:noFill/>
                    </a:ln>
                  </pic:spPr>
                </pic:pic>
              </a:graphicData>
            </a:graphic>
          </wp:inline>
        </w:drawing>
      </w:r>
      <w:r w:rsidRPr="00325783">
        <w:rPr>
          <w:rStyle w:val="rynqvb"/>
          <w:noProof/>
        </w:rPr>
        <w:drawing>
          <wp:inline distT="0" distB="0" distL="0" distR="0" wp14:anchorId="7B954C59" wp14:editId="6189DD88">
            <wp:extent cx="2481391" cy="1600200"/>
            <wp:effectExtent l="0" t="0" r="0" b="0"/>
            <wp:docPr id="13934233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0796" cy="1606265"/>
                    </a:xfrm>
                    <a:prstGeom prst="rect">
                      <a:avLst/>
                    </a:prstGeom>
                    <a:noFill/>
                    <a:ln>
                      <a:noFill/>
                    </a:ln>
                  </pic:spPr>
                </pic:pic>
              </a:graphicData>
            </a:graphic>
          </wp:inline>
        </w:drawing>
      </w:r>
    </w:p>
    <w:p w14:paraId="08EE96F8" w14:textId="0034D0DB" w:rsidR="00325783" w:rsidRDefault="00325783" w:rsidP="00325783">
      <w:pPr>
        <w:jc w:val="both"/>
        <w:rPr>
          <w:rStyle w:val="rynqvb"/>
        </w:rPr>
      </w:pPr>
      <w:r>
        <w:rPr>
          <w:rStyle w:val="rynqvb"/>
        </w:rPr>
        <w:t>3.2.7 Le remorquage d'un réseau d'hydrophones à une vitesse de 4 nœuds sur une grille de recherche composée de trajectoires parallèles espacées d'un mille nautique permettra de parcourir quarante milles carrés de mer en une dizaine d'heures.</w:t>
      </w:r>
      <w:r>
        <w:rPr>
          <w:rStyle w:val="hwtze"/>
        </w:rPr>
        <w:t xml:space="preserve"> </w:t>
      </w:r>
      <w:r>
        <w:rPr>
          <w:rStyle w:val="rynqvb"/>
        </w:rPr>
        <w:t xml:space="preserve">L'utilisation du pilote automatique du navire (le cas échéant) tout en suivant la grille de recherche est précieuse pour contrer les effets des vents et courants traversiers forts. De forts courants peuvent également entraîner la dérive des épaves et des enregistreurs. </w:t>
      </w:r>
    </w:p>
    <w:p w14:paraId="774AFD0D" w14:textId="46AD7F04" w:rsidR="00325783" w:rsidRDefault="00325783" w:rsidP="00325783">
      <w:pPr>
        <w:jc w:val="both"/>
        <w:rPr>
          <w:rStyle w:val="rynqvb"/>
        </w:rPr>
      </w:pPr>
      <w:r>
        <w:rPr>
          <w:rStyle w:val="rynqvb"/>
        </w:rPr>
        <w:t>3.2.8 D'autres systèmes de captation et de localisation des signaux ULB peuvent impliquer l'immersion répétée d'un détecteur sous la thermocline saisonnière (qui sépare la couche d'eau mixte bruyante de surface des eaux calmes et relativement calmes plus profondes), à différents endroits, afin de générer un point de référence triangulé, ou le déploiement de bouées d'écoute acoustique équipées de GPS et de radio UHF.</w:t>
      </w:r>
    </w:p>
    <w:p w14:paraId="11DE7D25" w14:textId="1BFE5774" w:rsidR="00325783" w:rsidRDefault="00325783" w:rsidP="00325783">
      <w:pPr>
        <w:jc w:val="center"/>
        <w:rPr>
          <w:rStyle w:val="rynqvb"/>
        </w:rPr>
      </w:pPr>
      <w:r w:rsidRPr="00325783">
        <w:rPr>
          <w:rStyle w:val="rynqvb"/>
          <w:noProof/>
        </w:rPr>
        <w:drawing>
          <wp:inline distT="0" distB="0" distL="0" distR="0" wp14:anchorId="4F11D0F8" wp14:editId="5688AC81">
            <wp:extent cx="2377440" cy="1770190"/>
            <wp:effectExtent l="0" t="0" r="3810" b="1905"/>
            <wp:docPr id="21431709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748" cy="1780844"/>
                    </a:xfrm>
                    <a:prstGeom prst="rect">
                      <a:avLst/>
                    </a:prstGeom>
                    <a:noFill/>
                    <a:ln>
                      <a:noFill/>
                    </a:ln>
                  </pic:spPr>
                </pic:pic>
              </a:graphicData>
            </a:graphic>
          </wp:inline>
        </w:drawing>
      </w:r>
    </w:p>
    <w:p w14:paraId="6C3C076D" w14:textId="77777777" w:rsidR="00325783" w:rsidRDefault="00325783" w:rsidP="00325783">
      <w:pPr>
        <w:jc w:val="center"/>
        <w:rPr>
          <w:rStyle w:val="rynqvb"/>
        </w:rPr>
      </w:pPr>
    </w:p>
    <w:p w14:paraId="0289B7A1" w14:textId="77777777" w:rsidR="001E0C45" w:rsidRDefault="001E0C45" w:rsidP="001E0C45">
      <w:pPr>
        <w:spacing w:after="0"/>
        <w:jc w:val="both"/>
        <w:rPr>
          <w:rStyle w:val="rynqvb"/>
        </w:rPr>
      </w:pPr>
      <w:r>
        <w:rPr>
          <w:rStyle w:val="rynqvb"/>
        </w:rPr>
        <w:lastRenderedPageBreak/>
        <w:t>3.2.9 Les sous-marins militaires, s'ils ne sont pas équipés et pilotés par des personnes formées à la recherche de signaux à 37,5 kHz, ne se sont pas révélés utiles.</w:t>
      </w:r>
      <w:r>
        <w:rPr>
          <w:rStyle w:val="hwtze"/>
        </w:rPr>
        <w:t xml:space="preserve"> </w:t>
      </w:r>
      <w:r>
        <w:rPr>
          <w:rStyle w:val="rynqvb"/>
        </w:rPr>
        <w:t>En revanche, si l'aéronef recherché est équipé d'ULB à basse fréquence, comme ceux fonctionnant à 8,8 kHz, la situation est différente, car ceux-ci peuvent être captés par de nombreux moyens militaires – souvent les premiers sur place – qu'il s'agisse de navires de surface ou de sous-marins.</w:t>
      </w:r>
      <w:r>
        <w:rPr>
          <w:rStyle w:val="hwtze"/>
        </w:rPr>
        <w:t xml:space="preserve"> </w:t>
      </w:r>
      <w:r>
        <w:rPr>
          <w:rStyle w:val="rynqvb"/>
        </w:rPr>
        <w:t xml:space="preserve">La portée audible nominale d'un ULB émettant à 8,8 kHz peut dépasser 10 kilomètres. </w:t>
      </w:r>
    </w:p>
    <w:p w14:paraId="0BE34ACC" w14:textId="6A776C7C" w:rsidR="00325783" w:rsidRDefault="001E0C45" w:rsidP="001E0C45">
      <w:pPr>
        <w:spacing w:after="0"/>
        <w:jc w:val="both"/>
        <w:rPr>
          <w:rStyle w:val="rynqvb"/>
        </w:rPr>
      </w:pPr>
      <w:r>
        <w:rPr>
          <w:rStyle w:val="rynqvb"/>
        </w:rPr>
        <w:br/>
        <w:t>3.2.10 Pour les recherches en eaux très peu profondes et avec une visibilité réduite, par exemple sur une rivière ou un lac, le dragage par grappin par des navires de surface et l'utilisation de détecteurs de métaux montés sur des embarcations pneumatiques sont des options.</w:t>
      </w:r>
    </w:p>
    <w:p w14:paraId="5DE2D0E1" w14:textId="77777777" w:rsidR="00325783" w:rsidRDefault="00325783" w:rsidP="007910D3">
      <w:pPr>
        <w:spacing w:after="0"/>
        <w:jc w:val="both"/>
        <w:rPr>
          <w:rStyle w:val="rynqvb"/>
        </w:rPr>
      </w:pPr>
    </w:p>
    <w:p w14:paraId="13676966" w14:textId="77777777" w:rsidR="007910D3" w:rsidRPr="007910D3" w:rsidRDefault="007910D3" w:rsidP="007910D3">
      <w:pPr>
        <w:jc w:val="both"/>
        <w:rPr>
          <w:rStyle w:val="rynqvb"/>
          <w:b/>
          <w:bCs/>
          <w:sz w:val="28"/>
          <w:szCs w:val="28"/>
        </w:rPr>
      </w:pPr>
      <w:r w:rsidRPr="007910D3">
        <w:rPr>
          <w:rStyle w:val="rynqvb"/>
          <w:b/>
          <w:bCs/>
          <w:sz w:val="28"/>
          <w:szCs w:val="28"/>
        </w:rPr>
        <w:t xml:space="preserve">3.3 Que récupérer ? </w:t>
      </w:r>
    </w:p>
    <w:p w14:paraId="07F9E99E" w14:textId="77777777" w:rsidR="007910D3" w:rsidRDefault="007910D3" w:rsidP="00380AB8">
      <w:pPr>
        <w:spacing w:after="0"/>
        <w:jc w:val="both"/>
        <w:rPr>
          <w:rStyle w:val="rynqvb"/>
        </w:rPr>
      </w:pPr>
      <w:r>
        <w:rPr>
          <w:rStyle w:val="rynqvb"/>
        </w:rPr>
        <w:t>3.3.1 Les cibles prioritaires de l'équipe d'enquête lors de la phase de récupération doivent être les enregistreurs de vol, les débris/pièces d'aéronef (y compris les composants avioniques susceptibles de contenir une mémoire non volatile), les restes humains4 et les effets personnels. L'observation et la cartographie de l'épave sont également importantes.</w:t>
      </w:r>
      <w:r w:rsidRPr="007910D3">
        <w:rPr>
          <w:rStyle w:val="rynqvb"/>
        </w:rPr>
        <w:t xml:space="preserve"> </w:t>
      </w:r>
      <w:r>
        <w:rPr>
          <w:rStyle w:val="rynqvb"/>
        </w:rPr>
        <w:t xml:space="preserve">Lorsqu'elle est disponible, une étude photographique du lieu de l'accident permet d'enregistrer son état initial avant toute intervention de plongeurs ou de robots télécommandés. </w:t>
      </w:r>
    </w:p>
    <w:p w14:paraId="65F32451" w14:textId="77777777" w:rsidR="007910D3" w:rsidRDefault="007910D3" w:rsidP="00380AB8">
      <w:pPr>
        <w:spacing w:after="0"/>
        <w:jc w:val="both"/>
        <w:rPr>
          <w:rStyle w:val="rynqvb"/>
        </w:rPr>
      </w:pPr>
    </w:p>
    <w:p w14:paraId="3FC5D61A" w14:textId="01432548" w:rsidR="00325783" w:rsidRDefault="007910D3" w:rsidP="00380AB8">
      <w:pPr>
        <w:spacing w:after="0"/>
        <w:jc w:val="both"/>
        <w:rPr>
          <w:rStyle w:val="rynqvb"/>
        </w:rPr>
      </w:pPr>
      <w:r>
        <w:rPr>
          <w:rStyle w:val="rynqvb"/>
        </w:rPr>
        <w:t>3.3.2 Il est nécessaire de sélectionner soigneusement, en tenant compte des avis de toutes les parties prenantes de l'enquête, les débris et pièces d'aéronef à récupérer et de les hiérarchiser, dans la perspective de l'enquête globale.</w:t>
      </w:r>
      <w:r w:rsidRPr="007910D3">
        <w:rPr>
          <w:rStyle w:val="rynqvb"/>
        </w:rPr>
        <w:t xml:space="preserve"> </w:t>
      </w:r>
      <w:r>
        <w:rPr>
          <w:rStyle w:val="rynqvb"/>
        </w:rPr>
        <w:t>L'analyse initiale du FDR et du CVR peut faciliter ce processus de sélection.</w:t>
      </w:r>
    </w:p>
    <w:p w14:paraId="5C3236D2" w14:textId="7D525D00" w:rsidR="00380AB8" w:rsidRP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6FE27E83"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3.3.3 </w:t>
      </w:r>
      <w:r w:rsidRPr="00380AB8">
        <w:rPr>
          <w:rFonts w:ascii="Times New Roman" w:eastAsia="Times New Roman" w:hAnsi="Times New Roman" w:cs="Times New Roman"/>
          <w:kern w:val="0"/>
          <w:sz w:val="24"/>
          <w:szCs w:val="24"/>
          <w:lang w:eastAsia="fr-FR"/>
          <w14:ligatures w14:val="none"/>
        </w:rPr>
        <w:t xml:space="preserve">Il est judicieux de ne récupérer que les parties de l'avion jugées pertinentes pour l'enquête, notamment si l'épave est très grande ou fragmentée. Les plongeurs ou les opérateurs de ROV peuvent se voir remettre une liste des pièces de l'avion les plus importantes à récupérer, basée sur les informations préliminaires recueillies à partir des enregistreurs, des images du fond marin et des données de l'avion (telles que les plans du constructeur, les catalogues de pièces, les schémas de câblage et les manuels). </w:t>
      </w:r>
    </w:p>
    <w:p w14:paraId="60B53DD5"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616DAF2D" w14:textId="16478314" w:rsidR="00380AB8" w:rsidRDefault="00380AB8" w:rsidP="00380AB8">
      <w:pPr>
        <w:spacing w:after="0" w:line="240" w:lineRule="auto"/>
        <w:jc w:val="center"/>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noProof/>
          <w:kern w:val="0"/>
          <w:sz w:val="24"/>
          <w:szCs w:val="24"/>
          <w:lang w:eastAsia="fr-FR"/>
          <w14:ligatures w14:val="none"/>
        </w:rPr>
        <w:drawing>
          <wp:inline distT="0" distB="0" distL="0" distR="0" wp14:anchorId="685747AE" wp14:editId="6959317E">
            <wp:extent cx="2103274" cy="2034540"/>
            <wp:effectExtent l="0" t="0" r="0" b="3810"/>
            <wp:docPr id="121739836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486" cy="2041516"/>
                    </a:xfrm>
                    <a:prstGeom prst="rect">
                      <a:avLst/>
                    </a:prstGeom>
                    <a:noFill/>
                    <a:ln>
                      <a:noFill/>
                    </a:ln>
                  </pic:spPr>
                </pic:pic>
              </a:graphicData>
            </a:graphic>
          </wp:inline>
        </w:drawing>
      </w:r>
    </w:p>
    <w:p w14:paraId="64447FE9"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0D6DFF61" w14:textId="5221A5CD"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 xml:space="preserve">3.3.4 Il est parfois plus simple de récupérer le plus possible, évitant ainsi la difficulté de retrouver des éléments spécifiques qui auraient pu être perturbés par les courants sous-marins. L'épave complète peut ensuite être examinée pour en déterminer les éléments clés dans un environnement plus adapté. Le stockage de l'épave à terre peut toutefois s'avérer complexe, car </w:t>
      </w:r>
      <w:r w:rsidRPr="00380AB8">
        <w:rPr>
          <w:rFonts w:ascii="Times New Roman" w:eastAsia="Times New Roman" w:hAnsi="Times New Roman" w:cs="Times New Roman"/>
          <w:kern w:val="0"/>
          <w:sz w:val="24"/>
          <w:szCs w:val="24"/>
          <w:lang w:eastAsia="fr-FR"/>
          <w14:ligatures w14:val="none"/>
        </w:rPr>
        <w:lastRenderedPageBreak/>
        <w:t>les hangars sont souvent rares et, dans certaines juridictions, les espaces de stockage à long terme peuvent ne pas être disponibles.</w:t>
      </w:r>
    </w:p>
    <w:p w14:paraId="328666FB"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78207183"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62E28748"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1059D49D"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2B8C5DCA"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13C4D511" w14:textId="77777777" w:rsidR="00380AB8" w:rsidRPr="00380AB8" w:rsidRDefault="00380AB8" w:rsidP="00380AB8">
      <w:pPr>
        <w:spacing w:after="0" w:line="240" w:lineRule="auto"/>
        <w:jc w:val="both"/>
        <w:rPr>
          <w:rStyle w:val="rynqvb"/>
          <w:b/>
          <w:bCs/>
          <w:sz w:val="28"/>
          <w:szCs w:val="28"/>
        </w:rPr>
      </w:pPr>
    </w:p>
    <w:p w14:paraId="5A0B9192" w14:textId="77777777" w:rsidR="00380AB8" w:rsidRDefault="00380AB8" w:rsidP="00380AB8">
      <w:pPr>
        <w:spacing w:after="0" w:line="240" w:lineRule="auto"/>
        <w:rPr>
          <w:rStyle w:val="rynqvb"/>
          <w:b/>
          <w:bCs/>
          <w:sz w:val="28"/>
          <w:szCs w:val="28"/>
        </w:rPr>
      </w:pPr>
      <w:r w:rsidRPr="00380AB8">
        <w:rPr>
          <w:rStyle w:val="rynqvb"/>
          <w:b/>
          <w:bCs/>
          <w:sz w:val="28"/>
          <w:szCs w:val="28"/>
        </w:rPr>
        <w:t xml:space="preserve">3.4 Récupération </w:t>
      </w:r>
    </w:p>
    <w:p w14:paraId="74ECC806" w14:textId="77777777" w:rsidR="00380AB8" w:rsidRDefault="00380AB8" w:rsidP="00380AB8">
      <w:pPr>
        <w:spacing w:after="0" w:line="240" w:lineRule="auto"/>
        <w:rPr>
          <w:rFonts w:ascii="Times New Roman" w:eastAsia="Times New Roman" w:hAnsi="Times New Roman" w:cs="Times New Roman"/>
          <w:kern w:val="0"/>
          <w:sz w:val="24"/>
          <w:szCs w:val="24"/>
          <w:lang w:eastAsia="fr-FR"/>
          <w14:ligatures w14:val="none"/>
        </w:rPr>
      </w:pPr>
    </w:p>
    <w:p w14:paraId="1088BD2C" w14:textId="216C7D31"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3.4.1 La récupération d'une épave d'avion s'effectue généralement par l'amarrage des pièces à un palan, puis par une grue hors de l'eau et sur le navire de récupération. Dans certains cas, le levage peut également être assuré par la fixation de petits parachutes à l'épave par des plongeurs, puis leur gonflement à l'air comprimé. Il faut veiller à éviter que les éléments gonflables ne soient perforés par les arêtes métalliques tranchantes de l'épave. Lors d'au moins une opération de récupération, des structures tubulaires métalliques flottantes scellées, insérées sous les ailes de l'avion, ont été utilisées avec succès.</w:t>
      </w:r>
    </w:p>
    <w:p w14:paraId="628EB425" w14:textId="77777777" w:rsidR="00380AB8" w:rsidRP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73F2E28E" w14:textId="30C44D8B"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noProof/>
          <w:kern w:val="0"/>
          <w:sz w:val="24"/>
          <w:szCs w:val="24"/>
          <w:lang w:eastAsia="fr-FR"/>
          <w14:ligatures w14:val="none"/>
        </w:rPr>
        <w:drawing>
          <wp:inline distT="0" distB="0" distL="0" distR="0" wp14:anchorId="2C69A4E4" wp14:editId="695B1E07">
            <wp:extent cx="2377440" cy="1593904"/>
            <wp:effectExtent l="0" t="0" r="3810" b="6350"/>
            <wp:docPr id="23755049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312" cy="1597170"/>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fr-FR"/>
          <w14:ligatures w14:val="none"/>
        </w:rPr>
        <w:t xml:space="preserve">      </w:t>
      </w:r>
      <w:r w:rsidRPr="00380AB8">
        <w:rPr>
          <w:rFonts w:ascii="Times New Roman" w:eastAsia="Times New Roman" w:hAnsi="Times New Roman" w:cs="Times New Roman"/>
          <w:noProof/>
          <w:kern w:val="0"/>
          <w:sz w:val="24"/>
          <w:szCs w:val="24"/>
          <w:lang w:eastAsia="fr-FR"/>
          <w14:ligatures w14:val="none"/>
        </w:rPr>
        <w:drawing>
          <wp:inline distT="0" distB="0" distL="0" distR="0" wp14:anchorId="2BCD759E" wp14:editId="375742EE">
            <wp:extent cx="2368683" cy="1577340"/>
            <wp:effectExtent l="0" t="0" r="0" b="3810"/>
            <wp:docPr id="126451297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805" cy="1583414"/>
                    </a:xfrm>
                    <a:prstGeom prst="rect">
                      <a:avLst/>
                    </a:prstGeom>
                    <a:noFill/>
                    <a:ln>
                      <a:noFill/>
                    </a:ln>
                  </pic:spPr>
                </pic:pic>
              </a:graphicData>
            </a:graphic>
          </wp:inline>
        </w:drawing>
      </w:r>
    </w:p>
    <w:p w14:paraId="02B12263" w14:textId="5DD0154B"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4AD0612A" w14:textId="77777777" w:rsidR="00380AB8" w:rsidRP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4C287265" w14:textId="77777777" w:rsidR="00380AB8" w:rsidRDefault="00380AB8" w:rsidP="007910D3">
      <w:pPr>
        <w:spacing w:after="0"/>
        <w:jc w:val="both"/>
        <w:rPr>
          <w:rStyle w:val="rynqvb"/>
        </w:rPr>
      </w:pPr>
    </w:p>
    <w:p w14:paraId="7CA98D85" w14:textId="77777777" w:rsidR="00380AB8" w:rsidRDefault="00380AB8" w:rsidP="007910D3">
      <w:pPr>
        <w:spacing w:after="0"/>
        <w:jc w:val="both"/>
        <w:rPr>
          <w:rStyle w:val="rynqvb"/>
        </w:rPr>
      </w:pPr>
      <w:r>
        <w:rPr>
          <w:rStyle w:val="rynqvb"/>
        </w:rPr>
        <w:t>3.4.2 Pour les opérations de ROV, il peut être utile de descendre une nacelle en acier au fond de la mer, dans laquelle le ROV peut déposer les débris.</w:t>
      </w:r>
      <w:r>
        <w:rPr>
          <w:rStyle w:val="hwtze"/>
        </w:rPr>
        <w:t xml:space="preserve"> </w:t>
      </w:r>
      <w:r>
        <w:rPr>
          <w:rStyle w:val="rynqvb"/>
        </w:rPr>
        <w:t xml:space="preserve">Une telle nacelle peut également être utilisée pour la récupération de restes humains, dans le cadre d'une opération distincte. </w:t>
      </w:r>
    </w:p>
    <w:p w14:paraId="53237049" w14:textId="77777777" w:rsidR="00380AB8" w:rsidRDefault="00380AB8" w:rsidP="007910D3">
      <w:pPr>
        <w:spacing w:after="0"/>
        <w:jc w:val="both"/>
        <w:rPr>
          <w:rStyle w:val="rynqvb"/>
        </w:rPr>
      </w:pPr>
    </w:p>
    <w:p w14:paraId="1C41D871" w14:textId="77777777" w:rsidR="00380AB8" w:rsidRDefault="00380AB8" w:rsidP="007910D3">
      <w:pPr>
        <w:spacing w:after="0"/>
        <w:jc w:val="both"/>
        <w:rPr>
          <w:rStyle w:val="rynqvb"/>
        </w:rPr>
      </w:pPr>
      <w:r>
        <w:rPr>
          <w:rStyle w:val="rynqvb"/>
        </w:rPr>
        <w:t>3.4.3 Lors de l'utilisation d'un ROV, en particulier lorsque l'épave est dispersée sur une grande surface du fond marin, il est important d'identifier clairement les endroits visités par le ROV.</w:t>
      </w:r>
      <w:r>
        <w:rPr>
          <w:rStyle w:val="hwtze"/>
        </w:rPr>
        <w:t xml:space="preserve"> </w:t>
      </w:r>
      <w:r>
        <w:rPr>
          <w:rStyle w:val="rynqvb"/>
        </w:rPr>
        <w:t xml:space="preserve">Cela peut être réalisé en larguant des marqueurs, transportés dans la nacelle, comme indiqué au point 3.4.2. </w:t>
      </w:r>
    </w:p>
    <w:p w14:paraId="528E5321" w14:textId="77777777" w:rsidR="00380AB8" w:rsidRDefault="00380AB8" w:rsidP="007910D3">
      <w:pPr>
        <w:spacing w:after="0"/>
        <w:jc w:val="both"/>
        <w:rPr>
          <w:rStyle w:val="rynqvb"/>
        </w:rPr>
      </w:pPr>
    </w:p>
    <w:p w14:paraId="7B3E7B8B" w14:textId="7011D869" w:rsidR="00380AB8" w:rsidRDefault="00380AB8" w:rsidP="00380AB8">
      <w:pPr>
        <w:spacing w:after="0"/>
        <w:jc w:val="center"/>
        <w:rPr>
          <w:rStyle w:val="rynqvb"/>
        </w:rPr>
      </w:pPr>
      <w:r w:rsidRPr="00380AB8">
        <w:rPr>
          <w:rStyle w:val="rynqvb"/>
          <w:noProof/>
        </w:rPr>
        <w:drawing>
          <wp:inline distT="0" distB="0" distL="0" distR="0" wp14:anchorId="3404B47F" wp14:editId="1372CC22">
            <wp:extent cx="1377499" cy="1973580"/>
            <wp:effectExtent l="0" t="0" r="0" b="7620"/>
            <wp:docPr id="107452955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68" cy="1978837"/>
                    </a:xfrm>
                    <a:prstGeom prst="rect">
                      <a:avLst/>
                    </a:prstGeom>
                    <a:noFill/>
                    <a:ln>
                      <a:noFill/>
                    </a:ln>
                  </pic:spPr>
                </pic:pic>
              </a:graphicData>
            </a:graphic>
          </wp:inline>
        </w:drawing>
      </w:r>
    </w:p>
    <w:p w14:paraId="263756CF" w14:textId="77777777" w:rsidR="00380AB8" w:rsidRDefault="00380AB8" w:rsidP="007910D3">
      <w:pPr>
        <w:spacing w:after="0"/>
        <w:jc w:val="both"/>
        <w:rPr>
          <w:rStyle w:val="rynqvb"/>
        </w:rPr>
      </w:pPr>
    </w:p>
    <w:p w14:paraId="7DADB107" w14:textId="77777777" w:rsidR="00380AB8" w:rsidRDefault="00380AB8" w:rsidP="007910D3">
      <w:pPr>
        <w:spacing w:after="0"/>
        <w:jc w:val="both"/>
        <w:rPr>
          <w:rStyle w:val="rynqvb"/>
        </w:rPr>
      </w:pPr>
    </w:p>
    <w:p w14:paraId="4B179B67" w14:textId="0FA73250" w:rsidR="00380AB8" w:rsidRDefault="00380AB8" w:rsidP="007910D3">
      <w:pPr>
        <w:spacing w:after="0"/>
        <w:jc w:val="both"/>
        <w:rPr>
          <w:rStyle w:val="rynqvb"/>
        </w:rPr>
      </w:pPr>
      <w:r>
        <w:rPr>
          <w:rStyle w:val="rynqvb"/>
        </w:rPr>
        <w:t>3.4.4 Lorsqu'une épave d'avion est restée longtemps sous l'eau, des sédiments peuvent s'accumuler, augmentant son poids et rendant sa récupération plus difficile.</w:t>
      </w:r>
      <w:r>
        <w:rPr>
          <w:rStyle w:val="hwtze"/>
        </w:rPr>
        <w:t xml:space="preserve"> </w:t>
      </w:r>
      <w:r>
        <w:rPr>
          <w:rStyle w:val="rynqvb"/>
        </w:rPr>
        <w:t>Il peut être nécessaire d'en retirer au moins une partie avant de la soulever, par exemple à l'aide d'outils d'aspiration.</w:t>
      </w:r>
      <w:r>
        <w:rPr>
          <w:rStyle w:val="hwtze"/>
        </w:rPr>
        <w:t xml:space="preserve"> </w:t>
      </w:r>
      <w:r>
        <w:rPr>
          <w:rStyle w:val="rynqvb"/>
        </w:rPr>
        <w:t>Cette possible complication constitue un argument en faveur de la mise en œuvre sans délai inutile des mesures de redressement, et de leur non-interruption une fois lancées.</w:t>
      </w:r>
    </w:p>
    <w:p w14:paraId="689D2BBC" w14:textId="77777777" w:rsidR="00380AB8" w:rsidRDefault="00380AB8" w:rsidP="00380AB8">
      <w:pPr>
        <w:spacing w:after="0"/>
        <w:jc w:val="both"/>
        <w:rPr>
          <w:rStyle w:val="rynqvb"/>
        </w:rPr>
      </w:pPr>
    </w:p>
    <w:p w14:paraId="47173C5F"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3.4.5 </w:t>
      </w:r>
      <w:r w:rsidRPr="00380AB8">
        <w:rPr>
          <w:rFonts w:ascii="Times New Roman" w:eastAsia="Times New Roman" w:hAnsi="Times New Roman" w:cs="Times New Roman"/>
          <w:kern w:val="0"/>
          <w:sz w:val="24"/>
          <w:szCs w:val="24"/>
          <w:lang w:eastAsia="fr-FR"/>
          <w14:ligatures w14:val="none"/>
        </w:rPr>
        <w:t xml:space="preserve">Les composants internes des enregistreurs de vol récupérés sous l'eau sont vulnérables à la corrosion et doivent être conservés dans de l'eau douce pendant le transport et jusqu'à leur ouverture. Toutes les épaves récupérées doivent être rincées pour éliminer l'eau salée. L'application de produits anticorrosion spécialisés peut contribuer à la préservation des preuves. L'accès aux épaves récupérées doit être limité. </w:t>
      </w:r>
    </w:p>
    <w:p w14:paraId="3571CBDC"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356881E2"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 xml:space="preserve">3.4.6 Il est important de ranger soigneusement tout le matériel après utilisation, y compris après le lavage à l'eau salée, afin qu'il soit prêt à être utilisé lors de la prochaine utilisation. </w:t>
      </w:r>
    </w:p>
    <w:p w14:paraId="40418BDA"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32B6BB2C" w14:textId="054B993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3.4.7 Le chapitre 5 du « Manuel d'enquête sur les accidents et incidents d'aviation » de l'OACI (Doc 9756, Partie 1) contient des orientations sur les mesures à prendre sur le site de l'accident, notamment la gestion des épaves immergées, leur préservation, les décisions concernant les éléments à récupérer, le stress psychologique et les examens spécialisés. Le chapitre 7.4 du document 9962 de l’OACI, « Manuel sur les politiques et procédures d’enquête sur les accidents et incidents », est également utile.</w:t>
      </w:r>
    </w:p>
    <w:p w14:paraId="6C59D878" w14:textId="77777777" w:rsidR="00B66482" w:rsidRDefault="00B66482"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19729BBE" w14:textId="77777777" w:rsidR="00B66482" w:rsidRPr="00380AB8" w:rsidRDefault="00B66482"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357E1AFF" w14:textId="517092CD" w:rsidR="00B66482" w:rsidRDefault="00B66482" w:rsidP="00B66482">
      <w:pPr>
        <w:spacing w:after="0" w:line="240" w:lineRule="auto"/>
        <w:rPr>
          <w:rStyle w:val="rynqvb"/>
          <w:b/>
          <w:bCs/>
          <w:sz w:val="28"/>
          <w:szCs w:val="28"/>
        </w:rPr>
      </w:pPr>
      <w:r w:rsidRPr="00B66482">
        <w:rPr>
          <w:rStyle w:val="rynqvb"/>
          <w:b/>
          <w:bCs/>
          <w:sz w:val="28"/>
          <w:szCs w:val="28"/>
        </w:rPr>
        <w:t>4</w:t>
      </w:r>
      <w:r>
        <w:rPr>
          <w:rStyle w:val="rynqvb"/>
          <w:b/>
          <w:bCs/>
          <w:sz w:val="28"/>
          <w:szCs w:val="28"/>
        </w:rPr>
        <w:t>.</w:t>
      </w:r>
      <w:r w:rsidRPr="00B66482">
        <w:rPr>
          <w:rStyle w:val="rynqvb"/>
          <w:b/>
          <w:bCs/>
          <w:sz w:val="28"/>
          <w:szCs w:val="28"/>
        </w:rPr>
        <w:t xml:space="preserve"> Autres sujets </w:t>
      </w:r>
    </w:p>
    <w:p w14:paraId="78C24F7E" w14:textId="77777777" w:rsidR="00B66482" w:rsidRPr="00B66482" w:rsidRDefault="00B66482" w:rsidP="00B66482">
      <w:pPr>
        <w:spacing w:after="0" w:line="240" w:lineRule="auto"/>
        <w:rPr>
          <w:rStyle w:val="rynqvb"/>
          <w:b/>
          <w:bCs/>
          <w:sz w:val="28"/>
          <w:szCs w:val="28"/>
        </w:rPr>
      </w:pPr>
    </w:p>
    <w:p w14:paraId="1068922F" w14:textId="77777777" w:rsidR="00B66482" w:rsidRPr="00B66482" w:rsidRDefault="00B66482" w:rsidP="00B66482">
      <w:pPr>
        <w:spacing w:after="0" w:line="240" w:lineRule="auto"/>
        <w:rPr>
          <w:rStyle w:val="rynqvb"/>
          <w:b/>
          <w:bCs/>
          <w:sz w:val="28"/>
          <w:szCs w:val="28"/>
        </w:rPr>
      </w:pPr>
      <w:r w:rsidRPr="00B66482">
        <w:rPr>
          <w:rStyle w:val="rynqvb"/>
          <w:b/>
          <w:bCs/>
          <w:sz w:val="28"/>
          <w:szCs w:val="28"/>
        </w:rPr>
        <w:t xml:space="preserve">4.1 Localisation de l'épave et responsabilités </w:t>
      </w:r>
    </w:p>
    <w:p w14:paraId="662F7AD2" w14:textId="77777777" w:rsidR="00B66482" w:rsidRDefault="00B66482" w:rsidP="007910D3">
      <w:pPr>
        <w:spacing w:after="0"/>
        <w:jc w:val="both"/>
        <w:rPr>
          <w:rStyle w:val="rynqvb"/>
        </w:rPr>
      </w:pPr>
    </w:p>
    <w:p w14:paraId="5EB000A3" w14:textId="77777777" w:rsidR="00B66482" w:rsidRDefault="00B66482" w:rsidP="007910D3">
      <w:pPr>
        <w:spacing w:after="0"/>
        <w:jc w:val="both"/>
        <w:rPr>
          <w:rStyle w:val="rynqvb"/>
        </w:rPr>
      </w:pPr>
      <w:r>
        <w:rPr>
          <w:rStyle w:val="rynqvb"/>
        </w:rPr>
        <w:t xml:space="preserve">4.1.1 Dans certains cas d'aéronefs perdus en mer, il a été difficile d'établir avec certitude et rapidité le lieu exact de l'écrasement. Les indicateurs possibles incluent le dernier rapport radar et la présence d'une épave flottante, qui peut se trouver dans les eaux nationales ou internationales. </w:t>
      </w:r>
    </w:p>
    <w:p w14:paraId="0BFFA8E8" w14:textId="77777777" w:rsidR="00B66482" w:rsidRDefault="00B66482" w:rsidP="007910D3">
      <w:pPr>
        <w:spacing w:after="0"/>
        <w:jc w:val="both"/>
        <w:rPr>
          <w:rStyle w:val="rynqvb"/>
        </w:rPr>
      </w:pPr>
    </w:p>
    <w:p w14:paraId="091D0F6E" w14:textId="77777777" w:rsidR="00B66482" w:rsidRDefault="00B66482" w:rsidP="007910D3">
      <w:pPr>
        <w:spacing w:after="0"/>
        <w:jc w:val="both"/>
        <w:rPr>
          <w:rStyle w:val="rynqvb"/>
        </w:rPr>
      </w:pPr>
      <w:r>
        <w:rPr>
          <w:rStyle w:val="rynqvb"/>
        </w:rPr>
        <w:t xml:space="preserve">4.1.2 Afin d'éviter tout litige susceptible de compromettre l'enquête, il est conseillé aux autorités nationales d'enquête concernées (État de l'événement (possible) et État d'immatriculation) de parvenir rapidement à un accord sur leurs responsabilités respectives. </w:t>
      </w:r>
    </w:p>
    <w:p w14:paraId="13674B3F" w14:textId="77777777" w:rsidR="00B66482" w:rsidRDefault="00B66482" w:rsidP="007910D3">
      <w:pPr>
        <w:spacing w:after="0"/>
        <w:jc w:val="both"/>
        <w:rPr>
          <w:rStyle w:val="rynqvb"/>
        </w:rPr>
      </w:pPr>
    </w:p>
    <w:p w14:paraId="15CC3D6A" w14:textId="77777777" w:rsidR="00B66482" w:rsidRPr="00B66482" w:rsidRDefault="00B66482" w:rsidP="00B66482">
      <w:pPr>
        <w:spacing w:after="0" w:line="240" w:lineRule="auto"/>
        <w:rPr>
          <w:rStyle w:val="rynqvb"/>
          <w:b/>
          <w:bCs/>
          <w:sz w:val="28"/>
          <w:szCs w:val="28"/>
        </w:rPr>
      </w:pPr>
      <w:r w:rsidRPr="00B66482">
        <w:rPr>
          <w:rStyle w:val="rynqvb"/>
          <w:b/>
          <w:bCs/>
          <w:sz w:val="28"/>
          <w:szCs w:val="28"/>
        </w:rPr>
        <w:t xml:space="preserve">4.2 Coûts </w:t>
      </w:r>
    </w:p>
    <w:p w14:paraId="1F02F999" w14:textId="77777777" w:rsidR="00B66482" w:rsidRDefault="00B66482" w:rsidP="007910D3">
      <w:pPr>
        <w:spacing w:after="0"/>
        <w:jc w:val="both"/>
        <w:rPr>
          <w:rStyle w:val="rynqvb"/>
        </w:rPr>
      </w:pPr>
    </w:p>
    <w:p w14:paraId="54615A97" w14:textId="575CD277" w:rsidR="00380AB8" w:rsidRDefault="00B66482" w:rsidP="007910D3">
      <w:pPr>
        <w:spacing w:after="0"/>
        <w:jc w:val="both"/>
        <w:rPr>
          <w:rStyle w:val="rynqvb"/>
        </w:rPr>
      </w:pPr>
      <w:r>
        <w:rPr>
          <w:rStyle w:val="rynqvb"/>
        </w:rPr>
        <w:t>4.2.1 Les coûts des enquêtes augmentent rapidement si l'épave ou les enregistreurs de vol doivent être récupérés sous l'eau, et ils peuvent dépasser le budget normal de l'autorité chargée des enquêtes de sécurité.</w:t>
      </w:r>
      <w:r>
        <w:rPr>
          <w:rStyle w:val="hwtze"/>
        </w:rPr>
        <w:t xml:space="preserve"> </w:t>
      </w:r>
      <w:r>
        <w:rPr>
          <w:rStyle w:val="rynqvb"/>
        </w:rPr>
        <w:t>Il est important que les responsables politiques et autres décideurs soient informés des obligations internationales des États en matière d'enquêtes sur les accidents d'aviation.</w:t>
      </w:r>
    </w:p>
    <w:p w14:paraId="1DA4F74E" w14:textId="77777777" w:rsidR="00D40EAF" w:rsidRDefault="00D40EAF" w:rsidP="007910D3">
      <w:pPr>
        <w:spacing w:after="0"/>
        <w:jc w:val="both"/>
        <w:rPr>
          <w:rStyle w:val="rynqvb"/>
        </w:rPr>
      </w:pPr>
    </w:p>
    <w:p w14:paraId="667121C7" w14:textId="77777777" w:rsidR="00D40EAF" w:rsidRDefault="00D40EAF" w:rsidP="007910D3">
      <w:pPr>
        <w:spacing w:after="0"/>
        <w:jc w:val="both"/>
        <w:rPr>
          <w:rStyle w:val="rynqvb"/>
        </w:rPr>
      </w:pPr>
      <w:r>
        <w:rPr>
          <w:rStyle w:val="rynqvb"/>
        </w:rPr>
        <w:t>4.2.2 Les coûts de location de navires et d'équipements spécialisés peuvent être exprimés comme suit : « frais de mobilisation + (tarif journalier x durée) + frais de démobilisation », plus, en règle générale, un budget supplémentaire de 20 % pour tous les consommables.</w:t>
      </w:r>
      <w:r>
        <w:rPr>
          <w:rStyle w:val="hwtze"/>
        </w:rPr>
        <w:t xml:space="preserve"> </w:t>
      </w:r>
      <w:r>
        <w:rPr>
          <w:rStyle w:val="rynqvb"/>
        </w:rPr>
        <w:t xml:space="preserve">Il est important d'obtenir des informations précises à l'avance sur le lieu de l'accident et sur les capacités du navire à louer avant </w:t>
      </w:r>
      <w:r>
        <w:rPr>
          <w:rStyle w:val="rynqvb"/>
        </w:rPr>
        <w:lastRenderedPageBreak/>
        <w:t>l'affrètement, et de comprendre la nature de la tâche avant de choisir les autres outils.</w:t>
      </w:r>
      <w:r>
        <w:rPr>
          <w:rStyle w:val="hwtze"/>
        </w:rPr>
        <w:t xml:space="preserve"> </w:t>
      </w:r>
      <w:r>
        <w:rPr>
          <w:rStyle w:val="rynqvb"/>
        </w:rPr>
        <w:t>Le contrat d'affrètement avec le fournisseur du navire doit être vérifié pour en garantir l'équité et l'équilibre, et l'affréteur doit être conscient de ses responsabilités financières envers le navire et son équipage.</w:t>
      </w:r>
      <w:r>
        <w:rPr>
          <w:rStyle w:val="hwtze"/>
        </w:rPr>
        <w:t xml:space="preserve"> </w:t>
      </w:r>
      <w:r>
        <w:rPr>
          <w:rStyle w:val="rynqvb"/>
        </w:rPr>
        <w:t xml:space="preserve">Les questions de responsabilité doivent également être prises en compte. </w:t>
      </w:r>
    </w:p>
    <w:p w14:paraId="3F5FF582" w14:textId="77777777" w:rsidR="00D40EAF" w:rsidRDefault="00D40EAF" w:rsidP="007910D3">
      <w:pPr>
        <w:spacing w:after="0"/>
        <w:jc w:val="both"/>
        <w:rPr>
          <w:rStyle w:val="rynqvb"/>
        </w:rPr>
      </w:pPr>
    </w:p>
    <w:p w14:paraId="63BA3E78" w14:textId="77777777" w:rsidR="00D40EAF" w:rsidRDefault="00D40EAF" w:rsidP="00D40EAF">
      <w:pPr>
        <w:spacing w:after="0"/>
        <w:jc w:val="both"/>
        <w:rPr>
          <w:rStyle w:val="hwtze"/>
        </w:rPr>
      </w:pPr>
      <w:r>
        <w:rPr>
          <w:rStyle w:val="rynqvb"/>
        </w:rPr>
        <w:t>4.2.3 L'autorité chargée de l'enquête doit être préparée à l'éventualité que l'opération ne soit pas menée à bien rapidement.</w:t>
      </w:r>
      <w:r>
        <w:rPr>
          <w:rStyle w:val="hwtze"/>
        </w:rPr>
        <w:t xml:space="preserve"> </w:t>
      </w:r>
      <w:r>
        <w:rPr>
          <w:rStyle w:val="rynqvb"/>
        </w:rPr>
        <w:t>Si le site est situé loin en mer, ou si le navire part d'un port éloigné, même atteindre le lieu de l'accident peut prendre un temps considérable.</w:t>
      </w:r>
      <w:r>
        <w:rPr>
          <w:rStyle w:val="hwtze"/>
        </w:rPr>
        <w:t xml:space="preserve"> </w:t>
      </w:r>
    </w:p>
    <w:p w14:paraId="2463015B" w14:textId="77777777" w:rsidR="00D40EAF" w:rsidRDefault="00D40EAF" w:rsidP="00D40EAF">
      <w:pPr>
        <w:spacing w:after="0"/>
        <w:jc w:val="both"/>
        <w:rPr>
          <w:rStyle w:val="hwtze"/>
        </w:rPr>
      </w:pPr>
    </w:p>
    <w:p w14:paraId="194E3339" w14:textId="77777777" w:rsidR="00D40EAF" w:rsidRDefault="00D40EAF" w:rsidP="00D40EAF">
      <w:pPr>
        <w:spacing w:after="0"/>
        <w:jc w:val="both"/>
        <w:rPr>
          <w:rStyle w:val="rynqvb"/>
        </w:rPr>
      </w:pPr>
      <w:r>
        <w:rPr>
          <w:rStyle w:val="rynqvb"/>
        </w:rPr>
        <w:t xml:space="preserve">4.2.4 Les décideurs et les responsables politiques doivent être informés des coûts et des délais, et l'autorité chargée de l'enquête doit disposer d'une procédure d'accès aux fonds d'urgence. </w:t>
      </w:r>
    </w:p>
    <w:p w14:paraId="45BE5721" w14:textId="77777777" w:rsidR="00D40EAF" w:rsidRDefault="00D40EAF" w:rsidP="00D40EAF">
      <w:pPr>
        <w:spacing w:after="0"/>
        <w:jc w:val="both"/>
        <w:rPr>
          <w:rStyle w:val="rynqvb"/>
        </w:rPr>
      </w:pPr>
    </w:p>
    <w:p w14:paraId="6E836F90" w14:textId="7AFB6492" w:rsidR="00D40EAF" w:rsidRDefault="00D40EAF" w:rsidP="00D40EAF">
      <w:pPr>
        <w:spacing w:after="0"/>
        <w:jc w:val="both"/>
        <w:rPr>
          <w:rStyle w:val="rynqvb"/>
        </w:rPr>
      </w:pPr>
      <w:r>
        <w:rPr>
          <w:rStyle w:val="rynqvb"/>
        </w:rPr>
        <w:t>4.2.5 Dans de nombreux cas, l'assurance commerciale d'un aéronef peut être utilisée par l'enquête pour couvrir au moins une partie des frais de recherche et de récupération. Pour garantir une issue positive, il est fortement recommandé à l'autorité chargée de l'enquête de sécurité de contacter les assureurs de l'aéronef le plus tôt possible, probablement par l'intermédiaire de leur expert en sinistres.</w:t>
      </w:r>
    </w:p>
    <w:p w14:paraId="47E853E0" w14:textId="77777777" w:rsidR="00D40EAF" w:rsidRDefault="00D40EAF" w:rsidP="00D40EAF">
      <w:pPr>
        <w:spacing w:after="0"/>
        <w:jc w:val="both"/>
        <w:rPr>
          <w:rStyle w:val="rynqvb"/>
        </w:rPr>
      </w:pPr>
    </w:p>
    <w:p w14:paraId="46A6981A" w14:textId="77777777" w:rsidR="00D40EAF" w:rsidRDefault="00D40EAF" w:rsidP="00D40EAF">
      <w:pPr>
        <w:spacing w:after="0"/>
        <w:jc w:val="both"/>
        <w:rPr>
          <w:rStyle w:val="rynqvb"/>
        </w:rPr>
      </w:pPr>
    </w:p>
    <w:p w14:paraId="06E036BD"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4.2.6 Dans d'autres cas, les coûts des opérations de recherche et de récupération ont été partagés avec d'autres parties concernées par l'aéronef, telles que l'exploitant, le constructeur ou l'affréteur. Le niveau d'implication de ces autres parties devrait être déterminé par l'autorité chargée des enquêtes de sécurité. </w:t>
      </w:r>
    </w:p>
    <w:p w14:paraId="49AE4E67"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1C810F85" w14:textId="62A0B0DF"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4.2.7 Par ailleurs, au moins une autorité chargée des enquêtes de sécurité a souscrit une assurance commerciale couvrant ce type d'opération. Le contrôle de toute enquête financée par une telle assurance devrait rester entre les mains de l'autorité chargée des enquêtes de sécurité et non de l'assureur. Une telle police d'assurance pourrait prévoir qu'une partie des coûts totaux soit prise en charge par le demandeur (afin de l'inciter à n'engager que des frais raisonnables) et qu'une franchise pourrait également être prévue. Le recours à une société de courtage pourrait être envisagé.</w:t>
      </w:r>
    </w:p>
    <w:p w14:paraId="61120AC1"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377E9854" w14:textId="77777777" w:rsidR="00D40EAF" w:rsidRPr="00D40EAF" w:rsidRDefault="00D40EAF" w:rsidP="00D40EAF">
      <w:pPr>
        <w:spacing w:after="0" w:line="240" w:lineRule="auto"/>
        <w:rPr>
          <w:rStyle w:val="rynqvb"/>
          <w:b/>
          <w:bCs/>
          <w:sz w:val="28"/>
          <w:szCs w:val="28"/>
        </w:rPr>
      </w:pPr>
      <w:r w:rsidRPr="00D40EAF">
        <w:rPr>
          <w:rStyle w:val="rynqvb"/>
          <w:b/>
          <w:bCs/>
          <w:sz w:val="28"/>
          <w:szCs w:val="28"/>
        </w:rPr>
        <w:t xml:space="preserve">5 Conclusion </w:t>
      </w:r>
    </w:p>
    <w:p w14:paraId="27F4DAFF"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56354DEE"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5.1 La nécessité de mener une enquête sur la perte d'un aéronef en mer est une possibilité réelle pour tout État disposant d'un littoral ou d'une étendue d'eau intérieure, ou immatriculé dans ses registres, qui survole les eaux internationales. Compte tenu du nombre de parties prenantes, de la nécessité de sélectionner le matériel et l'expertise appropriés, du risque de coûts exorbitants et des défis posés par les opérations en mer, une telle enquête nécessitera une intervention minutieusement planifiée et rapide. </w:t>
      </w:r>
    </w:p>
    <w:p w14:paraId="2CAF3CE3"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2654A246"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5.2 Ce document d'orientation fournit des conseils pour la planification et la préparation d'une telle enquête. Il souligne l'importance d'établir à l'avance des partenariats et des contacts utiles, l'utilité des listes de contrôle, la nécessité d'identifier et de trouver le financement et l'expertise nécessaires et, plus généralement, la nécessité pour l'autorité chargée de l'enquête de bien comprendre les outils et les moyens nécessaires à la réussite des opérations de recherche et de récupération. </w:t>
      </w:r>
    </w:p>
    <w:p w14:paraId="56812FAD"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1668BF1C"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lastRenderedPageBreak/>
        <w:t xml:space="preserve">5.3 Le coût de ces opérations peut être considérable et il est important que les décideurs et les responsables politiques qui gèrent les fonds d'urgence disposent d'estimations réalistes des coûts et des délais, et qu'une police d'assurance soit envisagée. </w:t>
      </w:r>
    </w:p>
    <w:p w14:paraId="64E327CC"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2B500B81" w14:textId="4B7865B8"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5.4 Les défis liés à la conduite d'opérations en mer ne doivent pas être sous-estimés. La frontière entre le succès et l'échec est souvent ténue, et tout ce qui peut être fait en amont, en préparation et en planification, augmentera les chances de succès.</w:t>
      </w:r>
    </w:p>
    <w:p w14:paraId="63422BB6" w14:textId="77777777" w:rsidR="00535E3F" w:rsidRDefault="00535E3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4B454C59" w14:textId="1DC03C1B" w:rsidR="00535E3F" w:rsidRDefault="00535E3F" w:rsidP="00535E3F">
      <w:pPr>
        <w:spacing w:after="0" w:line="240" w:lineRule="auto"/>
        <w:jc w:val="center"/>
        <w:rPr>
          <w:rFonts w:ascii="Times New Roman" w:eastAsia="Times New Roman" w:hAnsi="Times New Roman" w:cs="Times New Roman"/>
          <w:kern w:val="0"/>
          <w:sz w:val="24"/>
          <w:szCs w:val="24"/>
          <w:lang w:eastAsia="fr-FR"/>
          <w14:ligatures w14:val="none"/>
        </w:rPr>
      </w:pPr>
      <w:r w:rsidRPr="00535E3F">
        <w:rPr>
          <w:rFonts w:ascii="Times New Roman" w:eastAsia="Times New Roman" w:hAnsi="Times New Roman" w:cs="Times New Roman"/>
          <w:noProof/>
          <w:kern w:val="0"/>
          <w:sz w:val="24"/>
          <w:szCs w:val="24"/>
          <w:lang w:eastAsia="fr-FR"/>
          <w14:ligatures w14:val="none"/>
        </w:rPr>
        <w:drawing>
          <wp:inline distT="0" distB="0" distL="0" distR="0" wp14:anchorId="440237CB" wp14:editId="0FE34AFB">
            <wp:extent cx="3162300" cy="1752600"/>
            <wp:effectExtent l="0" t="0" r="0" b="0"/>
            <wp:docPr id="817435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1752600"/>
                    </a:xfrm>
                    <a:prstGeom prst="rect">
                      <a:avLst/>
                    </a:prstGeom>
                    <a:noFill/>
                    <a:ln>
                      <a:noFill/>
                    </a:ln>
                  </pic:spPr>
                </pic:pic>
              </a:graphicData>
            </a:graphic>
          </wp:inline>
        </w:drawing>
      </w:r>
    </w:p>
    <w:p w14:paraId="08AD4635"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7ABA0A95"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6017756B" w14:textId="77777777" w:rsidR="00D40EAF" w:rsidRP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33135B39" w14:textId="77777777" w:rsidR="00D40EAF" w:rsidRDefault="00D40EAF" w:rsidP="007910D3">
      <w:pPr>
        <w:spacing w:after="0"/>
        <w:jc w:val="both"/>
        <w:rPr>
          <w:rStyle w:val="rynqvb"/>
        </w:rPr>
      </w:pPr>
    </w:p>
    <w:p w14:paraId="65B0CF98" w14:textId="77777777" w:rsidR="00D40EAF" w:rsidRDefault="00D40EAF" w:rsidP="007910D3">
      <w:pPr>
        <w:spacing w:after="0"/>
        <w:jc w:val="both"/>
        <w:rPr>
          <w:rStyle w:val="rynqvb"/>
        </w:rPr>
      </w:pPr>
    </w:p>
    <w:p w14:paraId="7FAF89DA" w14:textId="77777777" w:rsidR="00380AB8" w:rsidRDefault="00380AB8" w:rsidP="007910D3">
      <w:pPr>
        <w:spacing w:after="0"/>
        <w:jc w:val="both"/>
        <w:rPr>
          <w:rStyle w:val="rynqvb"/>
        </w:rPr>
      </w:pPr>
    </w:p>
    <w:p w14:paraId="515A92D2" w14:textId="77777777" w:rsidR="00380AB8" w:rsidRDefault="00380AB8" w:rsidP="007910D3">
      <w:pPr>
        <w:spacing w:after="0"/>
        <w:jc w:val="both"/>
        <w:rPr>
          <w:rStyle w:val="rynqvb"/>
        </w:rPr>
      </w:pPr>
    </w:p>
    <w:p w14:paraId="3644DD6D" w14:textId="77777777" w:rsidR="00325783" w:rsidRDefault="00325783" w:rsidP="00325783">
      <w:pPr>
        <w:jc w:val="center"/>
        <w:rPr>
          <w:rStyle w:val="rynqvb"/>
        </w:rPr>
      </w:pPr>
    </w:p>
    <w:p w14:paraId="36BA5EFF" w14:textId="77777777" w:rsidR="00325783" w:rsidRDefault="00325783" w:rsidP="00325783">
      <w:pPr>
        <w:jc w:val="both"/>
        <w:rPr>
          <w:rStyle w:val="rynqvb"/>
        </w:rPr>
      </w:pPr>
    </w:p>
    <w:p w14:paraId="6E2BC7C3" w14:textId="77777777" w:rsidR="00325783" w:rsidRDefault="00325783" w:rsidP="00325783">
      <w:pPr>
        <w:rPr>
          <w:rStyle w:val="rynqvb"/>
        </w:rPr>
      </w:pPr>
    </w:p>
    <w:p w14:paraId="11947347" w14:textId="77777777" w:rsidR="00325783" w:rsidRDefault="00325783" w:rsidP="00325783">
      <w:pPr>
        <w:jc w:val="both"/>
        <w:rPr>
          <w:rStyle w:val="rynqvb"/>
        </w:rPr>
      </w:pPr>
    </w:p>
    <w:p w14:paraId="206946C7" w14:textId="77777777" w:rsidR="00325783" w:rsidRDefault="00325783" w:rsidP="00325783">
      <w:pPr>
        <w:jc w:val="both"/>
        <w:rPr>
          <w:rStyle w:val="rynqvb"/>
        </w:rPr>
      </w:pPr>
    </w:p>
    <w:p w14:paraId="03D92995" w14:textId="77777777" w:rsidR="00325783" w:rsidRDefault="00325783" w:rsidP="00325783">
      <w:pPr>
        <w:jc w:val="both"/>
        <w:rPr>
          <w:rStyle w:val="rynqvb"/>
        </w:rPr>
      </w:pPr>
    </w:p>
    <w:p w14:paraId="1AF2995F" w14:textId="77777777" w:rsidR="00325783" w:rsidRDefault="00325783" w:rsidP="00325783">
      <w:pPr>
        <w:jc w:val="both"/>
        <w:rPr>
          <w:rStyle w:val="rynqvb"/>
        </w:rPr>
      </w:pPr>
    </w:p>
    <w:p w14:paraId="5D07598A" w14:textId="77777777" w:rsidR="00325783" w:rsidRDefault="00325783" w:rsidP="00325783">
      <w:pPr>
        <w:jc w:val="both"/>
        <w:rPr>
          <w:rStyle w:val="rynqvb"/>
        </w:rPr>
      </w:pPr>
    </w:p>
    <w:p w14:paraId="19F27BEA" w14:textId="77777777" w:rsidR="000B0B7A" w:rsidRDefault="000B0B7A" w:rsidP="00325783">
      <w:pPr>
        <w:jc w:val="both"/>
        <w:rPr>
          <w:rStyle w:val="rynqvb"/>
        </w:rPr>
      </w:pPr>
    </w:p>
    <w:p w14:paraId="3EA30C9D" w14:textId="77777777" w:rsidR="000B0B7A" w:rsidRDefault="000B0B7A" w:rsidP="00325783">
      <w:pPr>
        <w:jc w:val="both"/>
        <w:rPr>
          <w:rStyle w:val="rynqvb"/>
        </w:rPr>
      </w:pPr>
    </w:p>
    <w:p w14:paraId="4FF0898B" w14:textId="77777777" w:rsidR="000B0B7A" w:rsidRDefault="000B0B7A" w:rsidP="00EE6417">
      <w:pPr>
        <w:jc w:val="both"/>
        <w:rPr>
          <w:rStyle w:val="rynqvb"/>
        </w:rPr>
      </w:pPr>
    </w:p>
    <w:p w14:paraId="05F99E1E" w14:textId="77777777" w:rsidR="000B0B7A" w:rsidRDefault="000B0B7A" w:rsidP="00EE6417">
      <w:pPr>
        <w:jc w:val="both"/>
        <w:rPr>
          <w:rStyle w:val="rynqvb"/>
        </w:rPr>
      </w:pPr>
    </w:p>
    <w:p w14:paraId="595858D5" w14:textId="77777777" w:rsidR="000B0B7A" w:rsidRDefault="000B0B7A" w:rsidP="00EE6417">
      <w:pPr>
        <w:jc w:val="both"/>
        <w:rPr>
          <w:rStyle w:val="rynqvb"/>
        </w:rPr>
      </w:pPr>
    </w:p>
    <w:p w14:paraId="28087237" w14:textId="77777777" w:rsidR="000B0B7A" w:rsidRDefault="000B0B7A" w:rsidP="00EE6417">
      <w:pPr>
        <w:jc w:val="both"/>
        <w:rPr>
          <w:rStyle w:val="rynqvb"/>
        </w:rPr>
      </w:pPr>
    </w:p>
    <w:p w14:paraId="4853B1C5" w14:textId="77777777" w:rsidR="000B0B7A" w:rsidRDefault="000B0B7A" w:rsidP="00EE6417">
      <w:pPr>
        <w:jc w:val="both"/>
        <w:rPr>
          <w:rStyle w:val="rynqvb"/>
        </w:rPr>
      </w:pPr>
    </w:p>
    <w:p w14:paraId="10DC9CC2" w14:textId="77777777" w:rsidR="00EE6417" w:rsidRDefault="00EE6417" w:rsidP="00EE6417">
      <w:pPr>
        <w:jc w:val="both"/>
        <w:rPr>
          <w:rStyle w:val="rynqvb"/>
        </w:rPr>
      </w:pPr>
    </w:p>
    <w:p w14:paraId="5C8925FF" w14:textId="77777777" w:rsidR="00EE6417" w:rsidRDefault="00EE6417"/>
    <w:sectPr w:rsidR="00EE64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17"/>
    <w:rsid w:val="000B0B7A"/>
    <w:rsid w:val="000D3281"/>
    <w:rsid w:val="001E0C45"/>
    <w:rsid w:val="00207303"/>
    <w:rsid w:val="00325783"/>
    <w:rsid w:val="00380AB8"/>
    <w:rsid w:val="003A59C8"/>
    <w:rsid w:val="00535E3F"/>
    <w:rsid w:val="00633515"/>
    <w:rsid w:val="00783B3A"/>
    <w:rsid w:val="007910D3"/>
    <w:rsid w:val="00836818"/>
    <w:rsid w:val="008C26F7"/>
    <w:rsid w:val="00A75A64"/>
    <w:rsid w:val="00B66482"/>
    <w:rsid w:val="00B9226B"/>
    <w:rsid w:val="00BC061B"/>
    <w:rsid w:val="00BC20BB"/>
    <w:rsid w:val="00CD4862"/>
    <w:rsid w:val="00D40EAF"/>
    <w:rsid w:val="00EE64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9B45"/>
  <w15:chartTrackingRefBased/>
  <w15:docId w15:val="{E248DF06-4F94-4A04-ADE9-304EB4CC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E64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E64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E641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E641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E641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E641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E641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E641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E641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641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E641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E641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E641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E641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E641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E641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E641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E6417"/>
    <w:rPr>
      <w:rFonts w:eastAsiaTheme="majorEastAsia" w:cstheme="majorBidi"/>
      <w:color w:val="272727" w:themeColor="text1" w:themeTint="D8"/>
    </w:rPr>
  </w:style>
  <w:style w:type="paragraph" w:styleId="Titre">
    <w:name w:val="Title"/>
    <w:basedOn w:val="Normal"/>
    <w:next w:val="Normal"/>
    <w:link w:val="TitreCar"/>
    <w:uiPriority w:val="10"/>
    <w:qFormat/>
    <w:rsid w:val="00EE6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E641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E641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E641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E6417"/>
    <w:pPr>
      <w:spacing w:before="160"/>
      <w:jc w:val="center"/>
    </w:pPr>
    <w:rPr>
      <w:i/>
      <w:iCs/>
      <w:color w:val="404040" w:themeColor="text1" w:themeTint="BF"/>
    </w:rPr>
  </w:style>
  <w:style w:type="character" w:customStyle="1" w:styleId="CitationCar">
    <w:name w:val="Citation Car"/>
    <w:basedOn w:val="Policepardfaut"/>
    <w:link w:val="Citation"/>
    <w:uiPriority w:val="29"/>
    <w:rsid w:val="00EE6417"/>
    <w:rPr>
      <w:i/>
      <w:iCs/>
      <w:color w:val="404040" w:themeColor="text1" w:themeTint="BF"/>
    </w:rPr>
  </w:style>
  <w:style w:type="paragraph" w:styleId="Paragraphedeliste">
    <w:name w:val="List Paragraph"/>
    <w:basedOn w:val="Normal"/>
    <w:uiPriority w:val="34"/>
    <w:qFormat/>
    <w:rsid w:val="00EE6417"/>
    <w:pPr>
      <w:ind w:left="720"/>
      <w:contextualSpacing/>
    </w:pPr>
  </w:style>
  <w:style w:type="character" w:styleId="Accentuationintense">
    <w:name w:val="Intense Emphasis"/>
    <w:basedOn w:val="Policepardfaut"/>
    <w:uiPriority w:val="21"/>
    <w:qFormat/>
    <w:rsid w:val="00EE6417"/>
    <w:rPr>
      <w:i/>
      <w:iCs/>
      <w:color w:val="2F5496" w:themeColor="accent1" w:themeShade="BF"/>
    </w:rPr>
  </w:style>
  <w:style w:type="paragraph" w:styleId="Citationintense">
    <w:name w:val="Intense Quote"/>
    <w:basedOn w:val="Normal"/>
    <w:next w:val="Normal"/>
    <w:link w:val="CitationintenseCar"/>
    <w:uiPriority w:val="30"/>
    <w:qFormat/>
    <w:rsid w:val="00EE64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E6417"/>
    <w:rPr>
      <w:i/>
      <w:iCs/>
      <w:color w:val="2F5496" w:themeColor="accent1" w:themeShade="BF"/>
    </w:rPr>
  </w:style>
  <w:style w:type="character" w:styleId="Rfrenceintense">
    <w:name w:val="Intense Reference"/>
    <w:basedOn w:val="Policepardfaut"/>
    <w:uiPriority w:val="32"/>
    <w:qFormat/>
    <w:rsid w:val="00EE6417"/>
    <w:rPr>
      <w:b/>
      <w:bCs/>
      <w:smallCaps/>
      <w:color w:val="2F5496" w:themeColor="accent1" w:themeShade="BF"/>
      <w:spacing w:val="5"/>
    </w:rPr>
  </w:style>
  <w:style w:type="character" w:customStyle="1" w:styleId="rynqvb">
    <w:name w:val="rynqvb"/>
    <w:basedOn w:val="Policepardfaut"/>
    <w:rsid w:val="00EE6417"/>
  </w:style>
  <w:style w:type="character" w:customStyle="1" w:styleId="hwtze">
    <w:name w:val="hwtze"/>
    <w:basedOn w:val="Policepardfaut"/>
    <w:rsid w:val="00EE6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4335</Words>
  <Characters>23845</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DELBARRE</dc:creator>
  <cp:keywords/>
  <dc:description/>
  <cp:lastModifiedBy>CORINNE DELBARRE</cp:lastModifiedBy>
  <cp:revision>7</cp:revision>
  <dcterms:created xsi:type="dcterms:W3CDTF">2025-08-30T11:06:00Z</dcterms:created>
  <dcterms:modified xsi:type="dcterms:W3CDTF">2025-08-31T12:16:00Z</dcterms:modified>
</cp:coreProperties>
</file>