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B9BB23" w14:textId="77777777" w:rsidR="001E0C45" w:rsidRDefault="001E0C45"/>
    <w:p w14:paraId="2034A186" w14:textId="5F81A806" w:rsidR="001E0C45" w:rsidRDefault="001E0C45">
      <w:pPr>
        <w:rPr>
          <w:rStyle w:val="rynqvb"/>
        </w:rPr>
      </w:pPr>
    </w:p>
    <w:p w14:paraId="169BA40D" w14:textId="7B9AC64D" w:rsidR="001E0C45" w:rsidRDefault="001E0C45" w:rsidP="001E0C45">
      <w:pPr>
        <w:jc w:val="both"/>
        <w:rPr>
          <w:rStyle w:val="rynqvb"/>
          <w:rFonts w:ascii="Berlin Sans FB Demi" w:hAnsi="Berlin Sans FB Demi"/>
          <w:color w:val="C45911" w:themeColor="accent2" w:themeShade="BF"/>
          <w:sz w:val="52"/>
          <w:szCs w:val="52"/>
        </w:rPr>
      </w:pPr>
      <w:r w:rsidRPr="001E0C45">
        <w:rPr>
          <w:rStyle w:val="rynqvb"/>
          <w:rFonts w:ascii="Berlin Sans FB Demi" w:hAnsi="Berlin Sans FB Demi"/>
          <w:color w:val="C45911" w:themeColor="accent2" w:themeShade="BF"/>
          <w:sz w:val="52"/>
          <w:szCs w:val="52"/>
        </w:rPr>
        <w:t>Guide pour la localisation et la récupération sous-marines des épaves d'aéronefs et des enregistreurs de vol.</w:t>
      </w:r>
    </w:p>
    <w:p w14:paraId="6B8AE0B8" w14:textId="77777777" w:rsidR="007910D3" w:rsidRDefault="007910D3" w:rsidP="001E0C45">
      <w:pPr>
        <w:jc w:val="both"/>
        <w:rPr>
          <w:rStyle w:val="rynqvb"/>
          <w:rFonts w:ascii="Berlin Sans FB Demi" w:hAnsi="Berlin Sans FB Demi"/>
          <w:color w:val="C45911" w:themeColor="accent2" w:themeShade="BF"/>
          <w:sz w:val="52"/>
          <w:szCs w:val="52"/>
        </w:rPr>
      </w:pPr>
    </w:p>
    <w:p w14:paraId="15AEC90B" w14:textId="77777777" w:rsidR="007910D3" w:rsidRDefault="007910D3" w:rsidP="001E0C45">
      <w:pPr>
        <w:jc w:val="both"/>
        <w:rPr>
          <w:rStyle w:val="rynqvb"/>
          <w:rFonts w:ascii="Berlin Sans FB Demi" w:hAnsi="Berlin Sans FB Demi"/>
          <w:color w:val="C45911" w:themeColor="accent2" w:themeShade="BF"/>
          <w:sz w:val="52"/>
          <w:szCs w:val="52"/>
        </w:rPr>
      </w:pPr>
    </w:p>
    <w:p w14:paraId="1A00A48D" w14:textId="77777777" w:rsidR="007910D3" w:rsidRDefault="007910D3" w:rsidP="001E0C45">
      <w:pPr>
        <w:jc w:val="both"/>
        <w:rPr>
          <w:rStyle w:val="rynqvb"/>
          <w:rFonts w:ascii="Berlin Sans FB Demi" w:hAnsi="Berlin Sans FB Demi"/>
          <w:color w:val="C45911" w:themeColor="accent2" w:themeShade="BF"/>
          <w:sz w:val="52"/>
          <w:szCs w:val="52"/>
        </w:rPr>
      </w:pPr>
    </w:p>
    <w:p w14:paraId="3E418CE3" w14:textId="77777777" w:rsidR="007910D3" w:rsidRPr="001E0C45" w:rsidRDefault="007910D3" w:rsidP="001E0C45">
      <w:pPr>
        <w:jc w:val="both"/>
        <w:rPr>
          <w:rStyle w:val="rynqvb"/>
          <w:rFonts w:ascii="Berlin Sans FB Demi" w:hAnsi="Berlin Sans FB Demi"/>
          <w:color w:val="C45911" w:themeColor="accent2" w:themeShade="BF"/>
          <w:sz w:val="52"/>
          <w:szCs w:val="52"/>
        </w:rPr>
      </w:pPr>
    </w:p>
    <w:p w14:paraId="2257F0EC" w14:textId="77777777" w:rsidR="001E0C45" w:rsidRDefault="001E0C45">
      <w:pPr>
        <w:rPr>
          <w:rStyle w:val="rynqvb"/>
        </w:rPr>
      </w:pPr>
    </w:p>
    <w:p w14:paraId="15125AD7" w14:textId="5BBC32D6" w:rsidR="001E0C45" w:rsidRDefault="007910D3">
      <w:pPr>
        <w:rPr>
          <w:rStyle w:val="rynqvb"/>
        </w:rPr>
      </w:pPr>
      <w:r w:rsidRPr="007910D3">
        <w:rPr>
          <w:rStyle w:val="rynqvb"/>
          <w:noProof/>
        </w:rPr>
        <w:drawing>
          <wp:inline distT="0" distB="0" distL="0" distR="0" wp14:anchorId="201A927D" wp14:editId="1A5220AC">
            <wp:extent cx="5448300" cy="3131820"/>
            <wp:effectExtent l="0" t="0" r="0" b="0"/>
            <wp:docPr id="159907202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448300" cy="3131820"/>
                    </a:xfrm>
                    <a:prstGeom prst="rect">
                      <a:avLst/>
                    </a:prstGeom>
                    <a:noFill/>
                    <a:ln>
                      <a:noFill/>
                    </a:ln>
                  </pic:spPr>
                </pic:pic>
              </a:graphicData>
            </a:graphic>
          </wp:inline>
        </w:drawing>
      </w:r>
    </w:p>
    <w:p w14:paraId="6295F5C8" w14:textId="77777777" w:rsidR="001E0C45" w:rsidRDefault="001E0C45">
      <w:pPr>
        <w:rPr>
          <w:rStyle w:val="rynqvb"/>
        </w:rPr>
      </w:pPr>
    </w:p>
    <w:p w14:paraId="4201CC90" w14:textId="77777777" w:rsidR="001E0C45" w:rsidRDefault="001E0C45">
      <w:pPr>
        <w:rPr>
          <w:rStyle w:val="rynqvb"/>
        </w:rPr>
      </w:pPr>
    </w:p>
    <w:p w14:paraId="6B9226FF" w14:textId="77777777" w:rsidR="001E0C45" w:rsidRDefault="001E0C45">
      <w:pPr>
        <w:rPr>
          <w:rStyle w:val="rynqvb"/>
        </w:rPr>
      </w:pPr>
    </w:p>
    <w:p w14:paraId="49FE9BDB" w14:textId="77777777" w:rsidR="001E0C45" w:rsidRDefault="001E0C45">
      <w:pPr>
        <w:rPr>
          <w:rStyle w:val="rynqvb"/>
        </w:rPr>
      </w:pPr>
    </w:p>
    <w:p w14:paraId="78F306A5" w14:textId="77777777" w:rsidR="001E0C45" w:rsidRDefault="001E0C45">
      <w:pPr>
        <w:rPr>
          <w:rStyle w:val="rynqvb"/>
        </w:rPr>
      </w:pPr>
    </w:p>
    <w:p w14:paraId="6D47891F" w14:textId="77777777" w:rsidR="001E0C45" w:rsidRDefault="001E0C45">
      <w:pPr>
        <w:rPr>
          <w:rStyle w:val="rynqvb"/>
        </w:rPr>
      </w:pPr>
    </w:p>
    <w:p w14:paraId="752E16C7" w14:textId="6504237F" w:rsidR="007910D3" w:rsidRDefault="007910D3" w:rsidP="007910D3">
      <w:pPr>
        <w:jc w:val="both"/>
        <w:rPr>
          <w:rStyle w:val="rynqvb"/>
          <w:b/>
          <w:bCs/>
          <w:sz w:val="28"/>
          <w:szCs w:val="28"/>
        </w:rPr>
      </w:pPr>
      <w:r>
        <w:rPr>
          <w:rStyle w:val="rynqvb"/>
          <w:b/>
          <w:bCs/>
          <w:sz w:val="28"/>
          <w:szCs w:val="28"/>
        </w:rPr>
        <w:t>1</w:t>
      </w:r>
      <w:r>
        <w:rPr>
          <w:rStyle w:val="rynqvb"/>
          <w:b/>
          <w:bCs/>
          <w:sz w:val="28"/>
          <w:szCs w:val="28"/>
        </w:rPr>
        <w:t xml:space="preserve">. </w:t>
      </w:r>
      <w:r>
        <w:rPr>
          <w:rStyle w:val="rynqvb"/>
          <w:b/>
          <w:bCs/>
          <w:sz w:val="28"/>
          <w:szCs w:val="28"/>
        </w:rPr>
        <w:t>Introduction</w:t>
      </w:r>
    </w:p>
    <w:p w14:paraId="7CBF8340" w14:textId="77777777" w:rsidR="007910D3" w:rsidRDefault="007910D3">
      <w:pPr>
        <w:rPr>
          <w:rFonts w:ascii="Times New Roman" w:eastAsia="Times New Roman" w:hAnsi="Times New Roman" w:cs="Times New Roman"/>
          <w:kern w:val="0"/>
          <w:sz w:val="24"/>
          <w:szCs w:val="24"/>
          <w:lang w:eastAsia="fr-FR"/>
          <w14:ligatures w14:val="none"/>
        </w:rPr>
      </w:pPr>
    </w:p>
    <w:p w14:paraId="1FEC9996" w14:textId="197D39C0" w:rsidR="00EE6417" w:rsidRPr="007910D3" w:rsidRDefault="007910D3">
      <w:pPr>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kern w:val="0"/>
          <w:sz w:val="24"/>
          <w:szCs w:val="24"/>
          <w:lang w:eastAsia="fr-FR"/>
          <w14:ligatures w14:val="none"/>
        </w:rPr>
        <w:t xml:space="preserve">1.1 </w:t>
      </w:r>
      <w:r w:rsidR="00EE6417" w:rsidRPr="007910D3">
        <w:rPr>
          <w:rFonts w:ascii="Times New Roman" w:eastAsia="Times New Roman" w:hAnsi="Times New Roman" w:cs="Times New Roman"/>
          <w:kern w:val="0"/>
          <w:sz w:val="24"/>
          <w:szCs w:val="24"/>
          <w:lang w:eastAsia="fr-FR"/>
          <w14:ligatures w14:val="none"/>
        </w:rPr>
        <w:t>Tout État disposant d'un littoral ou d'une étendue d'eau intérieure, ou d'aéronefs immatriculés dans son registre national survolant les eaux internationales, peut être tenu de mener une enquête sur la perte d'un aéronef dans ses eaux territoriales ou en haute mer. Des accidents mortels ayant une dimension sous-marine se produisent régulièrement.</w:t>
      </w:r>
    </w:p>
    <w:p w14:paraId="5C7F38FD" w14:textId="77777777" w:rsidR="00EE6417" w:rsidRPr="007910D3" w:rsidRDefault="00EE6417">
      <w:pPr>
        <w:rPr>
          <w:rFonts w:ascii="Times New Roman" w:eastAsia="Times New Roman" w:hAnsi="Times New Roman" w:cs="Times New Roman"/>
          <w:kern w:val="0"/>
          <w:sz w:val="24"/>
          <w:szCs w:val="24"/>
          <w:lang w:eastAsia="fr-FR"/>
          <w14:ligatures w14:val="none"/>
        </w:rPr>
      </w:pPr>
    </w:p>
    <w:p w14:paraId="7E4F189A" w14:textId="01395733" w:rsidR="00EE6417" w:rsidRPr="00EE6417" w:rsidRDefault="007910D3" w:rsidP="00EE6417">
      <w:pPr>
        <w:spacing w:after="0" w:line="240" w:lineRule="auto"/>
        <w:jc w:val="both"/>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kern w:val="0"/>
          <w:sz w:val="24"/>
          <w:szCs w:val="24"/>
          <w:lang w:eastAsia="fr-FR"/>
          <w14:ligatures w14:val="none"/>
        </w:rPr>
        <w:t xml:space="preserve">1.2 </w:t>
      </w:r>
      <w:r w:rsidR="00EE6417" w:rsidRPr="00EE6417">
        <w:rPr>
          <w:rFonts w:ascii="Times New Roman" w:eastAsia="Times New Roman" w:hAnsi="Times New Roman" w:cs="Times New Roman"/>
          <w:kern w:val="0"/>
          <w:sz w:val="24"/>
          <w:szCs w:val="24"/>
          <w:lang w:eastAsia="fr-FR"/>
          <w14:ligatures w14:val="none"/>
        </w:rPr>
        <w:t>Lorsqu'un avion s'écrase dans l'eau, que ce soit en mer, sur un lac ou une rivière, le premier besoin – l'accès au lieu de l'accident – ​​est problématique en soi. Les difficultés s'aggravent à mesure que l'eau devient plus profonde.</w:t>
      </w:r>
    </w:p>
    <w:p w14:paraId="5A378160" w14:textId="77777777" w:rsidR="00EE6417" w:rsidRPr="007910D3" w:rsidRDefault="00EE6417" w:rsidP="00EE6417">
      <w:pPr>
        <w:jc w:val="both"/>
        <w:rPr>
          <w:rFonts w:ascii="Times New Roman" w:eastAsia="Times New Roman" w:hAnsi="Times New Roman" w:cs="Times New Roman"/>
          <w:kern w:val="0"/>
          <w:sz w:val="24"/>
          <w:szCs w:val="24"/>
          <w:lang w:eastAsia="fr-FR"/>
          <w14:ligatures w14:val="none"/>
        </w:rPr>
      </w:pPr>
    </w:p>
    <w:p w14:paraId="3CD3A9AE" w14:textId="3DAAF69F" w:rsidR="00EE6417" w:rsidRDefault="007910D3" w:rsidP="00EE6417">
      <w:pPr>
        <w:jc w:val="both"/>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kern w:val="0"/>
          <w:sz w:val="24"/>
          <w:szCs w:val="24"/>
          <w:lang w:eastAsia="fr-FR"/>
          <w14:ligatures w14:val="none"/>
        </w:rPr>
        <w:t xml:space="preserve">1.3 </w:t>
      </w:r>
      <w:r w:rsidR="00EE6417" w:rsidRPr="007910D3">
        <w:rPr>
          <w:rFonts w:ascii="Times New Roman" w:eastAsia="Times New Roman" w:hAnsi="Times New Roman" w:cs="Times New Roman"/>
          <w:kern w:val="0"/>
          <w:sz w:val="24"/>
          <w:szCs w:val="24"/>
          <w:lang w:eastAsia="fr-FR"/>
          <w14:ligatures w14:val="none"/>
        </w:rPr>
        <w:t>La localisation et la récupération sous-marines présentent des caractéristiques extrêmement complexes et nécessitent une intervention bien planifiée et rapide, coordonnée entre de nombreuses parties</w:t>
      </w:r>
      <w:r w:rsidR="00EE6417" w:rsidRPr="007910D3">
        <w:rPr>
          <w:rFonts w:ascii="Times New Roman" w:eastAsia="Times New Roman" w:hAnsi="Times New Roman" w:cs="Times New Roman"/>
          <w:kern w:val="0"/>
          <w:sz w:val="24"/>
          <w:szCs w:val="24"/>
          <w:lang w:eastAsia="fr-FR"/>
          <w14:ligatures w14:val="none"/>
        </w:rPr>
        <w:t>.</w:t>
      </w:r>
      <w:r w:rsidR="00EE6417" w:rsidRPr="007910D3">
        <w:rPr>
          <w:rFonts w:ascii="Times New Roman" w:eastAsia="Times New Roman" w:hAnsi="Times New Roman" w:cs="Times New Roman"/>
          <w:kern w:val="0"/>
          <w:sz w:val="24"/>
          <w:szCs w:val="24"/>
          <w:lang w:eastAsia="fr-FR"/>
          <w14:ligatures w14:val="none"/>
        </w:rPr>
        <w:t xml:space="preserve"> Une préparation inadéquate ou une mauvaise gestion de l'enquête initiale peuvent dégénérer en crise et menacer des preuves cruciales. Ce risque augmente lorsque le lieu de l'accident est problématique.</w:t>
      </w:r>
    </w:p>
    <w:p w14:paraId="55C61344" w14:textId="77777777" w:rsidR="007910D3" w:rsidRDefault="007910D3" w:rsidP="00EE6417">
      <w:pPr>
        <w:jc w:val="both"/>
        <w:rPr>
          <w:rFonts w:ascii="Times New Roman" w:eastAsia="Times New Roman" w:hAnsi="Times New Roman" w:cs="Times New Roman"/>
          <w:kern w:val="0"/>
          <w:sz w:val="24"/>
          <w:szCs w:val="24"/>
          <w:lang w:eastAsia="fr-FR"/>
          <w14:ligatures w14:val="none"/>
        </w:rPr>
      </w:pPr>
    </w:p>
    <w:p w14:paraId="35B90F42" w14:textId="77777777" w:rsidR="007910D3" w:rsidRDefault="007910D3" w:rsidP="00EE6417">
      <w:pPr>
        <w:jc w:val="both"/>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kern w:val="0"/>
          <w:sz w:val="24"/>
          <w:szCs w:val="24"/>
          <w:lang w:eastAsia="fr-FR"/>
          <w14:ligatures w14:val="none"/>
        </w:rPr>
        <w:t xml:space="preserve">1.4 </w:t>
      </w:r>
      <w:r w:rsidRPr="007910D3">
        <w:rPr>
          <w:rFonts w:ascii="Times New Roman" w:eastAsia="Times New Roman" w:hAnsi="Times New Roman" w:cs="Times New Roman"/>
          <w:kern w:val="0"/>
          <w:sz w:val="24"/>
          <w:szCs w:val="24"/>
          <w:lang w:eastAsia="fr-FR"/>
          <w14:ligatures w14:val="none"/>
        </w:rPr>
        <w:t xml:space="preserve">Ce guide a été élaboré suite à l'organisation, en 2009/2010, de deux ateliers par le Groupe d'experts de la CEAC sur les enquêtes sur les accidents et incidents d'aviation. Il vise à donner un aperçu des problématiques propres aux opérations de localisation et de récupération sous-marines, ainsi que de l'expertise, des procédures et de l'équipement nécessaires à une intervention efficace. Une version préliminaire de ce guide a été présentée et discutée lors de l'atelier sur la récupération sous-marine organisé en 2011 à Singapour pour la région Asie-Pacifique. </w:t>
      </w:r>
    </w:p>
    <w:p w14:paraId="1E771F75" w14:textId="1DEA0470" w:rsidR="007910D3" w:rsidRDefault="007910D3" w:rsidP="00EE6417">
      <w:pPr>
        <w:jc w:val="both"/>
        <w:rPr>
          <w:rFonts w:ascii="Times New Roman" w:eastAsia="Times New Roman" w:hAnsi="Times New Roman" w:cs="Times New Roman"/>
          <w:kern w:val="0"/>
          <w:sz w:val="24"/>
          <w:szCs w:val="24"/>
          <w:lang w:eastAsia="fr-FR"/>
          <w14:ligatures w14:val="none"/>
        </w:rPr>
      </w:pPr>
      <w:r w:rsidRPr="007910D3">
        <w:rPr>
          <w:rFonts w:ascii="Times New Roman" w:eastAsia="Times New Roman" w:hAnsi="Times New Roman" w:cs="Times New Roman"/>
          <w:kern w:val="0"/>
          <w:sz w:val="24"/>
          <w:szCs w:val="24"/>
          <w:lang w:eastAsia="fr-FR"/>
          <w14:ligatures w14:val="none"/>
        </w:rPr>
        <w:t>1.5 Ce guide examine les préparatifs nécessaires aux États susceptibles d'être amenés à entreprendre une opération de localisation et de récupération sous-marine, puis les défis sur place des opérations en mer : l'environnement de travail, les décisions concernant les objets à récupérer, les questions spécifiques à la localisation et à la récupération, et la gestion des restes humains. Il aborde également les questions annexes, notamment les coûts des opérations sous-marines, et présente les points clés pour ceux qui pourraient être amenés à entreprendre des opérations dans cet environnement difficile.</w:t>
      </w:r>
    </w:p>
    <w:p w14:paraId="7176C80D" w14:textId="77777777" w:rsidR="007910D3" w:rsidRDefault="007910D3" w:rsidP="00EE6417">
      <w:pPr>
        <w:jc w:val="both"/>
        <w:rPr>
          <w:rFonts w:ascii="Times New Roman" w:eastAsia="Times New Roman" w:hAnsi="Times New Roman" w:cs="Times New Roman"/>
          <w:kern w:val="0"/>
          <w:sz w:val="24"/>
          <w:szCs w:val="24"/>
          <w:lang w:eastAsia="fr-FR"/>
          <w14:ligatures w14:val="none"/>
        </w:rPr>
      </w:pPr>
    </w:p>
    <w:p w14:paraId="14F4009F" w14:textId="77777777" w:rsidR="007910D3" w:rsidRDefault="007910D3" w:rsidP="00EE6417">
      <w:pPr>
        <w:jc w:val="both"/>
        <w:rPr>
          <w:rFonts w:ascii="Times New Roman" w:eastAsia="Times New Roman" w:hAnsi="Times New Roman" w:cs="Times New Roman"/>
          <w:kern w:val="0"/>
          <w:sz w:val="24"/>
          <w:szCs w:val="24"/>
          <w:lang w:eastAsia="fr-FR"/>
          <w14:ligatures w14:val="none"/>
        </w:rPr>
      </w:pPr>
    </w:p>
    <w:p w14:paraId="7B0FFFCB" w14:textId="77777777" w:rsidR="007910D3" w:rsidRDefault="007910D3" w:rsidP="00EE6417">
      <w:pPr>
        <w:jc w:val="both"/>
        <w:rPr>
          <w:rFonts w:ascii="Times New Roman" w:eastAsia="Times New Roman" w:hAnsi="Times New Roman" w:cs="Times New Roman"/>
          <w:kern w:val="0"/>
          <w:sz w:val="24"/>
          <w:szCs w:val="24"/>
          <w:lang w:eastAsia="fr-FR"/>
          <w14:ligatures w14:val="none"/>
        </w:rPr>
      </w:pPr>
    </w:p>
    <w:p w14:paraId="1C6EC93C" w14:textId="77777777" w:rsidR="007910D3" w:rsidRDefault="007910D3" w:rsidP="00EE6417">
      <w:pPr>
        <w:jc w:val="both"/>
        <w:rPr>
          <w:rFonts w:ascii="Times New Roman" w:eastAsia="Times New Roman" w:hAnsi="Times New Roman" w:cs="Times New Roman"/>
          <w:kern w:val="0"/>
          <w:sz w:val="24"/>
          <w:szCs w:val="24"/>
          <w:lang w:eastAsia="fr-FR"/>
          <w14:ligatures w14:val="none"/>
        </w:rPr>
      </w:pPr>
    </w:p>
    <w:p w14:paraId="3DD91607" w14:textId="77777777" w:rsidR="007910D3" w:rsidRDefault="007910D3" w:rsidP="00EE6417">
      <w:pPr>
        <w:jc w:val="both"/>
        <w:rPr>
          <w:rFonts w:ascii="Times New Roman" w:eastAsia="Times New Roman" w:hAnsi="Times New Roman" w:cs="Times New Roman"/>
          <w:kern w:val="0"/>
          <w:sz w:val="24"/>
          <w:szCs w:val="24"/>
          <w:lang w:eastAsia="fr-FR"/>
          <w14:ligatures w14:val="none"/>
        </w:rPr>
      </w:pPr>
    </w:p>
    <w:p w14:paraId="3A89DCFA" w14:textId="77777777" w:rsidR="007910D3" w:rsidRPr="007910D3" w:rsidRDefault="007910D3" w:rsidP="00EE6417">
      <w:pPr>
        <w:jc w:val="both"/>
        <w:rPr>
          <w:rFonts w:ascii="Times New Roman" w:eastAsia="Times New Roman" w:hAnsi="Times New Roman" w:cs="Times New Roman"/>
          <w:kern w:val="0"/>
          <w:sz w:val="24"/>
          <w:szCs w:val="24"/>
          <w:lang w:eastAsia="fr-FR"/>
          <w14:ligatures w14:val="none"/>
        </w:rPr>
      </w:pPr>
    </w:p>
    <w:p w14:paraId="7E8F62F6" w14:textId="4E7B0A28" w:rsidR="00EE6417" w:rsidRDefault="007910D3" w:rsidP="00EE6417">
      <w:pPr>
        <w:jc w:val="both"/>
        <w:rPr>
          <w:rStyle w:val="rynqvb"/>
          <w:b/>
          <w:bCs/>
          <w:sz w:val="28"/>
          <w:szCs w:val="28"/>
        </w:rPr>
      </w:pPr>
      <w:r>
        <w:rPr>
          <w:rStyle w:val="rynqvb"/>
          <w:b/>
          <w:bCs/>
          <w:sz w:val="28"/>
          <w:szCs w:val="28"/>
        </w:rPr>
        <w:lastRenderedPageBreak/>
        <w:t>2. Pr</w:t>
      </w:r>
      <w:r w:rsidR="00EE6417" w:rsidRPr="00EE6417">
        <w:rPr>
          <w:rStyle w:val="rynqvb"/>
          <w:b/>
          <w:bCs/>
          <w:sz w:val="28"/>
          <w:szCs w:val="28"/>
        </w:rPr>
        <w:t xml:space="preserve">éparation pour les opérations de localisation et de récupération sous-marines </w:t>
      </w:r>
    </w:p>
    <w:p w14:paraId="6478F587" w14:textId="6EE5BCF8" w:rsidR="00EE6417" w:rsidRPr="00EE6417" w:rsidRDefault="00EE6417" w:rsidP="00EE6417">
      <w:pPr>
        <w:jc w:val="both"/>
        <w:rPr>
          <w:rStyle w:val="rynqvb"/>
          <w:b/>
          <w:bCs/>
          <w:sz w:val="28"/>
          <w:szCs w:val="28"/>
        </w:rPr>
      </w:pPr>
      <w:r w:rsidRPr="00EE6417">
        <w:rPr>
          <w:rStyle w:val="rynqvb"/>
          <w:b/>
          <w:bCs/>
          <w:sz w:val="28"/>
          <w:szCs w:val="28"/>
        </w:rPr>
        <w:t xml:space="preserve">2.1 Partenariats et contacts </w:t>
      </w:r>
    </w:p>
    <w:p w14:paraId="00F9109A" w14:textId="53A7B935" w:rsidR="00EE6417" w:rsidRDefault="00EE6417" w:rsidP="00EE6417">
      <w:pPr>
        <w:jc w:val="both"/>
        <w:rPr>
          <w:rStyle w:val="rynqvb"/>
        </w:rPr>
      </w:pPr>
      <w:r>
        <w:rPr>
          <w:rStyle w:val="rynqvb"/>
        </w:rPr>
        <w:t>2.1.1 Les autorités chargées des enquêtes de sécurité ne sont généralement pas en mesure de mener une enquête ayant une dimension sous-marine sans aide extérieure. Il est donc nécessaire d'établir au préalable des relations avec des partenaires et des sources d'assistance potentiels.</w:t>
      </w:r>
    </w:p>
    <w:p w14:paraId="7CBCD275" w14:textId="330D6F62" w:rsidR="00EE6417" w:rsidRDefault="00EE6417" w:rsidP="00EE6417">
      <w:pPr>
        <w:jc w:val="both"/>
        <w:rPr>
          <w:rStyle w:val="rynqvb"/>
        </w:rPr>
      </w:pPr>
      <w:r>
        <w:rPr>
          <w:rStyle w:val="rynqvb"/>
        </w:rPr>
        <w:t xml:space="preserve">2.1.2 </w:t>
      </w:r>
      <w:r>
        <w:rPr>
          <w:rStyle w:val="rynqvb"/>
        </w:rPr>
        <w:t>Au sein de l'État de l'autorité d'enquête de sécurité, ces partenaires devraient inclure les ministères chargés des questions maritimes, la marine et le corps diplomatique.</w:t>
      </w:r>
      <w:r>
        <w:rPr>
          <w:rStyle w:val="hwtze"/>
        </w:rPr>
        <w:t xml:space="preserve"> </w:t>
      </w:r>
      <w:r>
        <w:rPr>
          <w:rStyle w:val="rynqvb"/>
        </w:rPr>
        <w:t xml:space="preserve">Il est particulièrement important de disposer d'une procédure garantissant un accès rapide aux données bathymétriques et bathythermographiques, au moins pour les eaux nationales. </w:t>
      </w:r>
    </w:p>
    <w:p w14:paraId="587FF8E0" w14:textId="301A51B1" w:rsidR="00EE6417" w:rsidRDefault="00EE6417" w:rsidP="00EE6417">
      <w:pPr>
        <w:jc w:val="both"/>
        <w:rPr>
          <w:rStyle w:val="rynqvb"/>
        </w:rPr>
      </w:pPr>
      <w:r>
        <w:rPr>
          <w:rStyle w:val="rynqvb"/>
        </w:rPr>
        <w:t>2.1.3 Des partenariats devraient également être établis avec des collègues d'autres autorités nationales d'enquête de sécurité, ainsi qu'avec les services militaires et diplomatiques étrangers concernés.</w:t>
      </w:r>
    </w:p>
    <w:p w14:paraId="5E48899C" w14:textId="77777777" w:rsidR="00EE6417" w:rsidRDefault="00EE6417" w:rsidP="00EE6417">
      <w:pPr>
        <w:jc w:val="both"/>
        <w:rPr>
          <w:rStyle w:val="rynqvb"/>
        </w:rPr>
      </w:pPr>
      <w:r>
        <w:rPr>
          <w:rStyle w:val="rynqvb"/>
        </w:rPr>
        <w:t>2.1.4 Bien qu'il soit conseillé de solliciter l'avis d'organismes tels que la police, la marine et les garde-côtes, le contrôle global de l'opération doit toujours être assuré par l'autorité chargée des enquêtes de sécurité.</w:t>
      </w:r>
      <w:r>
        <w:rPr>
          <w:rStyle w:val="hwtze"/>
        </w:rPr>
        <w:t xml:space="preserve"> </w:t>
      </w:r>
      <w:r>
        <w:rPr>
          <w:rStyle w:val="rynqvb"/>
        </w:rPr>
        <w:t xml:space="preserve">Il peut être utile de solliciter l'aide d'autres autorités nationales d'enquête ayant récemment mené des opérations similaires. </w:t>
      </w:r>
    </w:p>
    <w:p w14:paraId="2B6641AE" w14:textId="52DC08C0" w:rsidR="00EE6417" w:rsidRDefault="00EE6417" w:rsidP="00EE6417">
      <w:pPr>
        <w:jc w:val="both"/>
        <w:rPr>
          <w:rStyle w:val="rynqvb"/>
        </w:rPr>
      </w:pPr>
      <w:r>
        <w:rPr>
          <w:rStyle w:val="rynqvb"/>
        </w:rPr>
        <w:t>2.1.5 Dans le cadre de ces contacts à l'étranger, il est judicieux d'établir une homogénéité des spécifications techniques des équipements et des logiciels utilisés par les États de la région, afin de faciliter le partage et l'utilisation de ces ressources en cas de besoin.</w:t>
      </w:r>
    </w:p>
    <w:p w14:paraId="0A6488A6" w14:textId="77777777" w:rsidR="00EE6417" w:rsidRDefault="00EE6417" w:rsidP="00EE6417">
      <w:pPr>
        <w:jc w:val="both"/>
        <w:rPr>
          <w:rStyle w:val="rynqvb"/>
        </w:rPr>
      </w:pPr>
      <w:r>
        <w:rPr>
          <w:rStyle w:val="rynqvb"/>
        </w:rPr>
        <w:t>2.1.6 Il est également important de savoir où se procurer l'équipement nécessaire.</w:t>
      </w:r>
      <w:r>
        <w:rPr>
          <w:rStyle w:val="hwtze"/>
        </w:rPr>
        <w:t xml:space="preserve"> </w:t>
      </w:r>
      <w:r>
        <w:rPr>
          <w:rStyle w:val="rynqvb"/>
        </w:rPr>
        <w:t xml:space="preserve">S'il est possible d'emprunter du matériel auprès de partenaires, il peut être nécessaire de conclure des contrats de location pour des navires, des engins sous-marins et d'autres équipements spécialisés ou coûteux. Les coordonnées des prestataires appropriés, ainsi qu'une compréhension des types d'équipement et d'expertise (par exemple, en plongée) que chacun peut proposer, doivent faire partie intégrante des préparatifs permanents d'une éventuelle opération sous-marine. </w:t>
      </w:r>
    </w:p>
    <w:p w14:paraId="26F7A87B" w14:textId="227C01FA" w:rsidR="00EE6417" w:rsidRDefault="00EE6417" w:rsidP="00EE6417">
      <w:pPr>
        <w:jc w:val="both"/>
        <w:rPr>
          <w:rStyle w:val="rynqvb"/>
        </w:rPr>
      </w:pPr>
      <w:r>
        <w:rPr>
          <w:rStyle w:val="rynqvb"/>
        </w:rPr>
        <w:t>2.1.7 Les listes de contrôle pour les opérations sous-marines sont importantes à des fins de planification. Mais chaque accident est unique et une planification détaillée sera inévitablement spécifique à chaque événement.</w:t>
      </w:r>
    </w:p>
    <w:p w14:paraId="4B4B9893" w14:textId="2561B36F" w:rsidR="00EE6417" w:rsidRDefault="00EE6417" w:rsidP="00EE6417">
      <w:pPr>
        <w:jc w:val="both"/>
        <w:rPr>
          <w:rStyle w:val="rynqvb"/>
        </w:rPr>
      </w:pPr>
      <w:r>
        <w:rPr>
          <w:rStyle w:val="rynqvb"/>
        </w:rPr>
        <w:t>2.1.8 Un équipement et un personnel efficaces peuvent être coûteux, mais ils peuvent réduire les coûts globaux.</w:t>
      </w:r>
      <w:r>
        <w:rPr>
          <w:rStyle w:val="hwtze"/>
        </w:rPr>
        <w:t xml:space="preserve"> </w:t>
      </w:r>
      <w:r>
        <w:rPr>
          <w:rStyle w:val="rynqvb"/>
        </w:rPr>
        <w:t>« Employer un expert coûte cher, mais pas autant que d'employer un non-expert. »</w:t>
      </w:r>
    </w:p>
    <w:p w14:paraId="34E75BBE" w14:textId="42DEA641" w:rsidR="00EE6417" w:rsidRDefault="00EE6417" w:rsidP="00EE6417">
      <w:pPr>
        <w:jc w:val="both"/>
        <w:rPr>
          <w:rStyle w:val="rynqvb"/>
        </w:rPr>
      </w:pPr>
      <w:r w:rsidRPr="00EE6417">
        <w:rPr>
          <w:rStyle w:val="rynqvb"/>
          <w:b/>
          <w:bCs/>
          <w:sz w:val="28"/>
          <w:szCs w:val="28"/>
        </w:rPr>
        <w:t>2.2 Location de matériel et de navires</w:t>
      </w:r>
    </w:p>
    <w:p w14:paraId="5724049D" w14:textId="446E8DB5" w:rsidR="00EE6417" w:rsidRDefault="00EE6417" w:rsidP="00EE6417">
      <w:pPr>
        <w:jc w:val="both"/>
        <w:rPr>
          <w:rStyle w:val="rynqvb"/>
        </w:rPr>
      </w:pPr>
      <w:r>
        <w:rPr>
          <w:rStyle w:val="rynqvb"/>
        </w:rPr>
        <w:t>2.2.1 Le facteur clé dans le choix du navire et de son équipement embarqué est la nature du lieu de l'accident : l'état de la mer, la profondeur probable et l'environnement des fonds marins.</w:t>
      </w:r>
      <w:r>
        <w:rPr>
          <w:rStyle w:val="hwtze"/>
        </w:rPr>
        <w:t xml:space="preserve"> </w:t>
      </w:r>
      <w:r>
        <w:rPr>
          <w:rStyle w:val="rynqvb"/>
        </w:rPr>
        <w:t>D'autres facteurs importants sont la proximité du port le plus proche et la disponibilité de navires adaptés.</w:t>
      </w:r>
      <w:r>
        <w:rPr>
          <w:rStyle w:val="hwtze"/>
        </w:rPr>
        <w:t xml:space="preserve"> </w:t>
      </w:r>
      <w:r>
        <w:rPr>
          <w:rStyle w:val="rynqvb"/>
        </w:rPr>
        <w:t>Les autorités chargées des enquêtes de sécurité, peu habituées aux opérations sous-marines, sous-estiment souvent le temps nécessaire pour mettre en place les moyens maritimes nécessaires au démarrage des opérations.</w:t>
      </w:r>
    </w:p>
    <w:p w14:paraId="752E2FBF" w14:textId="13CA81E6" w:rsidR="00EE6417" w:rsidRDefault="00EE6417" w:rsidP="00EE6417">
      <w:pPr>
        <w:jc w:val="center"/>
        <w:rPr>
          <w:rStyle w:val="rynqvb"/>
        </w:rPr>
      </w:pPr>
      <w:r w:rsidRPr="00EE6417">
        <w:rPr>
          <w:rStyle w:val="rynqvb"/>
          <w:noProof/>
        </w:rPr>
        <w:lastRenderedPageBreak/>
        <w:drawing>
          <wp:inline distT="0" distB="0" distL="0" distR="0" wp14:anchorId="5AE620AE" wp14:editId="5AF762F1">
            <wp:extent cx="2475962" cy="1638300"/>
            <wp:effectExtent l="0" t="0" r="635" b="0"/>
            <wp:docPr id="188933768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84725" cy="1644099"/>
                    </a:xfrm>
                    <a:prstGeom prst="rect">
                      <a:avLst/>
                    </a:prstGeom>
                    <a:noFill/>
                    <a:ln>
                      <a:noFill/>
                    </a:ln>
                  </pic:spPr>
                </pic:pic>
              </a:graphicData>
            </a:graphic>
          </wp:inline>
        </w:drawing>
      </w:r>
    </w:p>
    <w:p w14:paraId="474B285C" w14:textId="77777777" w:rsidR="00EE6417" w:rsidRDefault="00EE6417" w:rsidP="00EE6417">
      <w:pPr>
        <w:jc w:val="both"/>
        <w:rPr>
          <w:rStyle w:val="rynqvb"/>
        </w:rPr>
      </w:pPr>
      <w:r>
        <w:rPr>
          <w:rStyle w:val="rynqvb"/>
        </w:rPr>
        <w:t>2.2.2 Pour évaluer l'adéquation des navires disponibles, il convient de tenir compte de leur capacité à accomplir la tâche requise dans le temps imparti, notamment de leur équipement en équipements spécialisés tels que des dispositifs acoustiques pour la détection des signaux de 37,5 kHz et, si nécessaire, d'un sonar multifaisceaux de coque pour la bathymétrie des fonds marins.</w:t>
      </w:r>
      <w:r>
        <w:rPr>
          <w:rStyle w:val="hwtze"/>
        </w:rPr>
        <w:t xml:space="preserve"> </w:t>
      </w:r>
      <w:r>
        <w:rPr>
          <w:rStyle w:val="rynqvb"/>
        </w:rPr>
        <w:t xml:space="preserve">D'autres éléments à prendre en compte sont la localisation et la disponibilité actuelles du navire, le temps de trajet jusqu'au lieu de l'accident et le coût total de l'affrètement, y compris la fourniture de l'équipement et la mobilisation/démobilisation. </w:t>
      </w:r>
    </w:p>
    <w:p w14:paraId="5E90D81C" w14:textId="1069D633" w:rsidR="00EE6417" w:rsidRDefault="00EE6417" w:rsidP="00EE6417">
      <w:pPr>
        <w:jc w:val="both"/>
        <w:rPr>
          <w:rStyle w:val="rynqvb"/>
        </w:rPr>
      </w:pPr>
      <w:r>
        <w:rPr>
          <w:rStyle w:val="rynqvb"/>
        </w:rPr>
        <w:t>2.2.3 Les embarcations de taille relativement réduite, destinées aux opérations sur les lacs, les rivières et les côtes proches, ne seront probablement pas difficiles à sécuriser.</w:t>
      </w:r>
      <w:r>
        <w:rPr>
          <w:rStyle w:val="hwtze"/>
        </w:rPr>
        <w:t xml:space="preserve"> </w:t>
      </w:r>
      <w:r>
        <w:rPr>
          <w:rStyle w:val="rynqvb"/>
        </w:rPr>
        <w:t>Pour les opérations en mer, il est nécessaire de savoir où trouver un navire plus grand et adapté.</w:t>
      </w:r>
    </w:p>
    <w:p w14:paraId="6098052C" w14:textId="77777777" w:rsidR="00633515" w:rsidRDefault="00633515" w:rsidP="00EE6417">
      <w:pPr>
        <w:jc w:val="both"/>
        <w:rPr>
          <w:rStyle w:val="rynqvb"/>
        </w:rPr>
      </w:pPr>
      <w:r>
        <w:rPr>
          <w:rStyle w:val="rynqvb"/>
        </w:rPr>
        <w:t>2</w:t>
      </w:r>
      <w:r>
        <w:rPr>
          <w:rStyle w:val="rynqvb"/>
        </w:rPr>
        <w:t>.2.4 Si aucun navire d'État approprié n'est disponible, il peut être nécessaire de se rapprocher du marché de l'affrètement et d'envisager de lancer un appel d'offres ou un cahier des charges.</w:t>
      </w:r>
      <w:r>
        <w:rPr>
          <w:rStyle w:val="hwtze"/>
        </w:rPr>
        <w:t xml:space="preserve"> </w:t>
      </w:r>
      <w:r>
        <w:rPr>
          <w:rStyle w:val="rynqvb"/>
        </w:rPr>
        <w:t>Ce document doit préciser la taille de l'aéronef perdu (ce qui déterminera l'équipement de levage et l'espace de pont nécessaires), la profondeur du site, les éventuels problèmes liés aux restes humains et la durée prévue de l'opération.</w:t>
      </w:r>
      <w:r>
        <w:rPr>
          <w:rStyle w:val="hwtze"/>
        </w:rPr>
        <w:t xml:space="preserve"> </w:t>
      </w:r>
      <w:r>
        <w:rPr>
          <w:rStyle w:val="rynqvb"/>
        </w:rPr>
        <w:t>Des questions annexes peuvent être la nécessité d'un héliport et les exigences en matière d'audit ou de certification.</w:t>
      </w:r>
      <w:r>
        <w:rPr>
          <w:rStyle w:val="hwtze"/>
        </w:rPr>
        <w:t xml:space="preserve"> </w:t>
      </w:r>
      <w:r>
        <w:rPr>
          <w:rStyle w:val="rynqvb"/>
        </w:rPr>
        <w:t>La date limite de réponse doit être indiquée.</w:t>
      </w:r>
    </w:p>
    <w:p w14:paraId="4B458108" w14:textId="4056E4E5" w:rsidR="00633515" w:rsidRDefault="00633515" w:rsidP="00EE6417">
      <w:pPr>
        <w:jc w:val="both"/>
        <w:rPr>
          <w:rStyle w:val="rynqvb"/>
        </w:rPr>
      </w:pPr>
      <w:r>
        <w:rPr>
          <w:rStyle w:val="rynqvb"/>
        </w:rPr>
        <w:t>2.2.5 De ​​nombreux navires adaptés au sauvetage d'aéronefs sont utilisés pour soutenir le secteur pétrolier et gazier offshore, notamment en mer du Nord, dans le golfe Persique, dans le golfe du Mexique et au large de l'Afrique de l'Ouest.</w:t>
      </w:r>
      <w:r>
        <w:rPr>
          <w:rStyle w:val="hwtze"/>
        </w:rPr>
        <w:t xml:space="preserve"> </w:t>
      </w:r>
      <w:r>
        <w:rPr>
          <w:rStyle w:val="rynqvb"/>
        </w:rPr>
        <w:t>Rares sont ceux conçus pour soutenir des opérations à plus de 2 000 mètres de profondeur et, dans ce cas, il peut être nécessaire d'affréter le navire et de louer séparément l'équipement supplémentaire.</w:t>
      </w:r>
      <w:r>
        <w:rPr>
          <w:rStyle w:val="hwtze"/>
        </w:rPr>
        <w:t xml:space="preserve"> </w:t>
      </w:r>
      <w:r>
        <w:rPr>
          <w:rStyle w:val="rynqvb"/>
        </w:rPr>
        <w:t>Dans ces circonstances, il sera important d'établir la compatibilité du navire et de ses systèmes avec les équipements embarqués, par exemple en matière de stockage, de levage, d'alimentation électrique, de chargement et d'arrimage sur le pont.</w:t>
      </w:r>
    </w:p>
    <w:p w14:paraId="654D5593" w14:textId="19E2CA0C" w:rsidR="00EE6417" w:rsidRDefault="00633515" w:rsidP="00633515">
      <w:pPr>
        <w:jc w:val="center"/>
        <w:rPr>
          <w:rStyle w:val="rynqvb"/>
        </w:rPr>
      </w:pPr>
      <w:r w:rsidRPr="00633515">
        <w:rPr>
          <w:rStyle w:val="rynqvb"/>
          <w:noProof/>
        </w:rPr>
        <w:lastRenderedPageBreak/>
        <w:drawing>
          <wp:inline distT="0" distB="0" distL="0" distR="0" wp14:anchorId="2C6DE429" wp14:editId="0ED6BC69">
            <wp:extent cx="1918480" cy="2849880"/>
            <wp:effectExtent l="0" t="0" r="5715" b="7620"/>
            <wp:docPr id="1002118406"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21510" cy="2854381"/>
                    </a:xfrm>
                    <a:prstGeom prst="rect">
                      <a:avLst/>
                    </a:prstGeom>
                    <a:noFill/>
                    <a:ln>
                      <a:noFill/>
                    </a:ln>
                  </pic:spPr>
                </pic:pic>
              </a:graphicData>
            </a:graphic>
          </wp:inline>
        </w:drawing>
      </w:r>
    </w:p>
    <w:p w14:paraId="06A7F755" w14:textId="3933CD71" w:rsidR="00633515" w:rsidRDefault="00633515" w:rsidP="00633515">
      <w:pPr>
        <w:jc w:val="both"/>
        <w:rPr>
          <w:rStyle w:val="rynqvb"/>
        </w:rPr>
      </w:pPr>
      <w:r>
        <w:rPr>
          <w:rStyle w:val="rynqvb"/>
        </w:rPr>
        <w:t>2.2.6 L'expérience montre que la mobilisation de grands navires capables de récupérer l'épave en eaux profondes peut prendre du temps.</w:t>
      </w:r>
      <w:r>
        <w:rPr>
          <w:rStyle w:val="hwtze"/>
        </w:rPr>
        <w:t xml:space="preserve"> </w:t>
      </w:r>
      <w:r>
        <w:rPr>
          <w:rStyle w:val="rynqvb"/>
        </w:rPr>
        <w:t>Il peut être avantageux d'adopter une approche en deux étapes : d'abord, un navire plus petit, capable d'atteindre rapidement le lieu de l'accident, et de commencer la localisation des balises de localisation sous-marines (ULB), en attendant l'arrivée d'un navire de récupération.</w:t>
      </w:r>
      <w:r>
        <w:rPr>
          <w:rStyle w:val="hwtze"/>
        </w:rPr>
        <w:t xml:space="preserve"> </w:t>
      </w:r>
      <w:r>
        <w:rPr>
          <w:rStyle w:val="rynqvb"/>
        </w:rPr>
        <w:t>La décision d'envoyer le navire de récupération ne devrait être prise qu'une fois l'épave localisée, et le délai entre sa localisation et le départ du navire devrait être réduit au minimum.</w:t>
      </w:r>
      <w:r>
        <w:rPr>
          <w:rStyle w:val="hwtze"/>
        </w:rPr>
        <w:t xml:space="preserve"> </w:t>
      </w:r>
      <w:r>
        <w:rPr>
          <w:rStyle w:val="rynqvb"/>
        </w:rPr>
        <w:t>Si l'épave n'a pas été localisée pendant la période où les ULB sont censées émettre, il sera nécessaire de procéder à une autre phase de localisation, à l'aide d'un sonar, qui correspondra généralement aux exigences des différents navires.</w:t>
      </w:r>
    </w:p>
    <w:p w14:paraId="4CC35B91" w14:textId="3D7DBDCB" w:rsidR="00633515" w:rsidRDefault="00633515" w:rsidP="00633515">
      <w:pPr>
        <w:jc w:val="both"/>
        <w:rPr>
          <w:rStyle w:val="rynqvb"/>
        </w:rPr>
      </w:pPr>
      <w:r>
        <w:rPr>
          <w:rStyle w:val="rynqvb"/>
        </w:rPr>
        <w:t>2.2.7 En tant qu'entrepreneur principal, il est important d'être conscient des responsabilités partagées qui peuvent avoir été assumées, par exemple en cas de dommages aux pipelines sous-marins ou à d'autres infrastructures pendant l'exploitation.</w:t>
      </w:r>
      <w:r>
        <w:rPr>
          <w:rStyle w:val="hwtze"/>
        </w:rPr>
        <w:t xml:space="preserve"> </w:t>
      </w:r>
      <w:r>
        <w:rPr>
          <w:rStyle w:val="rynqvb"/>
        </w:rPr>
        <w:t>Il est également important de s'assurer que le navire dispose des certifications requises de l'État du pavillon et de la société de classification, par exemple en ce qui concerne ses équipements de sécurité et sa maintenance, la formation et la certification de son équipage, son assurance pollution et ses systèmes de gestion de la santé et de la sécurité.</w:t>
      </w:r>
    </w:p>
    <w:p w14:paraId="49839B47" w14:textId="77777777" w:rsidR="00633515" w:rsidRDefault="00633515" w:rsidP="00633515">
      <w:pPr>
        <w:jc w:val="both"/>
        <w:rPr>
          <w:rStyle w:val="rynqvb"/>
        </w:rPr>
      </w:pPr>
      <w:r>
        <w:rPr>
          <w:rStyle w:val="rynqvb"/>
        </w:rPr>
        <w:t>2.2.8 Le contrat d'affrètement BIMCO2, « Charte-partie à temps pour navires de service offshore » (Supplytime 2005), est un modèle contractuel standard bien connu des armateurs.</w:t>
      </w:r>
      <w:r>
        <w:rPr>
          <w:rStyle w:val="hwtze"/>
        </w:rPr>
        <w:t xml:space="preserve"> </w:t>
      </w:r>
      <w:r>
        <w:rPr>
          <w:rStyle w:val="rynqvb"/>
        </w:rPr>
        <w:t xml:space="preserve">Le règlement des litiges relatifs à ce contrat est soumis à la procédure d'arbitrage prévue et définie à l'article 34, partie II de l'annexe B du contrat. </w:t>
      </w:r>
    </w:p>
    <w:p w14:paraId="30A8A795" w14:textId="19914FBA" w:rsidR="000B0B7A" w:rsidRDefault="000B0B7A" w:rsidP="00633515">
      <w:pPr>
        <w:jc w:val="both"/>
        <w:rPr>
          <w:rStyle w:val="rynqvb"/>
        </w:rPr>
      </w:pPr>
      <w:r>
        <w:rPr>
          <w:rStyle w:val="rynqvb"/>
        </w:rPr>
        <w:t xml:space="preserve">2.2.9 </w:t>
      </w:r>
      <w:r>
        <w:rPr>
          <w:rStyle w:val="rynqvb"/>
        </w:rPr>
        <w:t>Une fois le navire sélectionné et le contrat signé, il est important qu’une bonne relation de travail soit établie et maintenue entre l’équipe d’enquête et le capitaine du navire.</w:t>
      </w:r>
    </w:p>
    <w:p w14:paraId="6EA2E6B5" w14:textId="77777777" w:rsidR="00633515" w:rsidRDefault="00633515" w:rsidP="00633515">
      <w:pPr>
        <w:jc w:val="both"/>
        <w:rPr>
          <w:rStyle w:val="rynqvb"/>
        </w:rPr>
      </w:pPr>
    </w:p>
    <w:p w14:paraId="60C56AE0" w14:textId="77777777" w:rsidR="000B0B7A" w:rsidRPr="000B0B7A" w:rsidRDefault="000B0B7A" w:rsidP="00633515">
      <w:pPr>
        <w:jc w:val="both"/>
        <w:rPr>
          <w:rStyle w:val="rynqvb"/>
          <w:b/>
          <w:bCs/>
          <w:sz w:val="28"/>
          <w:szCs w:val="28"/>
        </w:rPr>
      </w:pPr>
      <w:r w:rsidRPr="000B0B7A">
        <w:rPr>
          <w:rStyle w:val="rynqvb"/>
          <w:b/>
          <w:bCs/>
          <w:sz w:val="28"/>
          <w:szCs w:val="28"/>
        </w:rPr>
        <w:t xml:space="preserve">2.3 Autres équipements spéciaux </w:t>
      </w:r>
    </w:p>
    <w:p w14:paraId="2F3B86F9" w14:textId="648332CD" w:rsidR="000B0B7A" w:rsidRDefault="000B0B7A" w:rsidP="00633515">
      <w:pPr>
        <w:jc w:val="both"/>
        <w:rPr>
          <w:rStyle w:val="rynqvb"/>
        </w:rPr>
      </w:pPr>
      <w:r>
        <w:rPr>
          <w:rStyle w:val="rynqvb"/>
        </w:rPr>
        <w:t xml:space="preserve">2.3.1 La profondeur à laquelle l'épave de l'avion et les enregistreurs de vol sont supposés se trouver sera le principal déterminant des options de récupération. </w:t>
      </w:r>
    </w:p>
    <w:p w14:paraId="2502D092" w14:textId="10A1EE31" w:rsidR="00633515" w:rsidRDefault="000B0B7A" w:rsidP="00633515">
      <w:pPr>
        <w:jc w:val="both"/>
        <w:rPr>
          <w:rStyle w:val="rynqvb"/>
        </w:rPr>
      </w:pPr>
      <w:r>
        <w:rPr>
          <w:rStyle w:val="rynqvb"/>
        </w:rPr>
        <w:t>2.3.2 La plongée à l'air comprimé est possible jusqu'à 40 mètres de profondeur et la plongée à saturation jusqu'à 500 mètres.</w:t>
      </w:r>
      <w:r>
        <w:rPr>
          <w:rStyle w:val="hwtze"/>
        </w:rPr>
        <w:t xml:space="preserve"> </w:t>
      </w:r>
      <w:r>
        <w:rPr>
          <w:rStyle w:val="rynqvb"/>
        </w:rPr>
        <w:t>Cependant, pour les opérations en eaux profondes et prolongées, l'utilisation d'un véhicule télécommandé (ROV) est généralement la meilleure option.</w:t>
      </w:r>
      <w:r>
        <w:rPr>
          <w:rStyle w:val="hwtze"/>
        </w:rPr>
        <w:t xml:space="preserve"> </w:t>
      </w:r>
      <w:r>
        <w:rPr>
          <w:rStyle w:val="rynqvb"/>
        </w:rPr>
        <w:t xml:space="preserve">Ces véhicules </w:t>
      </w:r>
      <w:r>
        <w:rPr>
          <w:rStyle w:val="rynqvb"/>
        </w:rPr>
        <w:lastRenderedPageBreak/>
        <w:t>sont reliés au navire principal par un cordon ombilical transportant l'énergie et des capacités de navigation et d'imagerie. Ils existent sous différentes formes et tailles, et peuvent être équipés d'un ou plusieurs manipulateurs pour travailler sur le site de l'accident.</w:t>
      </w:r>
      <w:r>
        <w:rPr>
          <w:rStyle w:val="hwtze"/>
        </w:rPr>
        <w:t xml:space="preserve"> </w:t>
      </w:r>
      <w:r>
        <w:rPr>
          <w:rStyle w:val="rynqvb"/>
        </w:rPr>
        <w:t>L'utilisation d'un ROV permet à l'ensemble de l'équipe d'enquête de visualiser et d'exploiter en temps réel les images transmises par le ROV au navire principal.</w:t>
      </w:r>
      <w:r>
        <w:rPr>
          <w:rStyle w:val="hwtze"/>
        </w:rPr>
        <w:t xml:space="preserve"> </w:t>
      </w:r>
      <w:r>
        <w:rPr>
          <w:rStyle w:val="rynqvb"/>
        </w:rPr>
        <w:t>Elle facilite également la cartographie du site de l'accident.</w:t>
      </w:r>
    </w:p>
    <w:p w14:paraId="369A7856" w14:textId="6A3976B5" w:rsidR="00633515" w:rsidRDefault="000B0B7A" w:rsidP="007910D3">
      <w:pPr>
        <w:jc w:val="center"/>
        <w:rPr>
          <w:rStyle w:val="rynqvb"/>
        </w:rPr>
      </w:pPr>
      <w:r w:rsidRPr="000B0B7A">
        <w:rPr>
          <w:rStyle w:val="rynqvb"/>
          <w:noProof/>
        </w:rPr>
        <w:drawing>
          <wp:inline distT="0" distB="0" distL="0" distR="0" wp14:anchorId="398BFE7B" wp14:editId="60C7927B">
            <wp:extent cx="1314450" cy="909279"/>
            <wp:effectExtent l="0" t="0" r="0" b="5715"/>
            <wp:docPr id="752552122"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20074" cy="913170"/>
                    </a:xfrm>
                    <a:prstGeom prst="rect">
                      <a:avLst/>
                    </a:prstGeom>
                    <a:noFill/>
                    <a:ln>
                      <a:noFill/>
                    </a:ln>
                  </pic:spPr>
                </pic:pic>
              </a:graphicData>
            </a:graphic>
          </wp:inline>
        </w:drawing>
      </w:r>
    </w:p>
    <w:p w14:paraId="37B0F44B" w14:textId="4043A963" w:rsidR="00633515" w:rsidRDefault="000B0B7A" w:rsidP="00633515">
      <w:pPr>
        <w:jc w:val="both"/>
        <w:rPr>
          <w:rStyle w:val="rynqvb"/>
        </w:rPr>
      </w:pPr>
      <w:r>
        <w:rPr>
          <w:rStyle w:val="rynqvb"/>
        </w:rPr>
        <w:t>2</w:t>
      </w:r>
      <w:r>
        <w:rPr>
          <w:rStyle w:val="rynqvb"/>
        </w:rPr>
        <w:t>.3.3 Une gamme de ROV peut être déployée pour des opérations jusqu'à 6 000 mètres de profondeur, et certains ROV très spécialisés (et rares) peuvent être utilisés en dessous de cette profondeur.</w:t>
      </w:r>
      <w:r>
        <w:rPr>
          <w:rStyle w:val="hwtze"/>
        </w:rPr>
        <w:t xml:space="preserve"> </w:t>
      </w:r>
      <w:r>
        <w:rPr>
          <w:rStyle w:val="rynqvb"/>
        </w:rPr>
        <w:t>Le fournisseur d'un ROV est tenu de spécifier la capacité de positionnement dynamique (par exemple, « DP I » ou « DP II ») requise du navire à partir duquel il sera opéré.</w:t>
      </w:r>
      <w:r>
        <w:rPr>
          <w:rStyle w:val="hwtze"/>
        </w:rPr>
        <w:t xml:space="preserve"> </w:t>
      </w:r>
      <w:r>
        <w:rPr>
          <w:rStyle w:val="rynqvb"/>
        </w:rPr>
        <w:t>Cette capacité est précieuse pour les recherches en mer, car la connaissance de la position exacte du navire, par exemple par rapport à une grille de recherche, est importante et peut fournir une plateforme de travail stable pour des opérations dans des conditions de mer allant jusqu'à Force 7.</w:t>
      </w:r>
    </w:p>
    <w:p w14:paraId="6E57034B" w14:textId="6B2FB095" w:rsidR="00633515" w:rsidRDefault="000B0B7A" w:rsidP="000B0B7A">
      <w:pPr>
        <w:jc w:val="center"/>
        <w:rPr>
          <w:rStyle w:val="rynqvb"/>
        </w:rPr>
      </w:pPr>
      <w:r w:rsidRPr="000B0B7A">
        <w:rPr>
          <w:rStyle w:val="rynqvb"/>
          <w:noProof/>
        </w:rPr>
        <w:drawing>
          <wp:inline distT="0" distB="0" distL="0" distR="0" wp14:anchorId="1EDA69DE" wp14:editId="36E31259">
            <wp:extent cx="2887466" cy="2164080"/>
            <wp:effectExtent l="0" t="0" r="8255" b="7620"/>
            <wp:docPr id="2085175879"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89869" cy="2165881"/>
                    </a:xfrm>
                    <a:prstGeom prst="rect">
                      <a:avLst/>
                    </a:prstGeom>
                    <a:noFill/>
                    <a:ln>
                      <a:noFill/>
                    </a:ln>
                  </pic:spPr>
                </pic:pic>
              </a:graphicData>
            </a:graphic>
          </wp:inline>
        </w:drawing>
      </w:r>
    </w:p>
    <w:p w14:paraId="27493FB3" w14:textId="77777777" w:rsidR="00633515" w:rsidRDefault="00633515" w:rsidP="000B0B7A">
      <w:pPr>
        <w:jc w:val="both"/>
        <w:rPr>
          <w:rStyle w:val="rynqvb"/>
        </w:rPr>
      </w:pPr>
    </w:p>
    <w:p w14:paraId="324C389D" w14:textId="77777777" w:rsidR="000B0B7A" w:rsidRPr="000B0B7A" w:rsidRDefault="000B0B7A" w:rsidP="000B0B7A">
      <w:pPr>
        <w:spacing w:after="0" w:line="240" w:lineRule="auto"/>
        <w:jc w:val="both"/>
        <w:rPr>
          <w:rFonts w:ascii="Times New Roman" w:eastAsia="Times New Roman" w:hAnsi="Times New Roman" w:cs="Times New Roman"/>
          <w:kern w:val="0"/>
          <w:sz w:val="24"/>
          <w:szCs w:val="24"/>
          <w:lang w:eastAsia="fr-FR"/>
          <w14:ligatures w14:val="none"/>
        </w:rPr>
      </w:pPr>
      <w:r w:rsidRPr="000B0B7A">
        <w:rPr>
          <w:rFonts w:ascii="Times New Roman" w:eastAsia="Times New Roman" w:hAnsi="Times New Roman" w:cs="Times New Roman"/>
          <w:kern w:val="0"/>
          <w:sz w:val="24"/>
          <w:szCs w:val="24"/>
          <w:lang w:eastAsia="fr-FR"/>
          <w14:ligatures w14:val="none"/>
        </w:rPr>
        <w:t>2.3.4 Un autre type de navire sans équipage disponible pour les opérations sous-marines est le véhicule sous-marin autonome (AUV), qui est un outil de recherche (plutôt que de récupération). Les AUV ne sont pas reliés à un navire parent, mais sont alimentés par batterie et programmés pour suivre un programme de recherche défini, à l'issue duquel ils remontent à la surface et transmettent leurs résultats au centre de contrôle. Ce dernier peut être installé à bord d'un navire ou dans un véhicule routier stationné au bord d'un lac ou d'une rivière. La préparation et la mise à l'eau d'un AUV ne prennent généralement que quelques heures et son équipe de contrôle peut ne compter que trois ou quatre personnes. Les AUV les plus sophistiqués sont dotés de fonctions de vol stationnaire et d'évitement automatique d'obstacles. Ils peuvent être équipés de plusieurs capteurs, notamment un sonar latéral et des caméras.</w:t>
      </w:r>
    </w:p>
    <w:p w14:paraId="26364403" w14:textId="77777777" w:rsidR="00633515" w:rsidRDefault="00633515" w:rsidP="00633515">
      <w:pPr>
        <w:spacing w:after="0" w:line="240" w:lineRule="auto"/>
        <w:rPr>
          <w:rFonts w:ascii="Times New Roman" w:eastAsia="Times New Roman" w:hAnsi="Times New Roman" w:cs="Times New Roman"/>
          <w:kern w:val="0"/>
          <w:sz w:val="24"/>
          <w:szCs w:val="24"/>
          <w:lang w:eastAsia="fr-FR"/>
          <w14:ligatures w14:val="none"/>
        </w:rPr>
      </w:pPr>
    </w:p>
    <w:p w14:paraId="4EBF0272" w14:textId="2FF24374" w:rsidR="00633515" w:rsidRDefault="000B0B7A" w:rsidP="000B0B7A">
      <w:pPr>
        <w:jc w:val="center"/>
        <w:rPr>
          <w:rStyle w:val="rynqvb"/>
        </w:rPr>
      </w:pPr>
      <w:r w:rsidRPr="000B0B7A">
        <w:rPr>
          <w:rStyle w:val="rynqvb"/>
          <w:noProof/>
        </w:rPr>
        <w:lastRenderedPageBreak/>
        <w:drawing>
          <wp:inline distT="0" distB="0" distL="0" distR="0" wp14:anchorId="61E0F4E1" wp14:editId="5F4D34DF">
            <wp:extent cx="4290060" cy="1668780"/>
            <wp:effectExtent l="0" t="0" r="0" b="7620"/>
            <wp:docPr id="1310297264"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90060" cy="1668780"/>
                    </a:xfrm>
                    <a:prstGeom prst="rect">
                      <a:avLst/>
                    </a:prstGeom>
                    <a:noFill/>
                    <a:ln>
                      <a:noFill/>
                    </a:ln>
                  </pic:spPr>
                </pic:pic>
              </a:graphicData>
            </a:graphic>
          </wp:inline>
        </w:drawing>
      </w:r>
    </w:p>
    <w:p w14:paraId="3F94D53F" w14:textId="77777777" w:rsidR="00633515" w:rsidRDefault="00633515" w:rsidP="00633515">
      <w:pPr>
        <w:jc w:val="both"/>
        <w:rPr>
          <w:rStyle w:val="rynqvb"/>
        </w:rPr>
      </w:pPr>
    </w:p>
    <w:p w14:paraId="5A56B513" w14:textId="77777777" w:rsidR="000B0B7A" w:rsidRPr="000B0B7A" w:rsidRDefault="000B0B7A" w:rsidP="00EE6417">
      <w:pPr>
        <w:jc w:val="both"/>
        <w:rPr>
          <w:rStyle w:val="rynqvb"/>
          <w:b/>
          <w:bCs/>
          <w:sz w:val="28"/>
          <w:szCs w:val="28"/>
        </w:rPr>
      </w:pPr>
      <w:r w:rsidRPr="000B0B7A">
        <w:rPr>
          <w:rStyle w:val="rynqvb"/>
          <w:b/>
          <w:bCs/>
          <w:sz w:val="28"/>
          <w:szCs w:val="28"/>
        </w:rPr>
        <w:t xml:space="preserve">3 Défis et priorités sur place </w:t>
      </w:r>
    </w:p>
    <w:p w14:paraId="41402EB9" w14:textId="77777777" w:rsidR="000B0B7A" w:rsidRPr="000B0B7A" w:rsidRDefault="000B0B7A" w:rsidP="00EE6417">
      <w:pPr>
        <w:jc w:val="both"/>
        <w:rPr>
          <w:rStyle w:val="rynqvb"/>
          <w:b/>
          <w:bCs/>
          <w:sz w:val="28"/>
          <w:szCs w:val="28"/>
        </w:rPr>
      </w:pPr>
      <w:r w:rsidRPr="000B0B7A">
        <w:rPr>
          <w:rStyle w:val="rynqvb"/>
          <w:b/>
          <w:bCs/>
          <w:sz w:val="28"/>
          <w:szCs w:val="28"/>
        </w:rPr>
        <w:t xml:space="preserve">3.1 Travail en mer </w:t>
      </w:r>
    </w:p>
    <w:p w14:paraId="6B3222F9" w14:textId="77777777" w:rsidR="000B0B7A" w:rsidRDefault="000B0B7A" w:rsidP="00EE6417">
      <w:pPr>
        <w:jc w:val="both"/>
        <w:rPr>
          <w:rStyle w:val="rynqvb"/>
        </w:rPr>
      </w:pPr>
      <w:r>
        <w:rPr>
          <w:rStyle w:val="rynqvb"/>
        </w:rPr>
        <w:t xml:space="preserve">3.1.1 Certaines difficultés des opérations en mer découlent du temps pendant lequel l'équipe d'enquête peut être amenée à rester hors de contact physique avec la côte. Pour tout long voyage, il est nécessaire de bien réfléchir à l'avance (même sous pression) à tous les types d'équipements nécessaires et au personnel spécialisé requis à bord. </w:t>
      </w:r>
    </w:p>
    <w:p w14:paraId="165B1C5B" w14:textId="564D368A" w:rsidR="00EE6417" w:rsidRDefault="000B0B7A" w:rsidP="00EE6417">
      <w:pPr>
        <w:jc w:val="both"/>
        <w:rPr>
          <w:rStyle w:val="rynqvb"/>
        </w:rPr>
      </w:pPr>
      <w:r>
        <w:rPr>
          <w:rStyle w:val="rynqvb"/>
        </w:rPr>
        <w:t>3.1.2 Certains équipements transportés sur le lieu de l'accident (tels que les transpondeurs et les hydrophones portatifs) s'avéreront inutilisables. Il est donc judicieux d'intégrer une redondance au matériel transporté et de disposer d'une capacité de réparation à bord. Pour les opérations en mer, un équipement plus robuste qu'il n'y paraît à première vue est généralement nécessaire.</w:t>
      </w:r>
    </w:p>
    <w:p w14:paraId="0ECF9194" w14:textId="77777777" w:rsidR="000B0B7A" w:rsidRDefault="000B0B7A" w:rsidP="00EE6417">
      <w:pPr>
        <w:jc w:val="both"/>
        <w:rPr>
          <w:rStyle w:val="rynqvb"/>
        </w:rPr>
      </w:pPr>
      <w:r>
        <w:rPr>
          <w:rStyle w:val="rynqvb"/>
        </w:rPr>
        <w:t xml:space="preserve">3.1.3 </w:t>
      </w:r>
      <w:r>
        <w:rPr>
          <w:rStyle w:val="rynqvb"/>
        </w:rPr>
        <w:t>Sur le lieu de l'accident, les manœuvres simples (traverser la zone de recherche, envoyer et récupérer les petites embarcations et les plongeurs) prennent beaucoup plus de temps que prévu par les personnes habituées au milieu aéronautique.</w:t>
      </w:r>
      <w:r>
        <w:rPr>
          <w:rStyle w:val="hwtze"/>
        </w:rPr>
        <w:t xml:space="preserve"> </w:t>
      </w:r>
      <w:r>
        <w:rPr>
          <w:rStyle w:val="rynqvb"/>
        </w:rPr>
        <w:t xml:space="preserve">L'équipe d'enquête doit s'y préparer. </w:t>
      </w:r>
    </w:p>
    <w:p w14:paraId="79DC70B1" w14:textId="0FAA2EBC" w:rsidR="000B0B7A" w:rsidRDefault="000B0B7A" w:rsidP="00EE6417">
      <w:pPr>
        <w:jc w:val="both"/>
        <w:rPr>
          <w:rStyle w:val="rynqvb"/>
        </w:rPr>
      </w:pPr>
      <w:r>
        <w:rPr>
          <w:rStyle w:val="rynqvb"/>
        </w:rPr>
        <w:t>3.1.4 Les navires de travail présentent des problèmes de santé et de sécurité particuliers pour ceux qui ne les connaissent pas.</w:t>
      </w:r>
      <w:r>
        <w:rPr>
          <w:rStyle w:val="hwtze"/>
        </w:rPr>
        <w:t xml:space="preserve"> </w:t>
      </w:r>
      <w:r>
        <w:rPr>
          <w:rStyle w:val="rynqvb"/>
        </w:rPr>
        <w:t>L'équipe d'enquête doit procéder à une évaluation des risques liés à l'environnement de travail, en consultation avec le responsable de la santé et de la sécurité du navire, y compris la possibilité de mal de mer, en envisageant des médicaments sûrs et appropriés.</w:t>
      </w:r>
    </w:p>
    <w:p w14:paraId="35B72975" w14:textId="77777777" w:rsidR="000B0B7A" w:rsidRDefault="000B0B7A" w:rsidP="00EE6417">
      <w:pPr>
        <w:jc w:val="both"/>
        <w:rPr>
          <w:rStyle w:val="hwtze"/>
        </w:rPr>
      </w:pPr>
      <w:r>
        <w:rPr>
          <w:rStyle w:val="rynqvb"/>
        </w:rPr>
        <w:t>3.1.5 Le bruit et les mouvements du navire, les espaces confinés et imparfaitement propres dont dispose probablement l'équipe d'enquête, la présence d'eau de mer et d'humidité, sont autant d'éléments qui créent un environnement de travail hostile aux personnes et aux équipements électroniques sensibles tels que les caméras et les ordinateurs.</w:t>
      </w:r>
      <w:r>
        <w:rPr>
          <w:rStyle w:val="hwtze"/>
        </w:rPr>
        <w:t xml:space="preserve"> </w:t>
      </w:r>
    </w:p>
    <w:p w14:paraId="7CB2E5AE" w14:textId="4C10A5D8" w:rsidR="000B0B7A" w:rsidRDefault="000B0B7A" w:rsidP="00EE6417">
      <w:pPr>
        <w:jc w:val="both"/>
        <w:rPr>
          <w:rStyle w:val="rynqvb"/>
        </w:rPr>
      </w:pPr>
      <w:r>
        <w:rPr>
          <w:rStyle w:val="rynqvb"/>
        </w:rPr>
        <w:t>3.1.6 Un problème particulier lors des opérations en mer survient lorsqu'un gros débris est soulevé de la mer, ce qui invalide le principe d'Archimède.</w:t>
      </w:r>
      <w:r>
        <w:rPr>
          <w:rStyle w:val="hwtze"/>
        </w:rPr>
        <w:t xml:space="preserve"> </w:t>
      </w:r>
      <w:r>
        <w:rPr>
          <w:rStyle w:val="rynqvb"/>
        </w:rPr>
        <w:t>Cela peut entraîner une augmentation soudaine et dangereuse de la charge, susceptible d'endommager l'épave et de perdre des preuves.</w:t>
      </w:r>
      <w:r>
        <w:rPr>
          <w:rStyle w:val="hwtze"/>
        </w:rPr>
        <w:t xml:space="preserve"> </w:t>
      </w:r>
      <w:r>
        <w:rPr>
          <w:rStyle w:val="rynqvb"/>
        </w:rPr>
        <w:t>Il peut être nécessaire de contrer ce phénomène.</w:t>
      </w:r>
    </w:p>
    <w:p w14:paraId="75A122AE" w14:textId="4E2C1B51" w:rsidR="000B0B7A" w:rsidRDefault="000B0B7A" w:rsidP="000B0B7A">
      <w:pPr>
        <w:jc w:val="center"/>
        <w:rPr>
          <w:rStyle w:val="rynqvb"/>
        </w:rPr>
      </w:pPr>
      <w:r w:rsidRPr="000B0B7A">
        <w:rPr>
          <w:rStyle w:val="rynqvb"/>
          <w:noProof/>
        </w:rPr>
        <w:lastRenderedPageBreak/>
        <w:drawing>
          <wp:inline distT="0" distB="0" distL="0" distR="0" wp14:anchorId="4F9308EC" wp14:editId="6CA1B5DD">
            <wp:extent cx="2926080" cy="1919150"/>
            <wp:effectExtent l="0" t="0" r="7620" b="5080"/>
            <wp:docPr id="1135107839"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4114" cy="1924419"/>
                    </a:xfrm>
                    <a:prstGeom prst="rect">
                      <a:avLst/>
                    </a:prstGeom>
                    <a:noFill/>
                    <a:ln>
                      <a:noFill/>
                    </a:ln>
                  </pic:spPr>
                </pic:pic>
              </a:graphicData>
            </a:graphic>
          </wp:inline>
        </w:drawing>
      </w:r>
    </w:p>
    <w:p w14:paraId="070468C0" w14:textId="5CCB33A1" w:rsidR="000B0B7A" w:rsidRDefault="00325783" w:rsidP="00325783">
      <w:pPr>
        <w:jc w:val="both"/>
        <w:rPr>
          <w:rStyle w:val="rynqvb"/>
        </w:rPr>
      </w:pPr>
      <w:r>
        <w:rPr>
          <w:rStyle w:val="rynqvb"/>
        </w:rPr>
        <w:t>Pour limiter ce risque, il est nécessaire d'installer des ancrages supplémentaires à l'épave (afin de supporter les charges supplémentaires aux points clés) et d'utiliser des filets.</w:t>
      </w:r>
      <w:r w:rsidRPr="00325783">
        <w:rPr>
          <w:rStyle w:val="rynqvb"/>
        </w:rPr>
        <w:t xml:space="preserve"> </w:t>
      </w:r>
      <w:r>
        <w:rPr>
          <w:rStyle w:val="rynqvb"/>
        </w:rPr>
        <w:t>L'utilisation d'une grue à compensation de houle active peut contribuer à atténuer les variations de charge sur la ligne de levage. L'état de l'épave, ainsi que tout dommage subi pendant le levage, doivent être enregistrés avant toute tentative de récupération.</w:t>
      </w:r>
    </w:p>
    <w:p w14:paraId="40090224" w14:textId="77777777" w:rsidR="00325783" w:rsidRPr="00325783" w:rsidRDefault="00325783" w:rsidP="00325783">
      <w:pPr>
        <w:jc w:val="both"/>
        <w:rPr>
          <w:rStyle w:val="rynqvb"/>
          <w:b/>
          <w:bCs/>
          <w:sz w:val="28"/>
          <w:szCs w:val="28"/>
        </w:rPr>
      </w:pPr>
      <w:r w:rsidRPr="00325783">
        <w:rPr>
          <w:rStyle w:val="rynqvb"/>
          <w:b/>
          <w:bCs/>
          <w:sz w:val="28"/>
          <w:szCs w:val="28"/>
        </w:rPr>
        <w:t xml:space="preserve">3.2 Localisation </w:t>
      </w:r>
    </w:p>
    <w:p w14:paraId="0EAEEC75" w14:textId="77777777" w:rsidR="00325783" w:rsidRDefault="00325783" w:rsidP="00325783">
      <w:pPr>
        <w:jc w:val="both"/>
        <w:rPr>
          <w:rStyle w:val="rynqvb"/>
        </w:rPr>
      </w:pPr>
      <w:r>
        <w:rPr>
          <w:rStyle w:val="rynqvb"/>
        </w:rPr>
        <w:t>3.2.1 Une balise de localisation sous-marine (ULB) installée sur l'enregistreur de vol d'un aéronef est déclenchée par immersion dans l'eau.</w:t>
      </w:r>
      <w:r>
        <w:rPr>
          <w:rStyle w:val="hwtze"/>
        </w:rPr>
        <w:t xml:space="preserve"> </w:t>
      </w:r>
      <w:r>
        <w:rPr>
          <w:rStyle w:val="rynqvb"/>
        </w:rPr>
        <w:t>Elle émet une impulsion ultrasonore de 10 millisecondes, à 37,5 kHz et à intervalles d'une seconde.</w:t>
      </w:r>
      <w:r>
        <w:rPr>
          <w:rStyle w:val="hwtze"/>
        </w:rPr>
        <w:t xml:space="preserve"> </w:t>
      </w:r>
      <w:r>
        <w:rPr>
          <w:rStyle w:val="rynqvb"/>
        </w:rPr>
        <w:t>L'OACI exige actuellement que les ULB (« pingers ») émettent pendant au moins 30 jours.</w:t>
      </w:r>
      <w:r>
        <w:rPr>
          <w:rStyle w:val="hwtze"/>
        </w:rPr>
        <w:t xml:space="preserve"> </w:t>
      </w:r>
      <w:r>
        <w:rPr>
          <w:rStyle w:val="rynqvb"/>
        </w:rPr>
        <w:t>Leur portée audible nominale est de 2 à 5 km, selon des paramètres tels que la profondeur, la température de l'eau et l'état de la mer.3</w:t>
      </w:r>
    </w:p>
    <w:p w14:paraId="731D8014" w14:textId="67B1F4FB" w:rsidR="000B0B7A" w:rsidRDefault="00325783" w:rsidP="00325783">
      <w:pPr>
        <w:jc w:val="both"/>
        <w:rPr>
          <w:rStyle w:val="rynqvb"/>
        </w:rPr>
      </w:pPr>
      <w:r>
        <w:rPr>
          <w:rStyle w:val="rynqvb"/>
        </w:rPr>
        <w:t>3.2.2 Lors d'une opération de recherche, il est important de déployer les ressources les plus efficaces le plus tôt possible, afin de minimiser le risque d'une recherche prolongée et d'une enquête encore plus coûteuse.</w:t>
      </w:r>
      <w:r>
        <w:rPr>
          <w:rStyle w:val="hwtze"/>
        </w:rPr>
        <w:t xml:space="preserve"> </w:t>
      </w:r>
      <w:r>
        <w:rPr>
          <w:rStyle w:val="rynqvb"/>
        </w:rPr>
        <w:t>Il est préférable d'entreprendre d'abord un balayage acoustique passif (alors que les pingers sont censés émettre encore), suivi d'une recherche active au sonar latéral, effectuée sous une pression temporelle moindre.</w:t>
      </w:r>
    </w:p>
    <w:p w14:paraId="19ACA9B0" w14:textId="77777777" w:rsidR="00325783" w:rsidRDefault="00325783" w:rsidP="00325783">
      <w:pPr>
        <w:jc w:val="both"/>
        <w:rPr>
          <w:rStyle w:val="rynqvb"/>
        </w:rPr>
      </w:pPr>
      <w:r>
        <w:rPr>
          <w:rStyle w:val="rynqvb"/>
        </w:rPr>
        <w:t>3.2.3 Il est conseillé de commencer le plus tôt possible, à l'aide d'une petite embarcation, pour localiser le ou les émetteurs, en se basant sur un examen préliminaire des données de « perte », telles que le radar et le Système de communication, d'adressage et de compte rendu des aéronefs (ACARS). La ​​zone de recherche pourra être affinée ultérieurement, à mesure que davantage de données seront disponibles.</w:t>
      </w:r>
      <w:r>
        <w:rPr>
          <w:rStyle w:val="hwtze"/>
        </w:rPr>
        <w:t xml:space="preserve"> </w:t>
      </w:r>
      <w:r>
        <w:rPr>
          <w:rStyle w:val="rynqvb"/>
        </w:rPr>
        <w:t xml:space="preserve">La recherche sonar ne débutera qu'après la fin de la période d'émission de l'émetteur. </w:t>
      </w:r>
    </w:p>
    <w:p w14:paraId="5F2418DB" w14:textId="680B6EF5" w:rsidR="00325783" w:rsidRDefault="00325783" w:rsidP="00325783">
      <w:pPr>
        <w:jc w:val="both"/>
        <w:rPr>
          <w:rStyle w:val="rynqvb"/>
        </w:rPr>
      </w:pPr>
      <w:r>
        <w:rPr>
          <w:rStyle w:val="rynqvb"/>
        </w:rPr>
        <w:t>3.2.4 La fréquence de 37,5 kHz est hors du spectre audible pour l'oreille humaine. Les hydrophones acoustiques « traduisent » le signal dans le spectre audible, un processus qui ne reproduit pas exactement l'émission originale, qui peut être « polluée » par le milieu aquatique et donc mal traitée.</w:t>
      </w:r>
    </w:p>
    <w:p w14:paraId="7EE63B9F" w14:textId="60B1940B" w:rsidR="00325783" w:rsidRDefault="00325783" w:rsidP="00325783">
      <w:pPr>
        <w:jc w:val="both"/>
        <w:rPr>
          <w:rStyle w:val="rynqvb"/>
        </w:rPr>
      </w:pPr>
      <w:r>
        <w:rPr>
          <w:rStyle w:val="rynqvb"/>
        </w:rPr>
        <w:t>3.2.5 Les signaux ULB peuvent être captés à l'aide d'hydrophones acoustiques déployés individuellement, en tant qu'unité portative ou en réseau (par exemple, dans un boîtier tubulaire flexible, remorqué derrière et sous un navire). La ​​numérisation du signal ULB par un logiciel embarqué permet à un ordinateur, plutôt qu'à un humain, d'effectuer l'écoute de l'ULB.</w:t>
      </w:r>
    </w:p>
    <w:p w14:paraId="3173CB96" w14:textId="77777777" w:rsidR="00325783" w:rsidRDefault="00325783" w:rsidP="00325783">
      <w:pPr>
        <w:jc w:val="both"/>
        <w:rPr>
          <w:rStyle w:val="rynqvb"/>
        </w:rPr>
      </w:pPr>
    </w:p>
    <w:p w14:paraId="76E0A735" w14:textId="77777777" w:rsidR="00325783" w:rsidRDefault="00325783" w:rsidP="00325783">
      <w:pPr>
        <w:jc w:val="both"/>
        <w:rPr>
          <w:rStyle w:val="rynqvb"/>
        </w:rPr>
      </w:pPr>
    </w:p>
    <w:p w14:paraId="598CB679" w14:textId="77777777" w:rsidR="00325783" w:rsidRDefault="00325783" w:rsidP="00325783">
      <w:pPr>
        <w:jc w:val="both"/>
        <w:rPr>
          <w:rStyle w:val="rynqvb"/>
        </w:rPr>
      </w:pPr>
    </w:p>
    <w:p w14:paraId="0AE65484" w14:textId="25479BC8" w:rsidR="00325783" w:rsidRDefault="00325783" w:rsidP="00325783">
      <w:pPr>
        <w:jc w:val="both"/>
        <w:rPr>
          <w:rStyle w:val="rynqvb"/>
        </w:rPr>
      </w:pPr>
      <w:r>
        <w:rPr>
          <w:rStyle w:val="rynqvb"/>
        </w:rPr>
        <w:lastRenderedPageBreak/>
        <w:t xml:space="preserve">3.2.6 </w:t>
      </w:r>
      <w:r>
        <w:rPr>
          <w:rStyle w:val="rynqvb"/>
        </w:rPr>
        <w:t>Un tel réseau peut être déployé avec succès même dans des conditions de mer difficiles.</w:t>
      </w:r>
      <w:r>
        <w:rPr>
          <w:rStyle w:val="hwtze"/>
        </w:rPr>
        <w:t xml:space="preserve"> </w:t>
      </w:r>
      <w:r>
        <w:rPr>
          <w:rStyle w:val="rynqvb"/>
        </w:rPr>
        <w:t>Cependant, en eaux peu profondes, le niveau de bruit de fond peut faire en sorte que le pic de signal, perçu lors de la détection du ping, soit discret, voire manqué.</w:t>
      </w:r>
      <w:r>
        <w:rPr>
          <w:rStyle w:val="hwtze"/>
        </w:rPr>
        <w:t xml:space="preserve"> </w:t>
      </w:r>
      <w:r>
        <w:rPr>
          <w:rStyle w:val="rynqvb"/>
        </w:rPr>
        <w:t>Avec des signaux aussi faibles, des difficultés peuvent également survenir lorsque les sons émis par l'environnement biologique (par exemple, les baleines) perturbent les appareils acoustiques.</w:t>
      </w:r>
      <w:r>
        <w:rPr>
          <w:rStyle w:val="hwtze"/>
        </w:rPr>
        <w:t xml:space="preserve"> </w:t>
      </w:r>
      <w:r>
        <w:rPr>
          <w:rStyle w:val="rynqvb"/>
        </w:rPr>
        <w:t>Les émissions sonores des cétacés se présentent généralement sous la forme de « sifflements » rapides sur un large spectre de fréquences, qui peuvent parfois être perçus comme un bref signal d'alarme régulier, après avoir été échantillonnés et traités par les appareils acoustiques.</w:t>
      </w:r>
    </w:p>
    <w:p w14:paraId="19F5542B" w14:textId="22ED1AB7" w:rsidR="00325783" w:rsidRDefault="00325783" w:rsidP="00325783">
      <w:pPr>
        <w:rPr>
          <w:rStyle w:val="rynqvb"/>
        </w:rPr>
      </w:pPr>
      <w:r w:rsidRPr="00325783">
        <w:rPr>
          <w:rStyle w:val="rynqvb"/>
          <w:noProof/>
        </w:rPr>
        <w:drawing>
          <wp:inline distT="0" distB="0" distL="0" distR="0" wp14:anchorId="5F13AA1E" wp14:editId="4AB0E7E0">
            <wp:extent cx="2476500" cy="1613232"/>
            <wp:effectExtent l="0" t="0" r="0" b="6350"/>
            <wp:docPr id="178842557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82009" cy="1616821"/>
                    </a:xfrm>
                    <a:prstGeom prst="rect">
                      <a:avLst/>
                    </a:prstGeom>
                    <a:noFill/>
                    <a:ln>
                      <a:noFill/>
                    </a:ln>
                  </pic:spPr>
                </pic:pic>
              </a:graphicData>
            </a:graphic>
          </wp:inline>
        </w:drawing>
      </w:r>
      <w:r w:rsidRPr="00325783">
        <w:rPr>
          <w:rStyle w:val="rynqvb"/>
          <w:noProof/>
        </w:rPr>
        <w:drawing>
          <wp:inline distT="0" distB="0" distL="0" distR="0" wp14:anchorId="7B954C59" wp14:editId="6189DD88">
            <wp:extent cx="2481391" cy="1600200"/>
            <wp:effectExtent l="0" t="0" r="0" b="0"/>
            <wp:docPr id="139342336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90796" cy="1606265"/>
                    </a:xfrm>
                    <a:prstGeom prst="rect">
                      <a:avLst/>
                    </a:prstGeom>
                    <a:noFill/>
                    <a:ln>
                      <a:noFill/>
                    </a:ln>
                  </pic:spPr>
                </pic:pic>
              </a:graphicData>
            </a:graphic>
          </wp:inline>
        </w:drawing>
      </w:r>
    </w:p>
    <w:p w14:paraId="08EE96F8" w14:textId="0034D0DB" w:rsidR="00325783" w:rsidRDefault="00325783" w:rsidP="00325783">
      <w:pPr>
        <w:jc w:val="both"/>
        <w:rPr>
          <w:rStyle w:val="rynqvb"/>
        </w:rPr>
      </w:pPr>
      <w:r>
        <w:rPr>
          <w:rStyle w:val="rynqvb"/>
        </w:rPr>
        <w:t xml:space="preserve">3.2.7 </w:t>
      </w:r>
      <w:r>
        <w:rPr>
          <w:rStyle w:val="rynqvb"/>
        </w:rPr>
        <w:t>Le remorquage d'un réseau d'hydrophones à une vitesse de 4 nœuds sur une grille de recherche composée de trajectoires parallèles espacées d'un mille nautique permettra de parcourir quarante milles carrés de mer en une dizaine d'heures.</w:t>
      </w:r>
      <w:r>
        <w:rPr>
          <w:rStyle w:val="hwtze"/>
        </w:rPr>
        <w:t xml:space="preserve"> </w:t>
      </w:r>
      <w:r>
        <w:rPr>
          <w:rStyle w:val="rynqvb"/>
        </w:rPr>
        <w:t xml:space="preserve">L'utilisation du pilote automatique du navire (le cas échéant) tout en suivant la grille de recherche est précieuse pour contrer les effets des vents et courants traversiers forts. De forts courants peuvent également entraîner la dérive des épaves et des enregistreurs. </w:t>
      </w:r>
    </w:p>
    <w:p w14:paraId="774AFD0D" w14:textId="46AD7F04" w:rsidR="00325783" w:rsidRDefault="00325783" w:rsidP="00325783">
      <w:pPr>
        <w:jc w:val="both"/>
        <w:rPr>
          <w:rStyle w:val="rynqvb"/>
        </w:rPr>
      </w:pPr>
      <w:r>
        <w:rPr>
          <w:rStyle w:val="rynqvb"/>
        </w:rPr>
        <w:t>3.2.8 D'autres systèmes de captation et de localisation des signaux ULB peuvent impliquer l'immersion répétée d'un détecteur sous la thermocline saisonnière (qui sépare la couche d'eau mixte bruyante de surface des eaux calmes et relativement calmes plus profondes), à différents endroits, afin de générer un point de référence triangulé, ou le déploiement de bouées d'écoute acoustique équipées de GPS et de radio UHF.</w:t>
      </w:r>
    </w:p>
    <w:p w14:paraId="11DE7D25" w14:textId="1BFE5774" w:rsidR="00325783" w:rsidRDefault="00325783" w:rsidP="00325783">
      <w:pPr>
        <w:jc w:val="center"/>
        <w:rPr>
          <w:rStyle w:val="rynqvb"/>
        </w:rPr>
      </w:pPr>
      <w:r w:rsidRPr="00325783">
        <w:rPr>
          <w:rStyle w:val="rynqvb"/>
          <w:noProof/>
        </w:rPr>
        <w:drawing>
          <wp:inline distT="0" distB="0" distL="0" distR="0" wp14:anchorId="4F11D0F8" wp14:editId="5688AC81">
            <wp:extent cx="2377440" cy="1770190"/>
            <wp:effectExtent l="0" t="0" r="3810" b="1905"/>
            <wp:docPr id="2143170952"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391748" cy="1780844"/>
                    </a:xfrm>
                    <a:prstGeom prst="rect">
                      <a:avLst/>
                    </a:prstGeom>
                    <a:noFill/>
                    <a:ln>
                      <a:noFill/>
                    </a:ln>
                  </pic:spPr>
                </pic:pic>
              </a:graphicData>
            </a:graphic>
          </wp:inline>
        </w:drawing>
      </w:r>
    </w:p>
    <w:p w14:paraId="6C3C076D" w14:textId="77777777" w:rsidR="00325783" w:rsidRDefault="00325783" w:rsidP="00325783">
      <w:pPr>
        <w:jc w:val="center"/>
        <w:rPr>
          <w:rStyle w:val="rynqvb"/>
        </w:rPr>
      </w:pPr>
    </w:p>
    <w:p w14:paraId="0289B7A1" w14:textId="77777777" w:rsidR="001E0C45" w:rsidRDefault="001E0C45" w:rsidP="001E0C45">
      <w:pPr>
        <w:spacing w:after="0"/>
        <w:jc w:val="both"/>
        <w:rPr>
          <w:rStyle w:val="rynqvb"/>
        </w:rPr>
      </w:pPr>
      <w:r>
        <w:rPr>
          <w:rStyle w:val="rynqvb"/>
        </w:rPr>
        <w:t xml:space="preserve">3.2.9 </w:t>
      </w:r>
      <w:r>
        <w:rPr>
          <w:rStyle w:val="rynqvb"/>
        </w:rPr>
        <w:t>Les sous-marins militaires, s'ils ne sont pas équipés et pilotés par des personnes formées à la recherche de signaux à 37,5 kHz, ne se sont pas révélés utiles.</w:t>
      </w:r>
      <w:r>
        <w:rPr>
          <w:rStyle w:val="hwtze"/>
        </w:rPr>
        <w:t xml:space="preserve"> </w:t>
      </w:r>
      <w:r>
        <w:rPr>
          <w:rStyle w:val="rynqvb"/>
        </w:rPr>
        <w:t>En revanche, si l'aéronef recherché est équipé d'ULB à basse fréquence, comme ceux fonctionnant à 8,8 kHz, la situation est différente, car ceux-ci peuvent être captés par de nombreux moyens militaires – souvent les premiers sur place – qu'il s'agisse de navires de surface ou de sous-marins.</w:t>
      </w:r>
      <w:r>
        <w:rPr>
          <w:rStyle w:val="hwtze"/>
        </w:rPr>
        <w:t xml:space="preserve"> </w:t>
      </w:r>
      <w:r>
        <w:rPr>
          <w:rStyle w:val="rynqvb"/>
        </w:rPr>
        <w:t>La portée audible nominale d'un ULB émettant à 8,8 kHz</w:t>
      </w:r>
      <w:r>
        <w:rPr>
          <w:rStyle w:val="rynqvb"/>
        </w:rPr>
        <w:t xml:space="preserve"> </w:t>
      </w:r>
      <w:r>
        <w:rPr>
          <w:rStyle w:val="rynqvb"/>
        </w:rPr>
        <w:t xml:space="preserve">peut dépasser 10 kilomètres. </w:t>
      </w:r>
    </w:p>
    <w:p w14:paraId="0BE34ACC" w14:textId="6A776C7C" w:rsidR="00325783" w:rsidRDefault="001E0C45" w:rsidP="001E0C45">
      <w:pPr>
        <w:spacing w:after="0"/>
        <w:jc w:val="both"/>
        <w:rPr>
          <w:rStyle w:val="rynqvb"/>
        </w:rPr>
      </w:pPr>
      <w:r>
        <w:rPr>
          <w:rStyle w:val="rynqvb"/>
        </w:rPr>
        <w:lastRenderedPageBreak/>
        <w:br/>
      </w:r>
      <w:r>
        <w:rPr>
          <w:rStyle w:val="rynqvb"/>
        </w:rPr>
        <w:t>3.2.10 Pour les recherches en eaux très peu profondes et avec une visibilité réduite, par exemple sur une rivière ou un lac, le dragage par grappin par des navires de surface et l'utilisation de détecteurs de métaux montés sur des embarcations pneumatiques sont des options.</w:t>
      </w:r>
    </w:p>
    <w:p w14:paraId="5DE2D0E1" w14:textId="77777777" w:rsidR="00325783" w:rsidRDefault="00325783" w:rsidP="007910D3">
      <w:pPr>
        <w:spacing w:after="0"/>
        <w:jc w:val="both"/>
        <w:rPr>
          <w:rStyle w:val="rynqvb"/>
        </w:rPr>
      </w:pPr>
    </w:p>
    <w:p w14:paraId="13676966" w14:textId="77777777" w:rsidR="007910D3" w:rsidRPr="007910D3" w:rsidRDefault="007910D3" w:rsidP="007910D3">
      <w:pPr>
        <w:jc w:val="both"/>
        <w:rPr>
          <w:rStyle w:val="rynqvb"/>
          <w:b/>
          <w:bCs/>
          <w:sz w:val="28"/>
          <w:szCs w:val="28"/>
        </w:rPr>
      </w:pPr>
      <w:r w:rsidRPr="007910D3">
        <w:rPr>
          <w:rStyle w:val="rynqvb"/>
          <w:b/>
          <w:bCs/>
          <w:sz w:val="28"/>
          <w:szCs w:val="28"/>
        </w:rPr>
        <w:t xml:space="preserve">3.3 Que récupérer ? </w:t>
      </w:r>
    </w:p>
    <w:p w14:paraId="07F9E99E" w14:textId="77777777" w:rsidR="007910D3" w:rsidRDefault="007910D3" w:rsidP="00380AB8">
      <w:pPr>
        <w:spacing w:after="0"/>
        <w:jc w:val="both"/>
        <w:rPr>
          <w:rStyle w:val="rynqvb"/>
        </w:rPr>
      </w:pPr>
      <w:r>
        <w:rPr>
          <w:rStyle w:val="rynqvb"/>
        </w:rPr>
        <w:t>3.3.1 Les cibles prioritaires de l'équipe d'enquête lors de la phase de récupération doivent être les enregistreurs de vol, les débris/pièces d'aéronef (y compris les composants avioniques susceptibles de contenir une mémoire non volatile), les restes humains4 et les effets personnels. L'observation et la cartographie de l'épave sont également importantes.</w:t>
      </w:r>
      <w:r w:rsidRPr="007910D3">
        <w:rPr>
          <w:rStyle w:val="rynqvb"/>
        </w:rPr>
        <w:t xml:space="preserve"> </w:t>
      </w:r>
      <w:r>
        <w:rPr>
          <w:rStyle w:val="rynqvb"/>
        </w:rPr>
        <w:t xml:space="preserve">Lorsqu'elle est disponible, une étude photographique du lieu de l'accident permet d'enregistrer son état initial avant toute intervention de plongeurs ou de robots télécommandés. </w:t>
      </w:r>
    </w:p>
    <w:p w14:paraId="65F32451" w14:textId="77777777" w:rsidR="007910D3" w:rsidRDefault="007910D3" w:rsidP="00380AB8">
      <w:pPr>
        <w:spacing w:after="0"/>
        <w:jc w:val="both"/>
        <w:rPr>
          <w:rStyle w:val="rynqvb"/>
        </w:rPr>
      </w:pPr>
    </w:p>
    <w:p w14:paraId="3FC5D61A" w14:textId="01432548" w:rsidR="00325783" w:rsidRDefault="007910D3" w:rsidP="00380AB8">
      <w:pPr>
        <w:spacing w:after="0"/>
        <w:jc w:val="both"/>
        <w:rPr>
          <w:rStyle w:val="rynqvb"/>
        </w:rPr>
      </w:pPr>
      <w:r>
        <w:rPr>
          <w:rStyle w:val="rynqvb"/>
        </w:rPr>
        <w:t>3.3.2 Il est nécessaire de sélectionner soigneusement, en tenant compte des avis de toutes les parties prenantes de l'enquête, les débris et pièces d'aéronef à récupérer et de les hiérarchiser, dans la perspective de l'enquête globale.</w:t>
      </w:r>
      <w:r w:rsidRPr="007910D3">
        <w:rPr>
          <w:rStyle w:val="rynqvb"/>
        </w:rPr>
        <w:t xml:space="preserve"> </w:t>
      </w:r>
      <w:r>
        <w:rPr>
          <w:rStyle w:val="rynqvb"/>
        </w:rPr>
        <w:t>L'analyse initiale du FDR et du CVR peut faciliter ce processus de sélection.</w:t>
      </w:r>
    </w:p>
    <w:p w14:paraId="5C3236D2" w14:textId="7D525D00" w:rsidR="00380AB8" w:rsidRPr="00380AB8" w:rsidRDefault="00380AB8" w:rsidP="00380AB8">
      <w:pPr>
        <w:spacing w:after="0" w:line="240" w:lineRule="auto"/>
        <w:jc w:val="both"/>
        <w:rPr>
          <w:rFonts w:ascii="Times New Roman" w:eastAsia="Times New Roman" w:hAnsi="Times New Roman" w:cs="Times New Roman"/>
          <w:kern w:val="0"/>
          <w:sz w:val="24"/>
          <w:szCs w:val="24"/>
          <w:lang w:eastAsia="fr-FR"/>
          <w14:ligatures w14:val="none"/>
        </w:rPr>
      </w:pPr>
    </w:p>
    <w:p w14:paraId="6FE27E83" w14:textId="77777777" w:rsidR="00380AB8" w:rsidRDefault="00380AB8" w:rsidP="00380AB8">
      <w:pPr>
        <w:spacing w:after="0" w:line="240" w:lineRule="auto"/>
        <w:jc w:val="both"/>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kern w:val="0"/>
          <w:sz w:val="24"/>
          <w:szCs w:val="24"/>
          <w:lang w:eastAsia="fr-FR"/>
          <w14:ligatures w14:val="none"/>
        </w:rPr>
        <w:t xml:space="preserve">3.3.3 </w:t>
      </w:r>
      <w:r w:rsidRPr="00380AB8">
        <w:rPr>
          <w:rFonts w:ascii="Times New Roman" w:eastAsia="Times New Roman" w:hAnsi="Times New Roman" w:cs="Times New Roman"/>
          <w:kern w:val="0"/>
          <w:sz w:val="24"/>
          <w:szCs w:val="24"/>
          <w:lang w:eastAsia="fr-FR"/>
          <w14:ligatures w14:val="none"/>
        </w:rPr>
        <w:t xml:space="preserve">Il est judicieux de ne récupérer que les parties de l'avion jugées pertinentes pour l'enquête, notamment si l'épave est très grande ou fragmentée. Les plongeurs ou les opérateurs de ROV peuvent se voir remettre une liste des pièces de l'avion les plus importantes à récupérer, basée sur les informations préliminaires recueillies à partir des enregistreurs, des images du fond marin et des données de l'avion (telles que les plans du constructeur, les catalogues de pièces, les schémas de câblage et les manuels). </w:t>
      </w:r>
    </w:p>
    <w:p w14:paraId="60B53DD5" w14:textId="77777777" w:rsidR="00380AB8" w:rsidRDefault="00380AB8" w:rsidP="00380AB8">
      <w:pPr>
        <w:spacing w:after="0" w:line="240" w:lineRule="auto"/>
        <w:jc w:val="both"/>
        <w:rPr>
          <w:rFonts w:ascii="Times New Roman" w:eastAsia="Times New Roman" w:hAnsi="Times New Roman" w:cs="Times New Roman"/>
          <w:kern w:val="0"/>
          <w:sz w:val="24"/>
          <w:szCs w:val="24"/>
          <w:lang w:eastAsia="fr-FR"/>
          <w14:ligatures w14:val="none"/>
        </w:rPr>
      </w:pPr>
    </w:p>
    <w:p w14:paraId="616DAF2D" w14:textId="16478314" w:rsidR="00380AB8" w:rsidRDefault="00380AB8" w:rsidP="00380AB8">
      <w:pPr>
        <w:spacing w:after="0" w:line="240" w:lineRule="auto"/>
        <w:jc w:val="center"/>
        <w:rPr>
          <w:rFonts w:ascii="Times New Roman" w:eastAsia="Times New Roman" w:hAnsi="Times New Roman" w:cs="Times New Roman"/>
          <w:kern w:val="0"/>
          <w:sz w:val="24"/>
          <w:szCs w:val="24"/>
          <w:lang w:eastAsia="fr-FR"/>
          <w14:ligatures w14:val="none"/>
        </w:rPr>
      </w:pPr>
      <w:r w:rsidRPr="00380AB8">
        <w:rPr>
          <w:rFonts w:ascii="Times New Roman" w:eastAsia="Times New Roman" w:hAnsi="Times New Roman" w:cs="Times New Roman"/>
          <w:noProof/>
          <w:kern w:val="0"/>
          <w:sz w:val="24"/>
          <w:szCs w:val="24"/>
          <w:lang w:eastAsia="fr-FR"/>
          <w14:ligatures w14:val="none"/>
        </w:rPr>
        <w:drawing>
          <wp:inline distT="0" distB="0" distL="0" distR="0" wp14:anchorId="685747AE" wp14:editId="6959317E">
            <wp:extent cx="2103274" cy="2034540"/>
            <wp:effectExtent l="0" t="0" r="0" b="3810"/>
            <wp:docPr id="1217398366"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10486" cy="2041516"/>
                    </a:xfrm>
                    <a:prstGeom prst="rect">
                      <a:avLst/>
                    </a:prstGeom>
                    <a:noFill/>
                    <a:ln>
                      <a:noFill/>
                    </a:ln>
                  </pic:spPr>
                </pic:pic>
              </a:graphicData>
            </a:graphic>
          </wp:inline>
        </w:drawing>
      </w:r>
    </w:p>
    <w:p w14:paraId="64447FE9" w14:textId="77777777" w:rsidR="00380AB8" w:rsidRDefault="00380AB8" w:rsidP="00380AB8">
      <w:pPr>
        <w:spacing w:after="0" w:line="240" w:lineRule="auto"/>
        <w:jc w:val="both"/>
        <w:rPr>
          <w:rFonts w:ascii="Times New Roman" w:eastAsia="Times New Roman" w:hAnsi="Times New Roman" w:cs="Times New Roman"/>
          <w:kern w:val="0"/>
          <w:sz w:val="24"/>
          <w:szCs w:val="24"/>
          <w:lang w:eastAsia="fr-FR"/>
          <w14:ligatures w14:val="none"/>
        </w:rPr>
      </w:pPr>
    </w:p>
    <w:p w14:paraId="0D6DFF61" w14:textId="5221A5CD" w:rsidR="00380AB8" w:rsidRDefault="00380AB8" w:rsidP="00380AB8">
      <w:pPr>
        <w:spacing w:after="0" w:line="240" w:lineRule="auto"/>
        <w:jc w:val="both"/>
        <w:rPr>
          <w:rFonts w:ascii="Times New Roman" w:eastAsia="Times New Roman" w:hAnsi="Times New Roman" w:cs="Times New Roman"/>
          <w:kern w:val="0"/>
          <w:sz w:val="24"/>
          <w:szCs w:val="24"/>
          <w:lang w:eastAsia="fr-FR"/>
          <w14:ligatures w14:val="none"/>
        </w:rPr>
      </w:pPr>
      <w:r w:rsidRPr="00380AB8">
        <w:rPr>
          <w:rFonts w:ascii="Times New Roman" w:eastAsia="Times New Roman" w:hAnsi="Times New Roman" w:cs="Times New Roman"/>
          <w:kern w:val="0"/>
          <w:sz w:val="24"/>
          <w:szCs w:val="24"/>
          <w:lang w:eastAsia="fr-FR"/>
          <w14:ligatures w14:val="none"/>
        </w:rPr>
        <w:t>3.3.4 Il est parfois plus simple de récupérer le plus possible, évitant ainsi la difficulté de retrouver des éléments spécifiques qui auraient pu être perturbés par les courants sous-marins. L'épave complète peut ensuite être examinée pour en déterminer les éléments clés dans un environnement plus adapté. Le stockage de l'épave à terre peut toutefois s'avérer complexe, car les hangars sont souvent rares et, dans certaines juridictions, les espaces de stockage à long terme peuvent ne pas être disponibles.</w:t>
      </w:r>
    </w:p>
    <w:p w14:paraId="328666FB" w14:textId="77777777" w:rsidR="00380AB8" w:rsidRDefault="00380AB8" w:rsidP="00380AB8">
      <w:pPr>
        <w:spacing w:after="0" w:line="240" w:lineRule="auto"/>
        <w:jc w:val="both"/>
        <w:rPr>
          <w:rFonts w:ascii="Times New Roman" w:eastAsia="Times New Roman" w:hAnsi="Times New Roman" w:cs="Times New Roman"/>
          <w:kern w:val="0"/>
          <w:sz w:val="24"/>
          <w:szCs w:val="24"/>
          <w:lang w:eastAsia="fr-FR"/>
          <w14:ligatures w14:val="none"/>
        </w:rPr>
      </w:pPr>
    </w:p>
    <w:p w14:paraId="78207183" w14:textId="77777777" w:rsidR="00380AB8" w:rsidRDefault="00380AB8" w:rsidP="00380AB8">
      <w:pPr>
        <w:spacing w:after="0" w:line="240" w:lineRule="auto"/>
        <w:jc w:val="both"/>
        <w:rPr>
          <w:rFonts w:ascii="Times New Roman" w:eastAsia="Times New Roman" w:hAnsi="Times New Roman" w:cs="Times New Roman"/>
          <w:kern w:val="0"/>
          <w:sz w:val="24"/>
          <w:szCs w:val="24"/>
          <w:lang w:eastAsia="fr-FR"/>
          <w14:ligatures w14:val="none"/>
        </w:rPr>
      </w:pPr>
    </w:p>
    <w:p w14:paraId="62E28748" w14:textId="77777777" w:rsidR="00380AB8" w:rsidRDefault="00380AB8" w:rsidP="00380AB8">
      <w:pPr>
        <w:spacing w:after="0" w:line="240" w:lineRule="auto"/>
        <w:jc w:val="both"/>
        <w:rPr>
          <w:rFonts w:ascii="Times New Roman" w:eastAsia="Times New Roman" w:hAnsi="Times New Roman" w:cs="Times New Roman"/>
          <w:kern w:val="0"/>
          <w:sz w:val="24"/>
          <w:szCs w:val="24"/>
          <w:lang w:eastAsia="fr-FR"/>
          <w14:ligatures w14:val="none"/>
        </w:rPr>
      </w:pPr>
    </w:p>
    <w:p w14:paraId="1059D49D" w14:textId="77777777" w:rsidR="00380AB8" w:rsidRDefault="00380AB8" w:rsidP="00380AB8">
      <w:pPr>
        <w:spacing w:after="0" w:line="240" w:lineRule="auto"/>
        <w:jc w:val="both"/>
        <w:rPr>
          <w:rFonts w:ascii="Times New Roman" w:eastAsia="Times New Roman" w:hAnsi="Times New Roman" w:cs="Times New Roman"/>
          <w:kern w:val="0"/>
          <w:sz w:val="24"/>
          <w:szCs w:val="24"/>
          <w:lang w:eastAsia="fr-FR"/>
          <w14:ligatures w14:val="none"/>
        </w:rPr>
      </w:pPr>
    </w:p>
    <w:p w14:paraId="2B8C5DCA" w14:textId="77777777" w:rsidR="00380AB8" w:rsidRDefault="00380AB8" w:rsidP="00380AB8">
      <w:pPr>
        <w:spacing w:after="0" w:line="240" w:lineRule="auto"/>
        <w:jc w:val="both"/>
        <w:rPr>
          <w:rFonts w:ascii="Times New Roman" w:eastAsia="Times New Roman" w:hAnsi="Times New Roman" w:cs="Times New Roman"/>
          <w:kern w:val="0"/>
          <w:sz w:val="24"/>
          <w:szCs w:val="24"/>
          <w:lang w:eastAsia="fr-FR"/>
          <w14:ligatures w14:val="none"/>
        </w:rPr>
      </w:pPr>
    </w:p>
    <w:p w14:paraId="13C4D511" w14:textId="77777777" w:rsidR="00380AB8" w:rsidRPr="00380AB8" w:rsidRDefault="00380AB8" w:rsidP="00380AB8">
      <w:pPr>
        <w:spacing w:after="0" w:line="240" w:lineRule="auto"/>
        <w:jc w:val="both"/>
        <w:rPr>
          <w:rStyle w:val="rynqvb"/>
          <w:b/>
          <w:bCs/>
          <w:sz w:val="28"/>
          <w:szCs w:val="28"/>
        </w:rPr>
      </w:pPr>
    </w:p>
    <w:p w14:paraId="5A0B9192" w14:textId="77777777" w:rsidR="00380AB8" w:rsidRDefault="00380AB8" w:rsidP="00380AB8">
      <w:pPr>
        <w:spacing w:after="0" w:line="240" w:lineRule="auto"/>
        <w:rPr>
          <w:rStyle w:val="rynqvb"/>
          <w:b/>
          <w:bCs/>
          <w:sz w:val="28"/>
          <w:szCs w:val="28"/>
        </w:rPr>
      </w:pPr>
      <w:r w:rsidRPr="00380AB8">
        <w:rPr>
          <w:rStyle w:val="rynqvb"/>
          <w:b/>
          <w:bCs/>
          <w:sz w:val="28"/>
          <w:szCs w:val="28"/>
        </w:rPr>
        <w:t xml:space="preserve">3.4 Récupération </w:t>
      </w:r>
    </w:p>
    <w:p w14:paraId="74ECC806" w14:textId="77777777" w:rsidR="00380AB8" w:rsidRDefault="00380AB8" w:rsidP="00380AB8">
      <w:pPr>
        <w:spacing w:after="0" w:line="240" w:lineRule="auto"/>
        <w:rPr>
          <w:rFonts w:ascii="Times New Roman" w:eastAsia="Times New Roman" w:hAnsi="Times New Roman" w:cs="Times New Roman"/>
          <w:kern w:val="0"/>
          <w:sz w:val="24"/>
          <w:szCs w:val="24"/>
          <w:lang w:eastAsia="fr-FR"/>
          <w14:ligatures w14:val="none"/>
        </w:rPr>
      </w:pPr>
    </w:p>
    <w:p w14:paraId="1088BD2C" w14:textId="216C7D31" w:rsidR="00380AB8" w:rsidRDefault="00380AB8" w:rsidP="00380AB8">
      <w:pPr>
        <w:spacing w:after="0" w:line="240" w:lineRule="auto"/>
        <w:jc w:val="both"/>
        <w:rPr>
          <w:rFonts w:ascii="Times New Roman" w:eastAsia="Times New Roman" w:hAnsi="Times New Roman" w:cs="Times New Roman"/>
          <w:kern w:val="0"/>
          <w:sz w:val="24"/>
          <w:szCs w:val="24"/>
          <w:lang w:eastAsia="fr-FR"/>
          <w14:ligatures w14:val="none"/>
        </w:rPr>
      </w:pPr>
      <w:r w:rsidRPr="00380AB8">
        <w:rPr>
          <w:rFonts w:ascii="Times New Roman" w:eastAsia="Times New Roman" w:hAnsi="Times New Roman" w:cs="Times New Roman"/>
          <w:kern w:val="0"/>
          <w:sz w:val="24"/>
          <w:szCs w:val="24"/>
          <w:lang w:eastAsia="fr-FR"/>
          <w14:ligatures w14:val="none"/>
        </w:rPr>
        <w:t>3.4.1 La récupération d'une épave d'avion s'effectue généralement par l'amarrage des pièces à un palan, puis par une grue hors de l'eau et sur le navire de récupération. Dans certains cas, le levage peut également être assuré par la fixation de petits parachutes à l'épave par des plongeurs, puis leur gonflement à l'air comprimé. Il faut veiller à éviter que les éléments gonflables ne soient perforés par les arêtes métalliques tranchantes de l'épave. Lors d'au moins une opération de récupération, des structures tubulaires métalliques flottantes scellées, insérées sous les ailes de l'avion, ont été utilisées avec succès.</w:t>
      </w:r>
    </w:p>
    <w:p w14:paraId="628EB425" w14:textId="77777777" w:rsidR="00380AB8" w:rsidRPr="00380AB8" w:rsidRDefault="00380AB8" w:rsidP="00380AB8">
      <w:pPr>
        <w:spacing w:after="0" w:line="240" w:lineRule="auto"/>
        <w:jc w:val="both"/>
        <w:rPr>
          <w:rFonts w:ascii="Times New Roman" w:eastAsia="Times New Roman" w:hAnsi="Times New Roman" w:cs="Times New Roman"/>
          <w:kern w:val="0"/>
          <w:sz w:val="24"/>
          <w:szCs w:val="24"/>
          <w:lang w:eastAsia="fr-FR"/>
          <w14:ligatures w14:val="none"/>
        </w:rPr>
      </w:pPr>
    </w:p>
    <w:p w14:paraId="73F2E28E" w14:textId="30C44D8B" w:rsidR="00380AB8" w:rsidRDefault="00380AB8" w:rsidP="00380AB8">
      <w:pPr>
        <w:spacing w:after="0" w:line="240" w:lineRule="auto"/>
        <w:jc w:val="both"/>
        <w:rPr>
          <w:rFonts w:ascii="Times New Roman" w:eastAsia="Times New Roman" w:hAnsi="Times New Roman" w:cs="Times New Roman"/>
          <w:kern w:val="0"/>
          <w:sz w:val="24"/>
          <w:szCs w:val="24"/>
          <w:lang w:eastAsia="fr-FR"/>
          <w14:ligatures w14:val="none"/>
        </w:rPr>
      </w:pPr>
      <w:r w:rsidRPr="00380AB8">
        <w:rPr>
          <w:rFonts w:ascii="Times New Roman" w:eastAsia="Times New Roman" w:hAnsi="Times New Roman" w:cs="Times New Roman"/>
          <w:noProof/>
          <w:kern w:val="0"/>
          <w:sz w:val="24"/>
          <w:szCs w:val="24"/>
          <w:lang w:eastAsia="fr-FR"/>
          <w14:ligatures w14:val="none"/>
        </w:rPr>
        <w:drawing>
          <wp:inline distT="0" distB="0" distL="0" distR="0" wp14:anchorId="2C69A4E4" wp14:editId="695B1E07">
            <wp:extent cx="2377440" cy="1593904"/>
            <wp:effectExtent l="0" t="0" r="3810" b="6350"/>
            <wp:docPr id="23755049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2312" cy="1597170"/>
                    </a:xfrm>
                    <a:prstGeom prst="rect">
                      <a:avLst/>
                    </a:prstGeom>
                    <a:noFill/>
                    <a:ln>
                      <a:noFill/>
                    </a:ln>
                  </pic:spPr>
                </pic:pic>
              </a:graphicData>
            </a:graphic>
          </wp:inline>
        </w:drawing>
      </w:r>
      <w:r>
        <w:rPr>
          <w:rFonts w:ascii="Times New Roman" w:eastAsia="Times New Roman" w:hAnsi="Times New Roman" w:cs="Times New Roman"/>
          <w:kern w:val="0"/>
          <w:sz w:val="24"/>
          <w:szCs w:val="24"/>
          <w:lang w:eastAsia="fr-FR"/>
          <w14:ligatures w14:val="none"/>
        </w:rPr>
        <w:t xml:space="preserve">      </w:t>
      </w:r>
      <w:r w:rsidRPr="00380AB8">
        <w:rPr>
          <w:rFonts w:ascii="Times New Roman" w:eastAsia="Times New Roman" w:hAnsi="Times New Roman" w:cs="Times New Roman"/>
          <w:noProof/>
          <w:kern w:val="0"/>
          <w:sz w:val="24"/>
          <w:szCs w:val="24"/>
          <w:lang w:eastAsia="fr-FR"/>
          <w14:ligatures w14:val="none"/>
        </w:rPr>
        <w:drawing>
          <wp:inline distT="0" distB="0" distL="0" distR="0" wp14:anchorId="2BCD759E" wp14:editId="375742EE">
            <wp:extent cx="2368683" cy="1577340"/>
            <wp:effectExtent l="0" t="0" r="0" b="3810"/>
            <wp:docPr id="1264512973"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7805" cy="1583414"/>
                    </a:xfrm>
                    <a:prstGeom prst="rect">
                      <a:avLst/>
                    </a:prstGeom>
                    <a:noFill/>
                    <a:ln>
                      <a:noFill/>
                    </a:ln>
                  </pic:spPr>
                </pic:pic>
              </a:graphicData>
            </a:graphic>
          </wp:inline>
        </w:drawing>
      </w:r>
    </w:p>
    <w:p w14:paraId="02B12263" w14:textId="5DD0154B" w:rsidR="00380AB8" w:rsidRDefault="00380AB8" w:rsidP="00380AB8">
      <w:pPr>
        <w:spacing w:after="0" w:line="240" w:lineRule="auto"/>
        <w:jc w:val="both"/>
        <w:rPr>
          <w:rFonts w:ascii="Times New Roman" w:eastAsia="Times New Roman" w:hAnsi="Times New Roman" w:cs="Times New Roman"/>
          <w:kern w:val="0"/>
          <w:sz w:val="24"/>
          <w:szCs w:val="24"/>
          <w:lang w:eastAsia="fr-FR"/>
          <w14:ligatures w14:val="none"/>
        </w:rPr>
      </w:pPr>
    </w:p>
    <w:p w14:paraId="4AD0612A" w14:textId="77777777" w:rsidR="00380AB8" w:rsidRPr="00380AB8" w:rsidRDefault="00380AB8" w:rsidP="00380AB8">
      <w:pPr>
        <w:spacing w:after="0" w:line="240" w:lineRule="auto"/>
        <w:jc w:val="both"/>
        <w:rPr>
          <w:rFonts w:ascii="Times New Roman" w:eastAsia="Times New Roman" w:hAnsi="Times New Roman" w:cs="Times New Roman"/>
          <w:kern w:val="0"/>
          <w:sz w:val="24"/>
          <w:szCs w:val="24"/>
          <w:lang w:eastAsia="fr-FR"/>
          <w14:ligatures w14:val="none"/>
        </w:rPr>
      </w:pPr>
    </w:p>
    <w:p w14:paraId="4C287265" w14:textId="77777777" w:rsidR="00380AB8" w:rsidRDefault="00380AB8" w:rsidP="007910D3">
      <w:pPr>
        <w:spacing w:after="0"/>
        <w:jc w:val="both"/>
        <w:rPr>
          <w:rStyle w:val="rynqvb"/>
        </w:rPr>
      </w:pPr>
    </w:p>
    <w:p w14:paraId="7CA98D85" w14:textId="77777777" w:rsidR="00380AB8" w:rsidRDefault="00380AB8" w:rsidP="007910D3">
      <w:pPr>
        <w:spacing w:after="0"/>
        <w:jc w:val="both"/>
        <w:rPr>
          <w:rStyle w:val="rynqvb"/>
        </w:rPr>
      </w:pPr>
      <w:r>
        <w:rPr>
          <w:rStyle w:val="rynqvb"/>
        </w:rPr>
        <w:t>3.4.2 Pour les opérations de ROV, il peut être utile de descendre une nacelle en acier au fond de la mer, dans laquelle le ROV peut déposer les débris.</w:t>
      </w:r>
      <w:r>
        <w:rPr>
          <w:rStyle w:val="hwtze"/>
        </w:rPr>
        <w:t xml:space="preserve"> </w:t>
      </w:r>
      <w:r>
        <w:rPr>
          <w:rStyle w:val="rynqvb"/>
        </w:rPr>
        <w:t xml:space="preserve">Une telle nacelle peut également être utilisée pour la récupération de restes humains, dans le cadre d'une opération distincte. </w:t>
      </w:r>
    </w:p>
    <w:p w14:paraId="53237049" w14:textId="77777777" w:rsidR="00380AB8" w:rsidRDefault="00380AB8" w:rsidP="007910D3">
      <w:pPr>
        <w:spacing w:after="0"/>
        <w:jc w:val="both"/>
        <w:rPr>
          <w:rStyle w:val="rynqvb"/>
        </w:rPr>
      </w:pPr>
    </w:p>
    <w:p w14:paraId="1C41D871" w14:textId="77777777" w:rsidR="00380AB8" w:rsidRDefault="00380AB8" w:rsidP="007910D3">
      <w:pPr>
        <w:spacing w:after="0"/>
        <w:jc w:val="both"/>
        <w:rPr>
          <w:rStyle w:val="rynqvb"/>
        </w:rPr>
      </w:pPr>
      <w:r>
        <w:rPr>
          <w:rStyle w:val="rynqvb"/>
        </w:rPr>
        <w:t>3.4.3 Lors de l'utilisation d'un ROV, en particulier lorsque l'épave est dispersée sur une grande surface du fond marin, il est important d'identifier clairement les endroits visités par le ROV.</w:t>
      </w:r>
      <w:r>
        <w:rPr>
          <w:rStyle w:val="hwtze"/>
        </w:rPr>
        <w:t xml:space="preserve"> </w:t>
      </w:r>
      <w:r>
        <w:rPr>
          <w:rStyle w:val="rynqvb"/>
        </w:rPr>
        <w:t xml:space="preserve">Cela peut être réalisé en larguant des marqueurs, transportés dans la nacelle, comme indiqué au point 3.4.2. </w:t>
      </w:r>
    </w:p>
    <w:p w14:paraId="528E5321" w14:textId="77777777" w:rsidR="00380AB8" w:rsidRDefault="00380AB8" w:rsidP="007910D3">
      <w:pPr>
        <w:spacing w:after="0"/>
        <w:jc w:val="both"/>
        <w:rPr>
          <w:rStyle w:val="rynqvb"/>
        </w:rPr>
      </w:pPr>
    </w:p>
    <w:p w14:paraId="7B3E7B8B" w14:textId="7011D869" w:rsidR="00380AB8" w:rsidRDefault="00380AB8" w:rsidP="00380AB8">
      <w:pPr>
        <w:spacing w:after="0"/>
        <w:jc w:val="center"/>
        <w:rPr>
          <w:rStyle w:val="rynqvb"/>
        </w:rPr>
      </w:pPr>
      <w:r w:rsidRPr="00380AB8">
        <w:rPr>
          <w:rStyle w:val="rynqvb"/>
          <w:noProof/>
        </w:rPr>
        <w:drawing>
          <wp:inline distT="0" distB="0" distL="0" distR="0" wp14:anchorId="3404B47F" wp14:editId="1372CC22">
            <wp:extent cx="1377499" cy="1973580"/>
            <wp:effectExtent l="0" t="0" r="0" b="7620"/>
            <wp:docPr id="107452955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1168" cy="1978837"/>
                    </a:xfrm>
                    <a:prstGeom prst="rect">
                      <a:avLst/>
                    </a:prstGeom>
                    <a:noFill/>
                    <a:ln>
                      <a:noFill/>
                    </a:ln>
                  </pic:spPr>
                </pic:pic>
              </a:graphicData>
            </a:graphic>
          </wp:inline>
        </w:drawing>
      </w:r>
    </w:p>
    <w:p w14:paraId="263756CF" w14:textId="77777777" w:rsidR="00380AB8" w:rsidRDefault="00380AB8" w:rsidP="007910D3">
      <w:pPr>
        <w:spacing w:after="0"/>
        <w:jc w:val="both"/>
        <w:rPr>
          <w:rStyle w:val="rynqvb"/>
        </w:rPr>
      </w:pPr>
    </w:p>
    <w:p w14:paraId="7DADB107" w14:textId="77777777" w:rsidR="00380AB8" w:rsidRDefault="00380AB8" w:rsidP="007910D3">
      <w:pPr>
        <w:spacing w:after="0"/>
        <w:jc w:val="both"/>
        <w:rPr>
          <w:rStyle w:val="rynqvb"/>
        </w:rPr>
      </w:pPr>
    </w:p>
    <w:p w14:paraId="4B179B67" w14:textId="0FA73250" w:rsidR="00380AB8" w:rsidRDefault="00380AB8" w:rsidP="007910D3">
      <w:pPr>
        <w:spacing w:after="0"/>
        <w:jc w:val="both"/>
        <w:rPr>
          <w:rStyle w:val="rynqvb"/>
        </w:rPr>
      </w:pPr>
      <w:r>
        <w:rPr>
          <w:rStyle w:val="rynqvb"/>
        </w:rPr>
        <w:t>3.4.4 Lorsqu'une épave d'avion est restée longtemps sous l'eau, des sédiments peuvent s'accumuler, augmentant son poids et rendant sa récupération plus difficile.</w:t>
      </w:r>
      <w:r>
        <w:rPr>
          <w:rStyle w:val="hwtze"/>
        </w:rPr>
        <w:t xml:space="preserve"> </w:t>
      </w:r>
      <w:r>
        <w:rPr>
          <w:rStyle w:val="rynqvb"/>
        </w:rPr>
        <w:t>Il peut être nécessaire d'en retirer au moins une partie avant de la soulever, par exemple à l'aide d'outils d'aspiration.</w:t>
      </w:r>
      <w:r>
        <w:rPr>
          <w:rStyle w:val="hwtze"/>
        </w:rPr>
        <w:t xml:space="preserve"> </w:t>
      </w:r>
      <w:r>
        <w:rPr>
          <w:rStyle w:val="rynqvb"/>
        </w:rPr>
        <w:t>Cette possible complication constitue un argument en faveur de la mise en œuvre sans délai inutile des mesures de redressement, et de leur non-interruption une fois lancées.</w:t>
      </w:r>
    </w:p>
    <w:p w14:paraId="689D2BBC" w14:textId="77777777" w:rsidR="00380AB8" w:rsidRDefault="00380AB8" w:rsidP="00380AB8">
      <w:pPr>
        <w:spacing w:after="0"/>
        <w:jc w:val="both"/>
        <w:rPr>
          <w:rStyle w:val="rynqvb"/>
        </w:rPr>
      </w:pPr>
    </w:p>
    <w:p w14:paraId="47173C5F" w14:textId="77777777" w:rsidR="00380AB8" w:rsidRDefault="00380AB8" w:rsidP="00380AB8">
      <w:pPr>
        <w:spacing w:after="0" w:line="240" w:lineRule="auto"/>
        <w:jc w:val="both"/>
        <w:rPr>
          <w:rFonts w:ascii="Times New Roman" w:eastAsia="Times New Roman" w:hAnsi="Times New Roman" w:cs="Times New Roman"/>
          <w:kern w:val="0"/>
          <w:sz w:val="24"/>
          <w:szCs w:val="24"/>
          <w:lang w:eastAsia="fr-FR"/>
          <w14:ligatures w14:val="none"/>
        </w:rPr>
      </w:pPr>
      <w:r>
        <w:rPr>
          <w:rFonts w:ascii="Times New Roman" w:eastAsia="Times New Roman" w:hAnsi="Times New Roman" w:cs="Times New Roman"/>
          <w:kern w:val="0"/>
          <w:sz w:val="24"/>
          <w:szCs w:val="24"/>
          <w:lang w:eastAsia="fr-FR"/>
          <w14:ligatures w14:val="none"/>
        </w:rPr>
        <w:t xml:space="preserve">3.4.5 </w:t>
      </w:r>
      <w:r w:rsidRPr="00380AB8">
        <w:rPr>
          <w:rFonts w:ascii="Times New Roman" w:eastAsia="Times New Roman" w:hAnsi="Times New Roman" w:cs="Times New Roman"/>
          <w:kern w:val="0"/>
          <w:sz w:val="24"/>
          <w:szCs w:val="24"/>
          <w:lang w:eastAsia="fr-FR"/>
          <w14:ligatures w14:val="none"/>
        </w:rPr>
        <w:t xml:space="preserve">Les composants internes des enregistreurs de vol récupérés sous l'eau sont vulnérables à la corrosion et doivent être conservés dans de l'eau douce pendant le transport et jusqu'à leur ouverture. Toutes les épaves récupérées doivent être rincées pour éliminer l'eau salée. L'application de produits anticorrosion spécialisés peut contribuer à la préservation des preuves. L'accès aux épaves récupérées doit être limité. </w:t>
      </w:r>
    </w:p>
    <w:p w14:paraId="3571CBDC" w14:textId="77777777" w:rsidR="00380AB8" w:rsidRDefault="00380AB8" w:rsidP="00380AB8">
      <w:pPr>
        <w:spacing w:after="0" w:line="240" w:lineRule="auto"/>
        <w:jc w:val="both"/>
        <w:rPr>
          <w:rFonts w:ascii="Times New Roman" w:eastAsia="Times New Roman" w:hAnsi="Times New Roman" w:cs="Times New Roman"/>
          <w:kern w:val="0"/>
          <w:sz w:val="24"/>
          <w:szCs w:val="24"/>
          <w:lang w:eastAsia="fr-FR"/>
          <w14:ligatures w14:val="none"/>
        </w:rPr>
      </w:pPr>
    </w:p>
    <w:p w14:paraId="356881E2" w14:textId="77777777" w:rsidR="00380AB8" w:rsidRDefault="00380AB8" w:rsidP="00380AB8">
      <w:pPr>
        <w:spacing w:after="0" w:line="240" w:lineRule="auto"/>
        <w:jc w:val="both"/>
        <w:rPr>
          <w:rFonts w:ascii="Times New Roman" w:eastAsia="Times New Roman" w:hAnsi="Times New Roman" w:cs="Times New Roman"/>
          <w:kern w:val="0"/>
          <w:sz w:val="24"/>
          <w:szCs w:val="24"/>
          <w:lang w:eastAsia="fr-FR"/>
          <w14:ligatures w14:val="none"/>
        </w:rPr>
      </w:pPr>
      <w:r w:rsidRPr="00380AB8">
        <w:rPr>
          <w:rFonts w:ascii="Times New Roman" w:eastAsia="Times New Roman" w:hAnsi="Times New Roman" w:cs="Times New Roman"/>
          <w:kern w:val="0"/>
          <w:sz w:val="24"/>
          <w:szCs w:val="24"/>
          <w:lang w:eastAsia="fr-FR"/>
          <w14:ligatures w14:val="none"/>
        </w:rPr>
        <w:t xml:space="preserve">3.4.6 Il est important de ranger soigneusement tout le matériel après utilisation, y compris après le lavage à l'eau salée, afin qu'il soit prêt à être utilisé lors de la prochaine utilisation. </w:t>
      </w:r>
    </w:p>
    <w:p w14:paraId="40418BDA" w14:textId="77777777" w:rsidR="00380AB8" w:rsidRDefault="00380AB8" w:rsidP="00380AB8">
      <w:pPr>
        <w:spacing w:after="0" w:line="240" w:lineRule="auto"/>
        <w:jc w:val="both"/>
        <w:rPr>
          <w:rFonts w:ascii="Times New Roman" w:eastAsia="Times New Roman" w:hAnsi="Times New Roman" w:cs="Times New Roman"/>
          <w:kern w:val="0"/>
          <w:sz w:val="24"/>
          <w:szCs w:val="24"/>
          <w:lang w:eastAsia="fr-FR"/>
          <w14:ligatures w14:val="none"/>
        </w:rPr>
      </w:pPr>
    </w:p>
    <w:p w14:paraId="32B6BB2C" w14:textId="054B9937" w:rsidR="00380AB8" w:rsidRDefault="00380AB8" w:rsidP="00380AB8">
      <w:pPr>
        <w:spacing w:after="0" w:line="240" w:lineRule="auto"/>
        <w:jc w:val="both"/>
        <w:rPr>
          <w:rFonts w:ascii="Times New Roman" w:eastAsia="Times New Roman" w:hAnsi="Times New Roman" w:cs="Times New Roman"/>
          <w:kern w:val="0"/>
          <w:sz w:val="24"/>
          <w:szCs w:val="24"/>
          <w:lang w:eastAsia="fr-FR"/>
          <w14:ligatures w14:val="none"/>
        </w:rPr>
      </w:pPr>
      <w:r w:rsidRPr="00380AB8">
        <w:rPr>
          <w:rFonts w:ascii="Times New Roman" w:eastAsia="Times New Roman" w:hAnsi="Times New Roman" w:cs="Times New Roman"/>
          <w:kern w:val="0"/>
          <w:sz w:val="24"/>
          <w:szCs w:val="24"/>
          <w:lang w:eastAsia="fr-FR"/>
          <w14:ligatures w14:val="none"/>
        </w:rPr>
        <w:t>3.4.7 Le chapitre 5 du « Manuel d'enquête sur les accidents et incidents d'aviation » de l'OACI (Doc 9756, Partie 1) contient des orientations sur les mesures à prendre sur le site de l'accident, notamment la gestion des épaves immergées, leur préservation, les décisions concernant les éléments à récupérer, le stress psychologique et les examens spécialisés. Le chapitre 7.4 du document 9962 de l’OACI, « Manuel sur les politiques et procédures d’enquête sur les accidents et incidents », est également utile.</w:t>
      </w:r>
    </w:p>
    <w:p w14:paraId="6C59D878" w14:textId="77777777" w:rsidR="00B66482" w:rsidRDefault="00B66482" w:rsidP="00380AB8">
      <w:pPr>
        <w:spacing w:after="0" w:line="240" w:lineRule="auto"/>
        <w:jc w:val="both"/>
        <w:rPr>
          <w:rFonts w:ascii="Times New Roman" w:eastAsia="Times New Roman" w:hAnsi="Times New Roman" w:cs="Times New Roman"/>
          <w:kern w:val="0"/>
          <w:sz w:val="24"/>
          <w:szCs w:val="24"/>
          <w:lang w:eastAsia="fr-FR"/>
          <w14:ligatures w14:val="none"/>
        </w:rPr>
      </w:pPr>
    </w:p>
    <w:p w14:paraId="19729BBE" w14:textId="77777777" w:rsidR="00B66482" w:rsidRPr="00380AB8" w:rsidRDefault="00B66482" w:rsidP="00380AB8">
      <w:pPr>
        <w:spacing w:after="0" w:line="240" w:lineRule="auto"/>
        <w:jc w:val="both"/>
        <w:rPr>
          <w:rFonts w:ascii="Times New Roman" w:eastAsia="Times New Roman" w:hAnsi="Times New Roman" w:cs="Times New Roman"/>
          <w:kern w:val="0"/>
          <w:sz w:val="24"/>
          <w:szCs w:val="24"/>
          <w:lang w:eastAsia="fr-FR"/>
          <w14:ligatures w14:val="none"/>
        </w:rPr>
      </w:pPr>
    </w:p>
    <w:p w14:paraId="357E1AFF" w14:textId="517092CD" w:rsidR="00B66482" w:rsidRDefault="00B66482" w:rsidP="00B66482">
      <w:pPr>
        <w:spacing w:after="0" w:line="240" w:lineRule="auto"/>
        <w:rPr>
          <w:rStyle w:val="rynqvb"/>
          <w:b/>
          <w:bCs/>
          <w:sz w:val="28"/>
          <w:szCs w:val="28"/>
        </w:rPr>
      </w:pPr>
      <w:r w:rsidRPr="00B66482">
        <w:rPr>
          <w:rStyle w:val="rynqvb"/>
          <w:b/>
          <w:bCs/>
          <w:sz w:val="28"/>
          <w:szCs w:val="28"/>
        </w:rPr>
        <w:t>4</w:t>
      </w:r>
      <w:r>
        <w:rPr>
          <w:rStyle w:val="rynqvb"/>
          <w:b/>
          <w:bCs/>
          <w:sz w:val="28"/>
          <w:szCs w:val="28"/>
        </w:rPr>
        <w:t>.</w:t>
      </w:r>
      <w:r w:rsidRPr="00B66482">
        <w:rPr>
          <w:rStyle w:val="rynqvb"/>
          <w:b/>
          <w:bCs/>
          <w:sz w:val="28"/>
          <w:szCs w:val="28"/>
        </w:rPr>
        <w:t xml:space="preserve"> Autres </w:t>
      </w:r>
      <w:r w:rsidRPr="00B66482">
        <w:rPr>
          <w:rStyle w:val="rynqvb"/>
          <w:b/>
          <w:bCs/>
          <w:sz w:val="28"/>
          <w:szCs w:val="28"/>
        </w:rPr>
        <w:t>sujets</w:t>
      </w:r>
      <w:r w:rsidRPr="00B66482">
        <w:rPr>
          <w:rStyle w:val="rynqvb"/>
          <w:b/>
          <w:bCs/>
          <w:sz w:val="28"/>
          <w:szCs w:val="28"/>
        </w:rPr>
        <w:t xml:space="preserve"> </w:t>
      </w:r>
    </w:p>
    <w:p w14:paraId="78C24F7E" w14:textId="77777777" w:rsidR="00B66482" w:rsidRPr="00B66482" w:rsidRDefault="00B66482" w:rsidP="00B66482">
      <w:pPr>
        <w:spacing w:after="0" w:line="240" w:lineRule="auto"/>
        <w:rPr>
          <w:rStyle w:val="rynqvb"/>
          <w:b/>
          <w:bCs/>
          <w:sz w:val="28"/>
          <w:szCs w:val="28"/>
        </w:rPr>
      </w:pPr>
    </w:p>
    <w:p w14:paraId="1068922F" w14:textId="77777777" w:rsidR="00B66482" w:rsidRPr="00B66482" w:rsidRDefault="00B66482" w:rsidP="00B66482">
      <w:pPr>
        <w:spacing w:after="0" w:line="240" w:lineRule="auto"/>
        <w:rPr>
          <w:rStyle w:val="rynqvb"/>
          <w:b/>
          <w:bCs/>
          <w:sz w:val="28"/>
          <w:szCs w:val="28"/>
        </w:rPr>
      </w:pPr>
      <w:r w:rsidRPr="00B66482">
        <w:rPr>
          <w:rStyle w:val="rynqvb"/>
          <w:b/>
          <w:bCs/>
          <w:sz w:val="28"/>
          <w:szCs w:val="28"/>
        </w:rPr>
        <w:t xml:space="preserve">4.1 Localisation de l'épave et responsabilités </w:t>
      </w:r>
    </w:p>
    <w:p w14:paraId="662F7AD2" w14:textId="77777777" w:rsidR="00B66482" w:rsidRDefault="00B66482" w:rsidP="007910D3">
      <w:pPr>
        <w:spacing w:after="0"/>
        <w:jc w:val="both"/>
        <w:rPr>
          <w:rStyle w:val="rynqvb"/>
        </w:rPr>
      </w:pPr>
    </w:p>
    <w:p w14:paraId="5EB000A3" w14:textId="77777777" w:rsidR="00B66482" w:rsidRDefault="00B66482" w:rsidP="007910D3">
      <w:pPr>
        <w:spacing w:after="0"/>
        <w:jc w:val="both"/>
        <w:rPr>
          <w:rStyle w:val="rynqvb"/>
        </w:rPr>
      </w:pPr>
      <w:r>
        <w:rPr>
          <w:rStyle w:val="rynqvb"/>
        </w:rPr>
        <w:t xml:space="preserve">4.1.1 Dans certains cas d'aéronefs perdus en mer, il a été difficile d'établir avec certitude et rapidité le lieu exact de l'écrasement. Les indicateurs possibles incluent le dernier rapport radar et la présence d'une épave flottante, qui peut se trouver dans les eaux nationales ou internationales. </w:t>
      </w:r>
    </w:p>
    <w:p w14:paraId="0BFFA8E8" w14:textId="77777777" w:rsidR="00B66482" w:rsidRDefault="00B66482" w:rsidP="007910D3">
      <w:pPr>
        <w:spacing w:after="0"/>
        <w:jc w:val="both"/>
        <w:rPr>
          <w:rStyle w:val="rynqvb"/>
        </w:rPr>
      </w:pPr>
    </w:p>
    <w:p w14:paraId="091D0F6E" w14:textId="77777777" w:rsidR="00B66482" w:rsidRDefault="00B66482" w:rsidP="007910D3">
      <w:pPr>
        <w:spacing w:after="0"/>
        <w:jc w:val="both"/>
        <w:rPr>
          <w:rStyle w:val="rynqvb"/>
        </w:rPr>
      </w:pPr>
      <w:r>
        <w:rPr>
          <w:rStyle w:val="rynqvb"/>
        </w:rPr>
        <w:t xml:space="preserve">4.1.2 Afin d'éviter tout litige susceptible de compromettre l'enquête, il est conseillé aux autorités nationales d'enquête concernées (État de l'événement (possible) et État d'immatriculation) de parvenir rapidement à un accord sur leurs responsabilités respectives. </w:t>
      </w:r>
    </w:p>
    <w:p w14:paraId="13674B3F" w14:textId="77777777" w:rsidR="00B66482" w:rsidRDefault="00B66482" w:rsidP="007910D3">
      <w:pPr>
        <w:spacing w:after="0"/>
        <w:jc w:val="both"/>
        <w:rPr>
          <w:rStyle w:val="rynqvb"/>
        </w:rPr>
      </w:pPr>
    </w:p>
    <w:p w14:paraId="15CC3D6A" w14:textId="77777777" w:rsidR="00B66482" w:rsidRPr="00B66482" w:rsidRDefault="00B66482" w:rsidP="00B66482">
      <w:pPr>
        <w:spacing w:after="0" w:line="240" w:lineRule="auto"/>
        <w:rPr>
          <w:rStyle w:val="rynqvb"/>
          <w:b/>
          <w:bCs/>
          <w:sz w:val="28"/>
          <w:szCs w:val="28"/>
        </w:rPr>
      </w:pPr>
      <w:r w:rsidRPr="00B66482">
        <w:rPr>
          <w:rStyle w:val="rynqvb"/>
          <w:b/>
          <w:bCs/>
          <w:sz w:val="28"/>
          <w:szCs w:val="28"/>
        </w:rPr>
        <w:t xml:space="preserve">4.2 Coûts </w:t>
      </w:r>
    </w:p>
    <w:p w14:paraId="1F02F999" w14:textId="77777777" w:rsidR="00B66482" w:rsidRDefault="00B66482" w:rsidP="007910D3">
      <w:pPr>
        <w:spacing w:after="0"/>
        <w:jc w:val="both"/>
        <w:rPr>
          <w:rStyle w:val="rynqvb"/>
        </w:rPr>
      </w:pPr>
    </w:p>
    <w:p w14:paraId="54615A97" w14:textId="575CD277" w:rsidR="00380AB8" w:rsidRDefault="00B66482" w:rsidP="007910D3">
      <w:pPr>
        <w:spacing w:after="0"/>
        <w:jc w:val="both"/>
        <w:rPr>
          <w:rStyle w:val="rynqvb"/>
        </w:rPr>
      </w:pPr>
      <w:r>
        <w:rPr>
          <w:rStyle w:val="rynqvb"/>
        </w:rPr>
        <w:t>4.2.1 Les coûts des enquêtes augmentent rapidement si l'épave ou les enregistreurs de vol doivent être récupérés sous l'eau, et ils peuvent dépasser le budget normal de l'autorité chargée des enquêtes de sécurité.</w:t>
      </w:r>
      <w:r>
        <w:rPr>
          <w:rStyle w:val="hwtze"/>
        </w:rPr>
        <w:t xml:space="preserve"> </w:t>
      </w:r>
      <w:r>
        <w:rPr>
          <w:rStyle w:val="rynqvb"/>
        </w:rPr>
        <w:t>Il est important que les responsables politiques et autres décideurs soient informés des obligations internationales des États en matière d'enquêtes sur les accidents d'aviation.</w:t>
      </w:r>
    </w:p>
    <w:p w14:paraId="1DA4F74E" w14:textId="77777777" w:rsidR="00D40EAF" w:rsidRDefault="00D40EAF" w:rsidP="007910D3">
      <w:pPr>
        <w:spacing w:after="0"/>
        <w:jc w:val="both"/>
        <w:rPr>
          <w:rStyle w:val="rynqvb"/>
        </w:rPr>
      </w:pPr>
    </w:p>
    <w:p w14:paraId="667121C7" w14:textId="77777777" w:rsidR="00D40EAF" w:rsidRDefault="00D40EAF" w:rsidP="007910D3">
      <w:pPr>
        <w:spacing w:after="0"/>
        <w:jc w:val="both"/>
        <w:rPr>
          <w:rStyle w:val="rynqvb"/>
        </w:rPr>
      </w:pPr>
      <w:r>
        <w:rPr>
          <w:rStyle w:val="rynqvb"/>
        </w:rPr>
        <w:t>4.2.2 Les coûts de location de navires et d'équipements spécialisés peuvent être exprimés comme suit : « frais de mobilisation + (tarif journalier x durée) + frais de démobilisation », plus, en règle générale, un budget supplémentaire de 20 % pour tous les consommables.</w:t>
      </w:r>
      <w:r>
        <w:rPr>
          <w:rStyle w:val="hwtze"/>
        </w:rPr>
        <w:t xml:space="preserve"> </w:t>
      </w:r>
      <w:r>
        <w:rPr>
          <w:rStyle w:val="rynqvb"/>
        </w:rPr>
        <w:t>Il est important d'obtenir des informations précises à l'avance sur le lieu de l'accident et sur les capacités du navire à louer avant l'affrètement, et de comprendre la nature de la tâche avant de choisir les autres outils.</w:t>
      </w:r>
      <w:r>
        <w:rPr>
          <w:rStyle w:val="hwtze"/>
        </w:rPr>
        <w:t xml:space="preserve"> </w:t>
      </w:r>
      <w:r>
        <w:rPr>
          <w:rStyle w:val="rynqvb"/>
        </w:rPr>
        <w:t>Le contrat d'affrètement avec le fournisseur du navire doit être vérifié pour en garantir l'équité et l'équilibre, et l'affréteur doit être conscient de ses responsabilités financières envers le navire et son équipage.</w:t>
      </w:r>
      <w:r>
        <w:rPr>
          <w:rStyle w:val="hwtze"/>
        </w:rPr>
        <w:t xml:space="preserve"> </w:t>
      </w:r>
      <w:r>
        <w:rPr>
          <w:rStyle w:val="rynqvb"/>
        </w:rPr>
        <w:t xml:space="preserve">Les questions de responsabilité doivent également être prises en compte. </w:t>
      </w:r>
    </w:p>
    <w:p w14:paraId="3F5FF582" w14:textId="77777777" w:rsidR="00D40EAF" w:rsidRDefault="00D40EAF" w:rsidP="007910D3">
      <w:pPr>
        <w:spacing w:after="0"/>
        <w:jc w:val="both"/>
        <w:rPr>
          <w:rStyle w:val="rynqvb"/>
        </w:rPr>
      </w:pPr>
    </w:p>
    <w:p w14:paraId="63BA3E78" w14:textId="77777777" w:rsidR="00D40EAF" w:rsidRDefault="00D40EAF" w:rsidP="00D40EAF">
      <w:pPr>
        <w:spacing w:after="0"/>
        <w:jc w:val="both"/>
        <w:rPr>
          <w:rStyle w:val="hwtze"/>
        </w:rPr>
      </w:pPr>
      <w:r>
        <w:rPr>
          <w:rStyle w:val="rynqvb"/>
        </w:rPr>
        <w:lastRenderedPageBreak/>
        <w:t>4.2.3 L'autorité chargée de l'enquête doit être préparée à l'éventualité que l'opération ne soit pas menée à bien rapidement.</w:t>
      </w:r>
      <w:r>
        <w:rPr>
          <w:rStyle w:val="hwtze"/>
        </w:rPr>
        <w:t xml:space="preserve"> </w:t>
      </w:r>
      <w:r>
        <w:rPr>
          <w:rStyle w:val="rynqvb"/>
        </w:rPr>
        <w:t>Si le site est situé loin en mer, ou si le navire part d'un port éloigné, même atteindre le lieu de l'accident peut prendre un temps considérable.</w:t>
      </w:r>
      <w:r>
        <w:rPr>
          <w:rStyle w:val="hwtze"/>
        </w:rPr>
        <w:t xml:space="preserve"> </w:t>
      </w:r>
    </w:p>
    <w:p w14:paraId="2463015B" w14:textId="77777777" w:rsidR="00D40EAF" w:rsidRDefault="00D40EAF" w:rsidP="00D40EAF">
      <w:pPr>
        <w:spacing w:after="0"/>
        <w:jc w:val="both"/>
        <w:rPr>
          <w:rStyle w:val="hwtze"/>
        </w:rPr>
      </w:pPr>
    </w:p>
    <w:p w14:paraId="194E3339" w14:textId="77777777" w:rsidR="00D40EAF" w:rsidRDefault="00D40EAF" w:rsidP="00D40EAF">
      <w:pPr>
        <w:spacing w:after="0"/>
        <w:jc w:val="both"/>
        <w:rPr>
          <w:rStyle w:val="rynqvb"/>
        </w:rPr>
      </w:pPr>
      <w:r>
        <w:rPr>
          <w:rStyle w:val="rynqvb"/>
        </w:rPr>
        <w:t xml:space="preserve">4.2.4 Les décideurs et les responsables politiques doivent être informés des coûts et des délais, et l'autorité chargée de l'enquête doit disposer d'une procédure d'accès aux fonds d'urgence. </w:t>
      </w:r>
    </w:p>
    <w:p w14:paraId="45BE5721" w14:textId="77777777" w:rsidR="00D40EAF" w:rsidRDefault="00D40EAF" w:rsidP="00D40EAF">
      <w:pPr>
        <w:spacing w:after="0"/>
        <w:jc w:val="both"/>
        <w:rPr>
          <w:rStyle w:val="rynqvb"/>
        </w:rPr>
      </w:pPr>
    </w:p>
    <w:p w14:paraId="6E836F90" w14:textId="7AFB6492" w:rsidR="00D40EAF" w:rsidRDefault="00D40EAF" w:rsidP="00D40EAF">
      <w:pPr>
        <w:spacing w:after="0"/>
        <w:jc w:val="both"/>
        <w:rPr>
          <w:rStyle w:val="rynqvb"/>
        </w:rPr>
      </w:pPr>
      <w:r>
        <w:rPr>
          <w:rStyle w:val="rynqvb"/>
        </w:rPr>
        <w:t>4.2.5 Dans de nombreux cas, l'assurance commerciale d'un aéronef peut être utilisée par l'enquête pour couvrir au moins une partie des frais de recherche et de récupération. Pour garantir une issue positive, il est fortement recommandé à l'autorité chargée de l'enquête de sécurité de contacter les assureurs de l'aéronef le plus tôt possible, probablement par l'intermédiaire de leur expert en sinistres.</w:t>
      </w:r>
    </w:p>
    <w:p w14:paraId="47E853E0" w14:textId="77777777" w:rsidR="00D40EAF" w:rsidRDefault="00D40EAF" w:rsidP="00D40EAF">
      <w:pPr>
        <w:spacing w:after="0"/>
        <w:jc w:val="both"/>
        <w:rPr>
          <w:rStyle w:val="rynqvb"/>
        </w:rPr>
      </w:pPr>
    </w:p>
    <w:p w14:paraId="46A6981A" w14:textId="77777777" w:rsidR="00D40EAF" w:rsidRDefault="00D40EAF" w:rsidP="00D40EAF">
      <w:pPr>
        <w:spacing w:after="0"/>
        <w:jc w:val="both"/>
        <w:rPr>
          <w:rStyle w:val="rynqvb"/>
        </w:rPr>
      </w:pPr>
    </w:p>
    <w:p w14:paraId="06E036BD" w14:textId="77777777" w:rsidR="00D40EAF" w:rsidRDefault="00D40EAF" w:rsidP="00D40EAF">
      <w:pPr>
        <w:spacing w:after="0" w:line="240" w:lineRule="auto"/>
        <w:jc w:val="both"/>
        <w:rPr>
          <w:rFonts w:ascii="Times New Roman" w:eastAsia="Times New Roman" w:hAnsi="Times New Roman" w:cs="Times New Roman"/>
          <w:kern w:val="0"/>
          <w:sz w:val="24"/>
          <w:szCs w:val="24"/>
          <w:lang w:eastAsia="fr-FR"/>
          <w14:ligatures w14:val="none"/>
        </w:rPr>
      </w:pPr>
      <w:r w:rsidRPr="00D40EAF">
        <w:rPr>
          <w:rFonts w:ascii="Times New Roman" w:eastAsia="Times New Roman" w:hAnsi="Times New Roman" w:cs="Times New Roman"/>
          <w:kern w:val="0"/>
          <w:sz w:val="24"/>
          <w:szCs w:val="24"/>
          <w:lang w:eastAsia="fr-FR"/>
          <w14:ligatures w14:val="none"/>
        </w:rPr>
        <w:t xml:space="preserve">4.2.6 Dans d'autres cas, les coûts des opérations de recherche et de récupération ont été partagés avec d'autres parties concernées par l'aéronef, telles que l'exploitant, le constructeur ou l'affréteur. Le niveau d'implication de ces autres parties devrait être déterminé par l'autorité chargée des enquêtes de sécurité. </w:t>
      </w:r>
    </w:p>
    <w:p w14:paraId="49AE4E67" w14:textId="77777777" w:rsidR="00D40EAF" w:rsidRDefault="00D40EAF" w:rsidP="00D40EAF">
      <w:pPr>
        <w:spacing w:after="0" w:line="240" w:lineRule="auto"/>
        <w:jc w:val="both"/>
        <w:rPr>
          <w:rFonts w:ascii="Times New Roman" w:eastAsia="Times New Roman" w:hAnsi="Times New Roman" w:cs="Times New Roman"/>
          <w:kern w:val="0"/>
          <w:sz w:val="24"/>
          <w:szCs w:val="24"/>
          <w:lang w:eastAsia="fr-FR"/>
          <w14:ligatures w14:val="none"/>
        </w:rPr>
      </w:pPr>
    </w:p>
    <w:p w14:paraId="1C810F85" w14:textId="62A0B0DF" w:rsidR="00D40EAF" w:rsidRDefault="00D40EAF" w:rsidP="00D40EAF">
      <w:pPr>
        <w:spacing w:after="0" w:line="240" w:lineRule="auto"/>
        <w:jc w:val="both"/>
        <w:rPr>
          <w:rFonts w:ascii="Times New Roman" w:eastAsia="Times New Roman" w:hAnsi="Times New Roman" w:cs="Times New Roman"/>
          <w:kern w:val="0"/>
          <w:sz w:val="24"/>
          <w:szCs w:val="24"/>
          <w:lang w:eastAsia="fr-FR"/>
          <w14:ligatures w14:val="none"/>
        </w:rPr>
      </w:pPr>
      <w:r w:rsidRPr="00D40EAF">
        <w:rPr>
          <w:rFonts w:ascii="Times New Roman" w:eastAsia="Times New Roman" w:hAnsi="Times New Roman" w:cs="Times New Roman"/>
          <w:kern w:val="0"/>
          <w:sz w:val="24"/>
          <w:szCs w:val="24"/>
          <w:lang w:eastAsia="fr-FR"/>
          <w14:ligatures w14:val="none"/>
        </w:rPr>
        <w:t>4.2.7 Par ailleurs, au moins une autorité chargée des enquêtes de sécurité a souscrit une assurance commerciale couvrant ce type d'opération. Le contrôle de toute enquête financée par une telle assurance devrait rester entre les mains de l'autorité chargée des enquêtes de sécurité et non de l'assureur. Une telle police d'assurance pourrait prévoir qu'une partie des coûts totaux soit prise en charge par le demandeur (afin de l'inciter à n'engager que des frais raisonnables) et qu'une franchise pourrait également être prévue. Le recours à une société de courtage pourrait être envisagé.</w:t>
      </w:r>
    </w:p>
    <w:p w14:paraId="61120AC1" w14:textId="77777777" w:rsidR="00D40EAF" w:rsidRDefault="00D40EAF" w:rsidP="00D40EAF">
      <w:pPr>
        <w:spacing w:after="0" w:line="240" w:lineRule="auto"/>
        <w:jc w:val="both"/>
        <w:rPr>
          <w:rFonts w:ascii="Times New Roman" w:eastAsia="Times New Roman" w:hAnsi="Times New Roman" w:cs="Times New Roman"/>
          <w:kern w:val="0"/>
          <w:sz w:val="24"/>
          <w:szCs w:val="24"/>
          <w:lang w:eastAsia="fr-FR"/>
          <w14:ligatures w14:val="none"/>
        </w:rPr>
      </w:pPr>
    </w:p>
    <w:p w14:paraId="377E9854" w14:textId="77777777" w:rsidR="00D40EAF" w:rsidRPr="00D40EAF" w:rsidRDefault="00D40EAF" w:rsidP="00D40EAF">
      <w:pPr>
        <w:spacing w:after="0" w:line="240" w:lineRule="auto"/>
        <w:rPr>
          <w:rStyle w:val="rynqvb"/>
          <w:b/>
          <w:bCs/>
          <w:sz w:val="28"/>
          <w:szCs w:val="28"/>
        </w:rPr>
      </w:pPr>
      <w:r w:rsidRPr="00D40EAF">
        <w:rPr>
          <w:rStyle w:val="rynqvb"/>
          <w:b/>
          <w:bCs/>
          <w:sz w:val="28"/>
          <w:szCs w:val="28"/>
        </w:rPr>
        <w:t xml:space="preserve">5 Conclusion </w:t>
      </w:r>
    </w:p>
    <w:p w14:paraId="27F4DAFF" w14:textId="77777777" w:rsidR="00D40EAF" w:rsidRDefault="00D40EAF" w:rsidP="00D40EAF">
      <w:pPr>
        <w:spacing w:after="0" w:line="240" w:lineRule="auto"/>
        <w:jc w:val="both"/>
        <w:rPr>
          <w:rFonts w:ascii="Times New Roman" w:eastAsia="Times New Roman" w:hAnsi="Times New Roman" w:cs="Times New Roman"/>
          <w:kern w:val="0"/>
          <w:sz w:val="24"/>
          <w:szCs w:val="24"/>
          <w:lang w:eastAsia="fr-FR"/>
          <w14:ligatures w14:val="none"/>
        </w:rPr>
      </w:pPr>
    </w:p>
    <w:p w14:paraId="56354DEE" w14:textId="77777777" w:rsidR="00D40EAF" w:rsidRDefault="00D40EAF" w:rsidP="00D40EAF">
      <w:pPr>
        <w:spacing w:after="0" w:line="240" w:lineRule="auto"/>
        <w:jc w:val="both"/>
        <w:rPr>
          <w:rFonts w:ascii="Times New Roman" w:eastAsia="Times New Roman" w:hAnsi="Times New Roman" w:cs="Times New Roman"/>
          <w:kern w:val="0"/>
          <w:sz w:val="24"/>
          <w:szCs w:val="24"/>
          <w:lang w:eastAsia="fr-FR"/>
          <w14:ligatures w14:val="none"/>
        </w:rPr>
      </w:pPr>
      <w:r w:rsidRPr="00D40EAF">
        <w:rPr>
          <w:rFonts w:ascii="Times New Roman" w:eastAsia="Times New Roman" w:hAnsi="Times New Roman" w:cs="Times New Roman"/>
          <w:kern w:val="0"/>
          <w:sz w:val="24"/>
          <w:szCs w:val="24"/>
          <w:lang w:eastAsia="fr-FR"/>
          <w14:ligatures w14:val="none"/>
        </w:rPr>
        <w:t xml:space="preserve">5.1 La nécessité de mener une enquête sur la perte d'un aéronef en mer est une possibilité réelle pour tout État disposant d'un littoral ou d'une étendue d'eau intérieure, ou immatriculé dans ses registres, qui survole les eaux internationales. Compte tenu du nombre de parties prenantes, de la nécessité de sélectionner le matériel et l'expertise appropriés, du risque de coûts exorbitants et des défis posés par les opérations en mer, une telle enquête nécessitera une intervention minutieusement planifiée et rapide. </w:t>
      </w:r>
    </w:p>
    <w:p w14:paraId="2CAF3CE3" w14:textId="77777777" w:rsidR="00D40EAF" w:rsidRDefault="00D40EAF" w:rsidP="00D40EAF">
      <w:pPr>
        <w:spacing w:after="0" w:line="240" w:lineRule="auto"/>
        <w:jc w:val="both"/>
        <w:rPr>
          <w:rFonts w:ascii="Times New Roman" w:eastAsia="Times New Roman" w:hAnsi="Times New Roman" w:cs="Times New Roman"/>
          <w:kern w:val="0"/>
          <w:sz w:val="24"/>
          <w:szCs w:val="24"/>
          <w:lang w:eastAsia="fr-FR"/>
          <w14:ligatures w14:val="none"/>
        </w:rPr>
      </w:pPr>
    </w:p>
    <w:p w14:paraId="2654A246" w14:textId="77777777" w:rsidR="00D40EAF" w:rsidRDefault="00D40EAF" w:rsidP="00D40EAF">
      <w:pPr>
        <w:spacing w:after="0" w:line="240" w:lineRule="auto"/>
        <w:jc w:val="both"/>
        <w:rPr>
          <w:rFonts w:ascii="Times New Roman" w:eastAsia="Times New Roman" w:hAnsi="Times New Roman" w:cs="Times New Roman"/>
          <w:kern w:val="0"/>
          <w:sz w:val="24"/>
          <w:szCs w:val="24"/>
          <w:lang w:eastAsia="fr-FR"/>
          <w14:ligatures w14:val="none"/>
        </w:rPr>
      </w:pPr>
      <w:r w:rsidRPr="00D40EAF">
        <w:rPr>
          <w:rFonts w:ascii="Times New Roman" w:eastAsia="Times New Roman" w:hAnsi="Times New Roman" w:cs="Times New Roman"/>
          <w:kern w:val="0"/>
          <w:sz w:val="24"/>
          <w:szCs w:val="24"/>
          <w:lang w:eastAsia="fr-FR"/>
          <w14:ligatures w14:val="none"/>
        </w:rPr>
        <w:t xml:space="preserve">5.2 Ce document d'orientation fournit des conseils pour la planification et la préparation d'une telle enquête. Il souligne l'importance d'établir à l'avance des partenariats et des contacts utiles, l'utilité des listes de contrôle, la nécessité d'identifier et de trouver le financement et l'expertise nécessaires et, plus généralement, la nécessité pour l'autorité chargée de l'enquête de bien comprendre les outils et les moyens nécessaires à la réussite des opérations de recherche et de récupération. </w:t>
      </w:r>
    </w:p>
    <w:p w14:paraId="56812FAD" w14:textId="77777777" w:rsidR="00D40EAF" w:rsidRDefault="00D40EAF" w:rsidP="00D40EAF">
      <w:pPr>
        <w:spacing w:after="0" w:line="240" w:lineRule="auto"/>
        <w:jc w:val="both"/>
        <w:rPr>
          <w:rFonts w:ascii="Times New Roman" w:eastAsia="Times New Roman" w:hAnsi="Times New Roman" w:cs="Times New Roman"/>
          <w:kern w:val="0"/>
          <w:sz w:val="24"/>
          <w:szCs w:val="24"/>
          <w:lang w:eastAsia="fr-FR"/>
          <w14:ligatures w14:val="none"/>
        </w:rPr>
      </w:pPr>
    </w:p>
    <w:p w14:paraId="1668BF1C" w14:textId="77777777" w:rsidR="00D40EAF" w:rsidRDefault="00D40EAF" w:rsidP="00D40EAF">
      <w:pPr>
        <w:spacing w:after="0" w:line="240" w:lineRule="auto"/>
        <w:jc w:val="both"/>
        <w:rPr>
          <w:rFonts w:ascii="Times New Roman" w:eastAsia="Times New Roman" w:hAnsi="Times New Roman" w:cs="Times New Roman"/>
          <w:kern w:val="0"/>
          <w:sz w:val="24"/>
          <w:szCs w:val="24"/>
          <w:lang w:eastAsia="fr-FR"/>
          <w14:ligatures w14:val="none"/>
        </w:rPr>
      </w:pPr>
      <w:r w:rsidRPr="00D40EAF">
        <w:rPr>
          <w:rFonts w:ascii="Times New Roman" w:eastAsia="Times New Roman" w:hAnsi="Times New Roman" w:cs="Times New Roman"/>
          <w:kern w:val="0"/>
          <w:sz w:val="24"/>
          <w:szCs w:val="24"/>
          <w:lang w:eastAsia="fr-FR"/>
          <w14:ligatures w14:val="none"/>
        </w:rPr>
        <w:t xml:space="preserve">5.3 Le coût de ces opérations peut être considérable et il est important que les décideurs et les responsables politiques qui gèrent les fonds d'urgence disposent d'estimations réalistes des coûts et des délais, et qu'une police d'assurance soit envisagée. </w:t>
      </w:r>
    </w:p>
    <w:p w14:paraId="64E327CC" w14:textId="77777777" w:rsidR="00D40EAF" w:rsidRDefault="00D40EAF" w:rsidP="00D40EAF">
      <w:pPr>
        <w:spacing w:after="0" w:line="240" w:lineRule="auto"/>
        <w:jc w:val="both"/>
        <w:rPr>
          <w:rFonts w:ascii="Times New Roman" w:eastAsia="Times New Roman" w:hAnsi="Times New Roman" w:cs="Times New Roman"/>
          <w:kern w:val="0"/>
          <w:sz w:val="24"/>
          <w:szCs w:val="24"/>
          <w:lang w:eastAsia="fr-FR"/>
          <w14:ligatures w14:val="none"/>
        </w:rPr>
      </w:pPr>
    </w:p>
    <w:p w14:paraId="2B500B81" w14:textId="4B7865B8" w:rsidR="00D40EAF" w:rsidRDefault="00D40EAF" w:rsidP="00D40EAF">
      <w:pPr>
        <w:spacing w:after="0" w:line="240" w:lineRule="auto"/>
        <w:jc w:val="both"/>
        <w:rPr>
          <w:rFonts w:ascii="Times New Roman" w:eastAsia="Times New Roman" w:hAnsi="Times New Roman" w:cs="Times New Roman"/>
          <w:kern w:val="0"/>
          <w:sz w:val="24"/>
          <w:szCs w:val="24"/>
          <w:lang w:eastAsia="fr-FR"/>
          <w14:ligatures w14:val="none"/>
        </w:rPr>
      </w:pPr>
      <w:r w:rsidRPr="00D40EAF">
        <w:rPr>
          <w:rFonts w:ascii="Times New Roman" w:eastAsia="Times New Roman" w:hAnsi="Times New Roman" w:cs="Times New Roman"/>
          <w:kern w:val="0"/>
          <w:sz w:val="24"/>
          <w:szCs w:val="24"/>
          <w:lang w:eastAsia="fr-FR"/>
          <w14:ligatures w14:val="none"/>
        </w:rPr>
        <w:t>5.4 Les défis liés à la conduite d'opérations en mer ne doivent pas être sous-estimés. La frontière entre le succès et l'échec est souvent ténue, et tout ce qui peut être fait en amont, en préparation et en planification, augmentera les chances de succès.</w:t>
      </w:r>
    </w:p>
    <w:p w14:paraId="63422BB6" w14:textId="77777777" w:rsidR="00535E3F" w:rsidRDefault="00535E3F" w:rsidP="00D40EAF">
      <w:pPr>
        <w:spacing w:after="0" w:line="240" w:lineRule="auto"/>
        <w:jc w:val="both"/>
        <w:rPr>
          <w:rFonts w:ascii="Times New Roman" w:eastAsia="Times New Roman" w:hAnsi="Times New Roman" w:cs="Times New Roman"/>
          <w:kern w:val="0"/>
          <w:sz w:val="24"/>
          <w:szCs w:val="24"/>
          <w:lang w:eastAsia="fr-FR"/>
          <w14:ligatures w14:val="none"/>
        </w:rPr>
      </w:pPr>
    </w:p>
    <w:p w14:paraId="4B454C59" w14:textId="1DC03C1B" w:rsidR="00535E3F" w:rsidRDefault="00535E3F" w:rsidP="00535E3F">
      <w:pPr>
        <w:spacing w:after="0" w:line="240" w:lineRule="auto"/>
        <w:jc w:val="center"/>
        <w:rPr>
          <w:rFonts w:ascii="Times New Roman" w:eastAsia="Times New Roman" w:hAnsi="Times New Roman" w:cs="Times New Roman"/>
          <w:kern w:val="0"/>
          <w:sz w:val="24"/>
          <w:szCs w:val="24"/>
          <w:lang w:eastAsia="fr-FR"/>
          <w14:ligatures w14:val="none"/>
        </w:rPr>
      </w:pPr>
      <w:r w:rsidRPr="00535E3F">
        <w:rPr>
          <w:rFonts w:ascii="Times New Roman" w:eastAsia="Times New Roman" w:hAnsi="Times New Roman" w:cs="Times New Roman"/>
          <w:noProof/>
          <w:kern w:val="0"/>
          <w:sz w:val="24"/>
          <w:szCs w:val="24"/>
          <w:lang w:eastAsia="fr-FR"/>
          <w14:ligatures w14:val="none"/>
        </w:rPr>
        <w:drawing>
          <wp:inline distT="0" distB="0" distL="0" distR="0" wp14:anchorId="440237CB" wp14:editId="0FE34AFB">
            <wp:extent cx="3162300" cy="1752600"/>
            <wp:effectExtent l="0" t="0" r="0" b="0"/>
            <wp:docPr id="8174353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62300" cy="1752600"/>
                    </a:xfrm>
                    <a:prstGeom prst="rect">
                      <a:avLst/>
                    </a:prstGeom>
                    <a:noFill/>
                    <a:ln>
                      <a:noFill/>
                    </a:ln>
                  </pic:spPr>
                </pic:pic>
              </a:graphicData>
            </a:graphic>
          </wp:inline>
        </w:drawing>
      </w:r>
    </w:p>
    <w:p w14:paraId="08AD4635" w14:textId="77777777" w:rsidR="00D40EAF" w:rsidRDefault="00D40EAF" w:rsidP="00D40EAF">
      <w:pPr>
        <w:spacing w:after="0" w:line="240" w:lineRule="auto"/>
        <w:jc w:val="both"/>
        <w:rPr>
          <w:rFonts w:ascii="Times New Roman" w:eastAsia="Times New Roman" w:hAnsi="Times New Roman" w:cs="Times New Roman"/>
          <w:kern w:val="0"/>
          <w:sz w:val="24"/>
          <w:szCs w:val="24"/>
          <w:lang w:eastAsia="fr-FR"/>
          <w14:ligatures w14:val="none"/>
        </w:rPr>
      </w:pPr>
    </w:p>
    <w:p w14:paraId="7ABA0A95" w14:textId="77777777" w:rsidR="00D40EAF" w:rsidRDefault="00D40EAF" w:rsidP="00D40EAF">
      <w:pPr>
        <w:spacing w:after="0" w:line="240" w:lineRule="auto"/>
        <w:jc w:val="both"/>
        <w:rPr>
          <w:rFonts w:ascii="Times New Roman" w:eastAsia="Times New Roman" w:hAnsi="Times New Roman" w:cs="Times New Roman"/>
          <w:kern w:val="0"/>
          <w:sz w:val="24"/>
          <w:szCs w:val="24"/>
          <w:lang w:eastAsia="fr-FR"/>
          <w14:ligatures w14:val="none"/>
        </w:rPr>
      </w:pPr>
    </w:p>
    <w:p w14:paraId="6017756B" w14:textId="77777777" w:rsidR="00D40EAF" w:rsidRPr="00D40EAF" w:rsidRDefault="00D40EAF" w:rsidP="00D40EAF">
      <w:pPr>
        <w:spacing w:after="0" w:line="240" w:lineRule="auto"/>
        <w:jc w:val="both"/>
        <w:rPr>
          <w:rFonts w:ascii="Times New Roman" w:eastAsia="Times New Roman" w:hAnsi="Times New Roman" w:cs="Times New Roman"/>
          <w:kern w:val="0"/>
          <w:sz w:val="24"/>
          <w:szCs w:val="24"/>
          <w:lang w:eastAsia="fr-FR"/>
          <w14:ligatures w14:val="none"/>
        </w:rPr>
      </w:pPr>
    </w:p>
    <w:p w14:paraId="33135B39" w14:textId="77777777" w:rsidR="00D40EAF" w:rsidRDefault="00D40EAF" w:rsidP="007910D3">
      <w:pPr>
        <w:spacing w:after="0"/>
        <w:jc w:val="both"/>
        <w:rPr>
          <w:rStyle w:val="rynqvb"/>
        </w:rPr>
      </w:pPr>
    </w:p>
    <w:p w14:paraId="65B0CF98" w14:textId="77777777" w:rsidR="00D40EAF" w:rsidRDefault="00D40EAF" w:rsidP="007910D3">
      <w:pPr>
        <w:spacing w:after="0"/>
        <w:jc w:val="both"/>
        <w:rPr>
          <w:rStyle w:val="rynqvb"/>
        </w:rPr>
      </w:pPr>
    </w:p>
    <w:p w14:paraId="7FAF89DA" w14:textId="77777777" w:rsidR="00380AB8" w:rsidRDefault="00380AB8" w:rsidP="007910D3">
      <w:pPr>
        <w:spacing w:after="0"/>
        <w:jc w:val="both"/>
        <w:rPr>
          <w:rStyle w:val="rynqvb"/>
        </w:rPr>
      </w:pPr>
    </w:p>
    <w:p w14:paraId="515A92D2" w14:textId="77777777" w:rsidR="00380AB8" w:rsidRDefault="00380AB8" w:rsidP="007910D3">
      <w:pPr>
        <w:spacing w:after="0"/>
        <w:jc w:val="both"/>
        <w:rPr>
          <w:rStyle w:val="rynqvb"/>
        </w:rPr>
      </w:pPr>
    </w:p>
    <w:p w14:paraId="3644DD6D" w14:textId="77777777" w:rsidR="00325783" w:rsidRDefault="00325783" w:rsidP="00325783">
      <w:pPr>
        <w:jc w:val="center"/>
        <w:rPr>
          <w:rStyle w:val="rynqvb"/>
        </w:rPr>
      </w:pPr>
    </w:p>
    <w:p w14:paraId="36BA5EFF" w14:textId="77777777" w:rsidR="00325783" w:rsidRDefault="00325783" w:rsidP="00325783">
      <w:pPr>
        <w:jc w:val="both"/>
        <w:rPr>
          <w:rStyle w:val="rynqvb"/>
        </w:rPr>
      </w:pPr>
    </w:p>
    <w:p w14:paraId="6E2BC7C3" w14:textId="77777777" w:rsidR="00325783" w:rsidRDefault="00325783" w:rsidP="00325783">
      <w:pPr>
        <w:rPr>
          <w:rStyle w:val="rynqvb"/>
        </w:rPr>
      </w:pPr>
    </w:p>
    <w:p w14:paraId="11947347" w14:textId="77777777" w:rsidR="00325783" w:rsidRDefault="00325783" w:rsidP="00325783">
      <w:pPr>
        <w:jc w:val="both"/>
        <w:rPr>
          <w:rStyle w:val="rynqvb"/>
        </w:rPr>
      </w:pPr>
    </w:p>
    <w:p w14:paraId="206946C7" w14:textId="77777777" w:rsidR="00325783" w:rsidRDefault="00325783" w:rsidP="00325783">
      <w:pPr>
        <w:jc w:val="both"/>
        <w:rPr>
          <w:rStyle w:val="rynqvb"/>
        </w:rPr>
      </w:pPr>
    </w:p>
    <w:p w14:paraId="03D92995" w14:textId="77777777" w:rsidR="00325783" w:rsidRDefault="00325783" w:rsidP="00325783">
      <w:pPr>
        <w:jc w:val="both"/>
        <w:rPr>
          <w:rStyle w:val="rynqvb"/>
        </w:rPr>
      </w:pPr>
    </w:p>
    <w:p w14:paraId="1AF2995F" w14:textId="77777777" w:rsidR="00325783" w:rsidRDefault="00325783" w:rsidP="00325783">
      <w:pPr>
        <w:jc w:val="both"/>
        <w:rPr>
          <w:rStyle w:val="rynqvb"/>
        </w:rPr>
      </w:pPr>
    </w:p>
    <w:p w14:paraId="5D07598A" w14:textId="77777777" w:rsidR="00325783" w:rsidRDefault="00325783" w:rsidP="00325783">
      <w:pPr>
        <w:jc w:val="both"/>
        <w:rPr>
          <w:rStyle w:val="rynqvb"/>
        </w:rPr>
      </w:pPr>
    </w:p>
    <w:p w14:paraId="19F27BEA" w14:textId="77777777" w:rsidR="000B0B7A" w:rsidRDefault="000B0B7A" w:rsidP="00325783">
      <w:pPr>
        <w:jc w:val="both"/>
        <w:rPr>
          <w:rStyle w:val="rynqvb"/>
        </w:rPr>
      </w:pPr>
    </w:p>
    <w:p w14:paraId="3EA30C9D" w14:textId="77777777" w:rsidR="000B0B7A" w:rsidRDefault="000B0B7A" w:rsidP="00325783">
      <w:pPr>
        <w:jc w:val="both"/>
        <w:rPr>
          <w:rStyle w:val="rynqvb"/>
        </w:rPr>
      </w:pPr>
    </w:p>
    <w:p w14:paraId="4FF0898B" w14:textId="77777777" w:rsidR="000B0B7A" w:rsidRDefault="000B0B7A" w:rsidP="00EE6417">
      <w:pPr>
        <w:jc w:val="both"/>
        <w:rPr>
          <w:rStyle w:val="rynqvb"/>
        </w:rPr>
      </w:pPr>
    </w:p>
    <w:p w14:paraId="05F99E1E" w14:textId="77777777" w:rsidR="000B0B7A" w:rsidRDefault="000B0B7A" w:rsidP="00EE6417">
      <w:pPr>
        <w:jc w:val="both"/>
        <w:rPr>
          <w:rStyle w:val="rynqvb"/>
        </w:rPr>
      </w:pPr>
    </w:p>
    <w:p w14:paraId="595858D5" w14:textId="77777777" w:rsidR="000B0B7A" w:rsidRDefault="000B0B7A" w:rsidP="00EE6417">
      <w:pPr>
        <w:jc w:val="both"/>
        <w:rPr>
          <w:rStyle w:val="rynqvb"/>
        </w:rPr>
      </w:pPr>
    </w:p>
    <w:p w14:paraId="28087237" w14:textId="77777777" w:rsidR="000B0B7A" w:rsidRDefault="000B0B7A" w:rsidP="00EE6417">
      <w:pPr>
        <w:jc w:val="both"/>
        <w:rPr>
          <w:rStyle w:val="rynqvb"/>
        </w:rPr>
      </w:pPr>
    </w:p>
    <w:p w14:paraId="4853B1C5" w14:textId="77777777" w:rsidR="000B0B7A" w:rsidRDefault="000B0B7A" w:rsidP="00EE6417">
      <w:pPr>
        <w:jc w:val="both"/>
        <w:rPr>
          <w:rStyle w:val="rynqvb"/>
        </w:rPr>
      </w:pPr>
    </w:p>
    <w:p w14:paraId="10DC9CC2" w14:textId="77777777" w:rsidR="00EE6417" w:rsidRDefault="00EE6417" w:rsidP="00EE6417">
      <w:pPr>
        <w:jc w:val="both"/>
        <w:rPr>
          <w:rStyle w:val="rynqvb"/>
        </w:rPr>
      </w:pPr>
    </w:p>
    <w:p w14:paraId="5C8925FF" w14:textId="77777777" w:rsidR="00EE6417" w:rsidRDefault="00EE6417"/>
    <w:sectPr w:rsidR="00EE6417">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Berlin Sans FB Demi">
    <w:panose1 w:val="020E0802020502020306"/>
    <w:charset w:val="00"/>
    <w:family w:val="swiss"/>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6417"/>
    <w:rsid w:val="000B0B7A"/>
    <w:rsid w:val="000D3281"/>
    <w:rsid w:val="001E0C45"/>
    <w:rsid w:val="00325783"/>
    <w:rsid w:val="00380AB8"/>
    <w:rsid w:val="003A59C8"/>
    <w:rsid w:val="00535E3F"/>
    <w:rsid w:val="00633515"/>
    <w:rsid w:val="007910D3"/>
    <w:rsid w:val="00A75A64"/>
    <w:rsid w:val="00B66482"/>
    <w:rsid w:val="00B9226B"/>
    <w:rsid w:val="00BC20BB"/>
    <w:rsid w:val="00D40EAF"/>
    <w:rsid w:val="00EE641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E69B45"/>
  <w15:chartTrackingRefBased/>
  <w15:docId w15:val="{E248DF06-4F94-4A04-ADE9-304EB4CCFC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fr-F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EE6417"/>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re2">
    <w:name w:val="heading 2"/>
    <w:basedOn w:val="Normal"/>
    <w:next w:val="Normal"/>
    <w:link w:val="Titre2Car"/>
    <w:uiPriority w:val="9"/>
    <w:semiHidden/>
    <w:unhideWhenUsed/>
    <w:qFormat/>
    <w:rsid w:val="00EE6417"/>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re3">
    <w:name w:val="heading 3"/>
    <w:basedOn w:val="Normal"/>
    <w:next w:val="Normal"/>
    <w:link w:val="Titre3Car"/>
    <w:uiPriority w:val="9"/>
    <w:semiHidden/>
    <w:unhideWhenUsed/>
    <w:qFormat/>
    <w:rsid w:val="00EE6417"/>
    <w:pPr>
      <w:keepNext/>
      <w:keepLines/>
      <w:spacing w:before="160" w:after="80"/>
      <w:outlineLvl w:val="2"/>
    </w:pPr>
    <w:rPr>
      <w:rFonts w:eastAsiaTheme="majorEastAsia" w:cstheme="majorBidi"/>
      <w:color w:val="2F5496" w:themeColor="accent1" w:themeShade="BF"/>
      <w:sz w:val="28"/>
      <w:szCs w:val="28"/>
    </w:rPr>
  </w:style>
  <w:style w:type="paragraph" w:styleId="Titre4">
    <w:name w:val="heading 4"/>
    <w:basedOn w:val="Normal"/>
    <w:next w:val="Normal"/>
    <w:link w:val="Titre4Car"/>
    <w:uiPriority w:val="9"/>
    <w:semiHidden/>
    <w:unhideWhenUsed/>
    <w:qFormat/>
    <w:rsid w:val="00EE6417"/>
    <w:pPr>
      <w:keepNext/>
      <w:keepLines/>
      <w:spacing w:before="80" w:after="40"/>
      <w:outlineLvl w:val="3"/>
    </w:pPr>
    <w:rPr>
      <w:rFonts w:eastAsiaTheme="majorEastAsia" w:cstheme="majorBidi"/>
      <w:i/>
      <w:iCs/>
      <w:color w:val="2F5496" w:themeColor="accent1" w:themeShade="BF"/>
    </w:rPr>
  </w:style>
  <w:style w:type="paragraph" w:styleId="Titre5">
    <w:name w:val="heading 5"/>
    <w:basedOn w:val="Normal"/>
    <w:next w:val="Normal"/>
    <w:link w:val="Titre5Car"/>
    <w:uiPriority w:val="9"/>
    <w:semiHidden/>
    <w:unhideWhenUsed/>
    <w:qFormat/>
    <w:rsid w:val="00EE6417"/>
    <w:pPr>
      <w:keepNext/>
      <w:keepLines/>
      <w:spacing w:before="80" w:after="40"/>
      <w:outlineLvl w:val="4"/>
    </w:pPr>
    <w:rPr>
      <w:rFonts w:eastAsiaTheme="majorEastAsia" w:cstheme="majorBidi"/>
      <w:color w:val="2F5496" w:themeColor="accent1" w:themeShade="BF"/>
    </w:rPr>
  </w:style>
  <w:style w:type="paragraph" w:styleId="Titre6">
    <w:name w:val="heading 6"/>
    <w:basedOn w:val="Normal"/>
    <w:next w:val="Normal"/>
    <w:link w:val="Titre6Car"/>
    <w:uiPriority w:val="9"/>
    <w:semiHidden/>
    <w:unhideWhenUsed/>
    <w:qFormat/>
    <w:rsid w:val="00EE6417"/>
    <w:pPr>
      <w:keepNext/>
      <w:keepLines/>
      <w:spacing w:before="40" w:after="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EE6417"/>
    <w:pPr>
      <w:keepNext/>
      <w:keepLines/>
      <w:spacing w:before="40" w:after="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EE6417"/>
    <w:pPr>
      <w:keepNext/>
      <w:keepLines/>
      <w:spacing w:after="0"/>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EE6417"/>
    <w:pPr>
      <w:keepNext/>
      <w:keepLines/>
      <w:spacing w:after="0"/>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E6417"/>
    <w:rPr>
      <w:rFonts w:asciiTheme="majorHAnsi" w:eastAsiaTheme="majorEastAsia" w:hAnsiTheme="majorHAnsi" w:cstheme="majorBidi"/>
      <w:color w:val="2F5496" w:themeColor="accent1" w:themeShade="BF"/>
      <w:sz w:val="40"/>
      <w:szCs w:val="40"/>
    </w:rPr>
  </w:style>
  <w:style w:type="character" w:customStyle="1" w:styleId="Titre2Car">
    <w:name w:val="Titre 2 Car"/>
    <w:basedOn w:val="Policepardfaut"/>
    <w:link w:val="Titre2"/>
    <w:uiPriority w:val="9"/>
    <w:semiHidden/>
    <w:rsid w:val="00EE6417"/>
    <w:rPr>
      <w:rFonts w:asciiTheme="majorHAnsi" w:eastAsiaTheme="majorEastAsia" w:hAnsiTheme="majorHAnsi" w:cstheme="majorBidi"/>
      <w:color w:val="2F5496" w:themeColor="accent1" w:themeShade="BF"/>
      <w:sz w:val="32"/>
      <w:szCs w:val="32"/>
    </w:rPr>
  </w:style>
  <w:style w:type="character" w:customStyle="1" w:styleId="Titre3Car">
    <w:name w:val="Titre 3 Car"/>
    <w:basedOn w:val="Policepardfaut"/>
    <w:link w:val="Titre3"/>
    <w:uiPriority w:val="9"/>
    <w:semiHidden/>
    <w:rsid w:val="00EE6417"/>
    <w:rPr>
      <w:rFonts w:eastAsiaTheme="majorEastAsia" w:cstheme="majorBidi"/>
      <w:color w:val="2F5496" w:themeColor="accent1" w:themeShade="BF"/>
      <w:sz w:val="28"/>
      <w:szCs w:val="28"/>
    </w:rPr>
  </w:style>
  <w:style w:type="character" w:customStyle="1" w:styleId="Titre4Car">
    <w:name w:val="Titre 4 Car"/>
    <w:basedOn w:val="Policepardfaut"/>
    <w:link w:val="Titre4"/>
    <w:uiPriority w:val="9"/>
    <w:semiHidden/>
    <w:rsid w:val="00EE6417"/>
    <w:rPr>
      <w:rFonts w:eastAsiaTheme="majorEastAsia" w:cstheme="majorBidi"/>
      <w:i/>
      <w:iCs/>
      <w:color w:val="2F5496" w:themeColor="accent1" w:themeShade="BF"/>
    </w:rPr>
  </w:style>
  <w:style w:type="character" w:customStyle="1" w:styleId="Titre5Car">
    <w:name w:val="Titre 5 Car"/>
    <w:basedOn w:val="Policepardfaut"/>
    <w:link w:val="Titre5"/>
    <w:uiPriority w:val="9"/>
    <w:semiHidden/>
    <w:rsid w:val="00EE6417"/>
    <w:rPr>
      <w:rFonts w:eastAsiaTheme="majorEastAsia" w:cstheme="majorBidi"/>
      <w:color w:val="2F5496" w:themeColor="accent1" w:themeShade="BF"/>
    </w:rPr>
  </w:style>
  <w:style w:type="character" w:customStyle="1" w:styleId="Titre6Car">
    <w:name w:val="Titre 6 Car"/>
    <w:basedOn w:val="Policepardfaut"/>
    <w:link w:val="Titre6"/>
    <w:uiPriority w:val="9"/>
    <w:semiHidden/>
    <w:rsid w:val="00EE6417"/>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EE6417"/>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EE6417"/>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EE6417"/>
    <w:rPr>
      <w:rFonts w:eastAsiaTheme="majorEastAsia" w:cstheme="majorBidi"/>
      <w:color w:val="272727" w:themeColor="text1" w:themeTint="D8"/>
    </w:rPr>
  </w:style>
  <w:style w:type="paragraph" w:styleId="Titre">
    <w:name w:val="Title"/>
    <w:basedOn w:val="Normal"/>
    <w:next w:val="Normal"/>
    <w:link w:val="TitreCar"/>
    <w:uiPriority w:val="10"/>
    <w:qFormat/>
    <w:rsid w:val="00EE64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EE6417"/>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EE6417"/>
    <w:pPr>
      <w:numPr>
        <w:ilvl w:val="1"/>
      </w:numPr>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EE6417"/>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EE6417"/>
    <w:pPr>
      <w:spacing w:before="160"/>
      <w:jc w:val="center"/>
    </w:pPr>
    <w:rPr>
      <w:i/>
      <w:iCs/>
      <w:color w:val="404040" w:themeColor="text1" w:themeTint="BF"/>
    </w:rPr>
  </w:style>
  <w:style w:type="character" w:customStyle="1" w:styleId="CitationCar">
    <w:name w:val="Citation Car"/>
    <w:basedOn w:val="Policepardfaut"/>
    <w:link w:val="Citation"/>
    <w:uiPriority w:val="29"/>
    <w:rsid w:val="00EE6417"/>
    <w:rPr>
      <w:i/>
      <w:iCs/>
      <w:color w:val="404040" w:themeColor="text1" w:themeTint="BF"/>
    </w:rPr>
  </w:style>
  <w:style w:type="paragraph" w:styleId="Paragraphedeliste">
    <w:name w:val="List Paragraph"/>
    <w:basedOn w:val="Normal"/>
    <w:uiPriority w:val="34"/>
    <w:qFormat/>
    <w:rsid w:val="00EE6417"/>
    <w:pPr>
      <w:ind w:left="720"/>
      <w:contextualSpacing/>
    </w:pPr>
  </w:style>
  <w:style w:type="character" w:styleId="Accentuationintense">
    <w:name w:val="Intense Emphasis"/>
    <w:basedOn w:val="Policepardfaut"/>
    <w:uiPriority w:val="21"/>
    <w:qFormat/>
    <w:rsid w:val="00EE6417"/>
    <w:rPr>
      <w:i/>
      <w:iCs/>
      <w:color w:val="2F5496" w:themeColor="accent1" w:themeShade="BF"/>
    </w:rPr>
  </w:style>
  <w:style w:type="paragraph" w:styleId="Citationintense">
    <w:name w:val="Intense Quote"/>
    <w:basedOn w:val="Normal"/>
    <w:next w:val="Normal"/>
    <w:link w:val="CitationintenseCar"/>
    <w:uiPriority w:val="30"/>
    <w:qFormat/>
    <w:rsid w:val="00EE6417"/>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onintenseCar">
    <w:name w:val="Citation intense Car"/>
    <w:basedOn w:val="Policepardfaut"/>
    <w:link w:val="Citationintense"/>
    <w:uiPriority w:val="30"/>
    <w:rsid w:val="00EE6417"/>
    <w:rPr>
      <w:i/>
      <w:iCs/>
      <w:color w:val="2F5496" w:themeColor="accent1" w:themeShade="BF"/>
    </w:rPr>
  </w:style>
  <w:style w:type="character" w:styleId="Rfrenceintense">
    <w:name w:val="Intense Reference"/>
    <w:basedOn w:val="Policepardfaut"/>
    <w:uiPriority w:val="32"/>
    <w:qFormat/>
    <w:rsid w:val="00EE6417"/>
    <w:rPr>
      <w:b/>
      <w:bCs/>
      <w:smallCaps/>
      <w:color w:val="2F5496" w:themeColor="accent1" w:themeShade="BF"/>
      <w:spacing w:val="5"/>
    </w:rPr>
  </w:style>
  <w:style w:type="character" w:customStyle="1" w:styleId="rynqvb">
    <w:name w:val="rynqvb"/>
    <w:basedOn w:val="Policepardfaut"/>
    <w:rsid w:val="00EE6417"/>
  </w:style>
  <w:style w:type="character" w:customStyle="1" w:styleId="hwtze">
    <w:name w:val="hwtze"/>
    <w:basedOn w:val="Policepardfaut"/>
    <w:rsid w:val="00EE64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image" Target="media/image15.emf"/><Relationship Id="rId3" Type="http://schemas.openxmlformats.org/officeDocument/2006/relationships/webSettings" Target="webSettings.xml"/><Relationship Id="rId7" Type="http://schemas.openxmlformats.org/officeDocument/2006/relationships/image" Target="media/image4.emf"/><Relationship Id="rId12" Type="http://schemas.openxmlformats.org/officeDocument/2006/relationships/image" Target="media/image9.emf"/><Relationship Id="rId17" Type="http://schemas.openxmlformats.org/officeDocument/2006/relationships/image" Target="media/image14.emf"/><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emf"/><Relationship Id="rId15" Type="http://schemas.openxmlformats.org/officeDocument/2006/relationships/image" Target="media/image12.emf"/><Relationship Id="rId10" Type="http://schemas.openxmlformats.org/officeDocument/2006/relationships/image" Target="media/image7.emf"/><Relationship Id="rId19" Type="http://schemas.openxmlformats.org/officeDocument/2006/relationships/fontTable" Target="fontTable.xml"/><Relationship Id="rId4" Type="http://schemas.openxmlformats.org/officeDocument/2006/relationships/image" Target="media/image1.emf"/><Relationship Id="rId9" Type="http://schemas.openxmlformats.org/officeDocument/2006/relationships/image" Target="media/image6.emf"/><Relationship Id="rId14" Type="http://schemas.openxmlformats.org/officeDocument/2006/relationships/image" Target="media/image1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14</Pages>
  <Words>4518</Words>
  <Characters>24853</Characters>
  <Application>Microsoft Office Word</Application>
  <DocSecurity>0</DocSecurity>
  <Lines>207</Lines>
  <Paragraphs>58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29313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CORINNE DELBARRE</dc:creator>
  <cp:keywords/>
  <dc:description/>
  <cp:lastModifiedBy>CORINNE DELBARRE</cp:lastModifiedBy>
  <cp:revision>3</cp:revision>
  <dcterms:created xsi:type="dcterms:W3CDTF">2025-08-30T11:06:00Z</dcterms:created>
  <dcterms:modified xsi:type="dcterms:W3CDTF">2025-08-30T12:22:00Z</dcterms:modified>
</cp:coreProperties>
</file>