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2452" w14:textId="2C5A654A" w:rsidR="00A221B0" w:rsidRPr="00262E87" w:rsidRDefault="00A221B0" w:rsidP="00FD0533">
      <w:p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 xml:space="preserve">Ce guide accompagne les enquêteurs </w:t>
      </w:r>
      <w:r w:rsidR="00BD6925">
        <w:rPr>
          <w:rFonts w:ascii="Candara" w:hAnsi="Candara"/>
        </w:rPr>
        <w:t>l’autorité d’enquête</w:t>
      </w:r>
      <w:r w:rsidRPr="00262E87">
        <w:rPr>
          <w:rFonts w:ascii="Candara" w:hAnsi="Candara"/>
        </w:rPr>
        <w:t xml:space="preserve">, en accord avec les principes de l’Annexe 13 de l’OACI, à la règlementation en vigueur et aux lignes directrices du manuel des politiques et des procédures d’enquêtes (MAN-OPS-01). </w:t>
      </w:r>
    </w:p>
    <w:p w14:paraId="6F4A0280" w14:textId="77777777" w:rsidR="00A221B0" w:rsidRPr="00262E87" w:rsidRDefault="00A221B0" w:rsidP="00FD0533">
      <w:p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>L’approche combine :</w:t>
      </w:r>
    </w:p>
    <w:p w14:paraId="054EE8DB" w14:textId="77777777" w:rsidR="00A221B0" w:rsidRPr="00262E87" w:rsidRDefault="00A221B0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ndara" w:hAnsi="Candara"/>
        </w:rPr>
      </w:pPr>
      <w:proofErr w:type="spellStart"/>
      <w:r w:rsidRPr="00262E87">
        <w:rPr>
          <w:rFonts w:ascii="Candara" w:hAnsi="Candara"/>
        </w:rPr>
        <w:t>AcciMap</w:t>
      </w:r>
      <w:proofErr w:type="spellEnd"/>
      <w:r w:rsidRPr="00262E87">
        <w:rPr>
          <w:rFonts w:ascii="Candara" w:hAnsi="Candara"/>
        </w:rPr>
        <w:t xml:space="preserve"> pour représenter graphiquement les interactions entre facteurs,</w:t>
      </w:r>
    </w:p>
    <w:p w14:paraId="3F47D2E1" w14:textId="77777777" w:rsidR="00A221B0" w:rsidRPr="00262E87" w:rsidRDefault="00A221B0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 xml:space="preserve">HFACS </w:t>
      </w:r>
      <w:r w:rsidR="005D5CB6" w:rsidRPr="00262E87">
        <w:rPr>
          <w:rFonts w:ascii="Candara" w:hAnsi="Candara"/>
        </w:rPr>
        <w:t xml:space="preserve">(Human </w:t>
      </w:r>
      <w:proofErr w:type="spellStart"/>
      <w:r w:rsidR="005D5CB6" w:rsidRPr="00262E87">
        <w:rPr>
          <w:rFonts w:ascii="Candara" w:hAnsi="Candara"/>
        </w:rPr>
        <w:t>Factors</w:t>
      </w:r>
      <w:proofErr w:type="spellEnd"/>
      <w:r w:rsidR="005D5CB6" w:rsidRPr="00262E87">
        <w:rPr>
          <w:rFonts w:ascii="Candara" w:hAnsi="Candara"/>
        </w:rPr>
        <w:t xml:space="preserve"> </w:t>
      </w:r>
      <w:proofErr w:type="spellStart"/>
      <w:r w:rsidR="005D5CB6" w:rsidRPr="00262E87">
        <w:rPr>
          <w:rFonts w:ascii="Candara" w:hAnsi="Candara"/>
        </w:rPr>
        <w:t>Analysis</w:t>
      </w:r>
      <w:proofErr w:type="spellEnd"/>
      <w:r w:rsidR="005D5CB6" w:rsidRPr="00262E87">
        <w:rPr>
          <w:rFonts w:ascii="Candara" w:hAnsi="Candara"/>
        </w:rPr>
        <w:t xml:space="preserve"> and Classification System) </w:t>
      </w:r>
      <w:r w:rsidRPr="00262E87">
        <w:rPr>
          <w:rFonts w:ascii="Candara" w:hAnsi="Candara"/>
        </w:rPr>
        <w:t>pour classifier les facteurs humains,</w:t>
      </w:r>
    </w:p>
    <w:p w14:paraId="4171D9DB" w14:textId="77777777" w:rsidR="00A221B0" w:rsidRPr="00262E87" w:rsidRDefault="00A221B0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 xml:space="preserve">Techniques de Root Cause </w:t>
      </w:r>
      <w:proofErr w:type="spellStart"/>
      <w:r w:rsidRPr="00262E87">
        <w:rPr>
          <w:rFonts w:ascii="Candara" w:hAnsi="Candara"/>
        </w:rPr>
        <w:t>Analysis</w:t>
      </w:r>
      <w:proofErr w:type="spellEnd"/>
      <w:r w:rsidRPr="00262E87">
        <w:rPr>
          <w:rFonts w:ascii="Candara" w:hAnsi="Candara"/>
        </w:rPr>
        <w:t xml:space="preserve"> (5 </w:t>
      </w:r>
      <w:proofErr w:type="spellStart"/>
      <w:r w:rsidRPr="00262E87">
        <w:rPr>
          <w:rFonts w:ascii="Candara" w:hAnsi="Candara"/>
        </w:rPr>
        <w:t>Whys</w:t>
      </w:r>
      <w:proofErr w:type="spellEnd"/>
      <w:r w:rsidRPr="00262E87">
        <w:rPr>
          <w:rFonts w:ascii="Candara" w:hAnsi="Candara"/>
        </w:rPr>
        <w:t xml:space="preserve">, Brainstorming et </w:t>
      </w:r>
      <w:proofErr w:type="spellStart"/>
      <w:r w:rsidRPr="00262E87">
        <w:rPr>
          <w:rFonts w:ascii="Candara" w:hAnsi="Candara"/>
        </w:rPr>
        <w:t>Fault</w:t>
      </w:r>
      <w:proofErr w:type="spellEnd"/>
      <w:r w:rsidRPr="00262E87">
        <w:rPr>
          <w:rFonts w:ascii="Candara" w:hAnsi="Candara"/>
        </w:rPr>
        <w:t xml:space="preserve"> </w:t>
      </w:r>
      <w:proofErr w:type="spellStart"/>
      <w:r w:rsidRPr="00262E87">
        <w:rPr>
          <w:rFonts w:ascii="Candara" w:hAnsi="Candara"/>
        </w:rPr>
        <w:t>Tree</w:t>
      </w:r>
      <w:proofErr w:type="spellEnd"/>
      <w:r w:rsidRPr="00262E87">
        <w:rPr>
          <w:rFonts w:ascii="Candara" w:hAnsi="Candara"/>
        </w:rPr>
        <w:t xml:space="preserve"> </w:t>
      </w:r>
      <w:proofErr w:type="spellStart"/>
      <w:r w:rsidRPr="00262E87">
        <w:rPr>
          <w:rFonts w:ascii="Candara" w:hAnsi="Candara"/>
        </w:rPr>
        <w:t>Analysis</w:t>
      </w:r>
      <w:proofErr w:type="spellEnd"/>
      <w:r w:rsidRPr="00262E87">
        <w:rPr>
          <w:rFonts w:ascii="Candara" w:hAnsi="Candara"/>
        </w:rPr>
        <w:t>) pour approfondir l’analyse des causes profondes.</w:t>
      </w:r>
    </w:p>
    <w:p w14:paraId="47BF7169" w14:textId="393D6381" w:rsidR="00A221B0" w:rsidRPr="00262E87" w:rsidRDefault="00A221B0" w:rsidP="00FD0533">
      <w:p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 xml:space="preserve">Cette méthodologie garantit que les enquêtes menées sont rigoureuses, complètes et conformes aux standards internationaux et nationaux de sécurité </w:t>
      </w:r>
      <w:proofErr w:type="gramStart"/>
      <w:r w:rsidRPr="00262E87">
        <w:rPr>
          <w:rFonts w:ascii="Candara" w:hAnsi="Candara"/>
        </w:rPr>
        <w:t>aérienne..</w:t>
      </w:r>
      <w:proofErr w:type="gramEnd"/>
    </w:p>
    <w:p w14:paraId="166EB498" w14:textId="77777777" w:rsidR="00A221B0" w:rsidRPr="00262E87" w:rsidRDefault="00A221B0" w:rsidP="005D5CB6">
      <w:pPr>
        <w:spacing w:before="100" w:beforeAutospacing="1" w:after="100" w:afterAutospacing="1" w:line="276" w:lineRule="auto"/>
        <w:jc w:val="center"/>
        <w:rPr>
          <w:rFonts w:ascii="Candara" w:hAnsi="Candara"/>
          <w:b/>
          <w:bCs/>
        </w:rPr>
      </w:pPr>
      <w:r w:rsidRPr="00262E87">
        <w:rPr>
          <w:rFonts w:ascii="Candara" w:hAnsi="Candara"/>
          <w:b/>
          <w:bCs/>
        </w:rPr>
        <w:t>PROCESSUS</w:t>
      </w:r>
    </w:p>
    <w:p w14:paraId="3012F0D4" w14:textId="77777777" w:rsidR="00A221B0" w:rsidRPr="009879D5" w:rsidRDefault="00A221B0" w:rsidP="009879D5">
      <w:pPr>
        <w:pStyle w:val="Titre1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Étape 1 : Préparation </w:t>
      </w:r>
    </w:p>
    <w:p w14:paraId="61ADC50A" w14:textId="77777777" w:rsidR="00A221B0" w:rsidRPr="00262E87" w:rsidRDefault="00A221B0" w:rsidP="009720B3">
      <w:pPr>
        <w:jc w:val="both"/>
        <w:rPr>
          <w:rFonts w:ascii="Candara" w:hAnsi="Candara"/>
        </w:rPr>
      </w:pPr>
      <w:r w:rsidRPr="00262E87">
        <w:rPr>
          <w:rFonts w:ascii="Candara" w:hAnsi="Candara"/>
        </w:rPr>
        <w:t>Colliger les informations et documents collectés lors de la phase initiale d’enquête, y compris les rapports d’examens, essais et tests réalisés.</w:t>
      </w:r>
    </w:p>
    <w:p w14:paraId="626CEA2C" w14:textId="77777777" w:rsidR="009720B3" w:rsidRPr="009879D5" w:rsidRDefault="00A221B0" w:rsidP="009879D5">
      <w:pPr>
        <w:pStyle w:val="Titre1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>Étape 2 : Analyse des données disponibles et causes profondes</w:t>
      </w:r>
    </w:p>
    <w:p w14:paraId="07607626" w14:textId="77777777" w:rsidR="00A221B0" w:rsidRPr="00262E87" w:rsidRDefault="00A221B0" w:rsidP="009720B3">
      <w:pPr>
        <w:spacing w:line="276" w:lineRule="auto"/>
        <w:rPr>
          <w:rStyle w:val="apple-converted-space"/>
          <w:rFonts w:ascii="Candara" w:hAnsi="Candara"/>
          <w:i/>
          <w:iCs/>
          <w:color w:val="000000"/>
        </w:rPr>
      </w:pPr>
      <w:r w:rsidRPr="00262E87">
        <w:rPr>
          <w:rFonts w:ascii="Candara" w:hAnsi="Candara"/>
          <w:i/>
          <w:iCs/>
        </w:rPr>
        <w:t>(Identifier les causes immédiates, contributives et latentes avant la visualisation)</w:t>
      </w:r>
      <w:r w:rsidR="005D5CB6" w:rsidRPr="00262E87">
        <w:rPr>
          <w:rFonts w:ascii="Candara" w:hAnsi="Candara"/>
          <w:i/>
          <w:iCs/>
        </w:rPr>
        <w:br/>
        <w:t>(voir exemples dans contenus dans  les annexes 1 et 2)</w:t>
      </w:r>
    </w:p>
    <w:p w14:paraId="1AA15351" w14:textId="77777777" w:rsidR="00A221B0" w:rsidRPr="00262E87" w:rsidRDefault="00A221B0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>Examiner toutes les données techniques, opérationnelles, organisationnelles et environnementales.</w:t>
      </w:r>
    </w:p>
    <w:p w14:paraId="3A061727" w14:textId="77777777" w:rsidR="00A221B0" w:rsidRPr="00262E87" w:rsidRDefault="00A221B0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ndara" w:hAnsi="Candara"/>
        </w:rPr>
      </w:pPr>
      <w:r w:rsidRPr="00262E87">
        <w:rPr>
          <w:rFonts w:ascii="Candara" w:hAnsi="Candara"/>
        </w:rPr>
        <w:t>Identifier les acteurs impliqués : exploitant de l’aéronef, ATC, opérateur d’escale, exploitant d’aérodrome, constructeur, organisme de maintenance.</w:t>
      </w:r>
    </w:p>
    <w:p w14:paraId="16B30D03" w14:textId="77777777" w:rsidR="00A221B0" w:rsidRPr="00262E87" w:rsidRDefault="00A221B0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ndara" w:hAnsi="Candara"/>
          <w:b/>
          <w:bCs/>
        </w:rPr>
      </w:pP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Appliquer les méthodes </w:t>
      </w:r>
      <w:r w:rsidRPr="00262E87">
        <w:rPr>
          <w:rStyle w:val="lev"/>
          <w:rFonts w:ascii="Candara" w:eastAsiaTheme="majorEastAsia" w:hAnsi="Candara"/>
          <w:color w:val="000000"/>
        </w:rPr>
        <w:t xml:space="preserve">RCA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:</w:t>
      </w:r>
    </w:p>
    <w:p w14:paraId="6E06D765" w14:textId="77777777" w:rsidR="00FD0533" w:rsidRPr="00262E87" w:rsidRDefault="00FD0533">
      <w:pPr>
        <w:pStyle w:val="Paragraphedeliste"/>
        <w:numPr>
          <w:ilvl w:val="1"/>
          <w:numId w:val="6"/>
        </w:numPr>
        <w:tabs>
          <w:tab w:val="left" w:pos="1418"/>
        </w:tabs>
        <w:spacing w:before="100" w:beforeAutospacing="1" w:after="100" w:afterAutospacing="1" w:line="276" w:lineRule="auto"/>
        <w:ind w:left="4111" w:hanging="3118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t xml:space="preserve">5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Whys</w:t>
      </w:r>
      <w:proofErr w:type="spellEnd"/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 :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  <w:t>poser « pourquoi » plusieurs fois pour trouver la cause racine.</w:t>
      </w:r>
    </w:p>
    <w:p w14:paraId="17823D72" w14:textId="77777777" w:rsidR="00FD0533" w:rsidRPr="00262E87" w:rsidRDefault="00FD0533">
      <w:pPr>
        <w:pStyle w:val="Paragraphedeliste"/>
        <w:numPr>
          <w:ilvl w:val="1"/>
          <w:numId w:val="6"/>
        </w:numPr>
        <w:tabs>
          <w:tab w:val="left" w:pos="1418"/>
        </w:tabs>
        <w:spacing w:before="100" w:beforeAutospacing="1" w:after="100" w:afterAutospacing="1" w:line="276" w:lineRule="auto"/>
        <w:ind w:left="4111" w:hanging="3118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t>Brainstorming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 :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  <w:t>recueillir toutes les idées possibles sur les facteurs contributifs.</w:t>
      </w:r>
    </w:p>
    <w:p w14:paraId="7A7C0CB6" w14:textId="77777777" w:rsidR="005D5CB6" w:rsidRPr="00262E87" w:rsidRDefault="00FD0533">
      <w:pPr>
        <w:pStyle w:val="Paragraphedeliste"/>
        <w:numPr>
          <w:ilvl w:val="1"/>
          <w:numId w:val="6"/>
        </w:numPr>
        <w:tabs>
          <w:tab w:val="left" w:pos="1418"/>
        </w:tabs>
        <w:spacing w:before="100" w:beforeAutospacing="1" w:after="100" w:afterAutospacing="1" w:line="276" w:lineRule="auto"/>
        <w:ind w:left="4111" w:hanging="3118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Fault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Tree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Analysis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(FTA)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: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  <w:t>partir de l’événement pour remonter aux causes.</w:t>
      </w:r>
    </w:p>
    <w:p w14:paraId="04009B35" w14:textId="77777777" w:rsidR="005D5CB6" w:rsidRPr="00262E87" w:rsidRDefault="005D5CB6" w:rsidP="005D5CB6">
      <w:pPr>
        <w:pStyle w:val="Paragraphedeliste"/>
        <w:tabs>
          <w:tab w:val="left" w:pos="1418"/>
        </w:tabs>
        <w:spacing w:before="100" w:beforeAutospacing="1" w:after="100" w:afterAutospacing="1" w:line="276" w:lineRule="auto"/>
        <w:ind w:left="4111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</w:p>
    <w:p w14:paraId="264EE1C0" w14:textId="77777777" w:rsidR="005D5CB6" w:rsidRPr="00262E87" w:rsidRDefault="005D5CB6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lev"/>
          <w:rFonts w:eastAsiaTheme="majorEastAsi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b w:val="0"/>
          <w:bCs w:val="0"/>
        </w:rPr>
        <w:t>Classer les facteurs humains selon HFACS </w:t>
      </w:r>
    </w:p>
    <w:p w14:paraId="3B373DA5" w14:textId="77777777" w:rsidR="00FD0533" w:rsidRPr="00262E87" w:rsidRDefault="005D5CB6">
      <w:pPr>
        <w:pStyle w:val="Paragraphedeliste"/>
        <w:numPr>
          <w:ilvl w:val="1"/>
          <w:numId w:val="6"/>
        </w:numPr>
        <w:tabs>
          <w:tab w:val="left" w:pos="993"/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t>Erreurs actives (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Unsafe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Acts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>)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: 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br/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actions ou omissions ayant contribué directement à l’événement.</w:t>
      </w:r>
    </w:p>
    <w:p w14:paraId="5144B3F0" w14:textId="77777777" w:rsidR="00FD0533" w:rsidRPr="00262E87" w:rsidRDefault="005D5CB6">
      <w:pPr>
        <w:pStyle w:val="Paragraphedeliste"/>
        <w:numPr>
          <w:ilvl w:val="1"/>
          <w:numId w:val="6"/>
        </w:numPr>
        <w:tabs>
          <w:tab w:val="left" w:pos="993"/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t>Conditions prédisposantes (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Preconditions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for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Unsafe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Acts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>)</w:t>
      </w:r>
      <w:r w:rsidR="00FD0533" w:rsidRPr="00262E87">
        <w:rPr>
          <w:rStyle w:val="lev"/>
          <w:rFonts w:ascii="Candara" w:eastAsiaTheme="majorEastAsia" w:hAnsi="Candara"/>
          <w:color w:val="000000"/>
        </w:rPr>
        <w:t xml:space="preserve"> :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 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br/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facteurs ayant pu accroître le risque d’</w:t>
      </w:r>
      <w:proofErr w:type="spellStart"/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occurence</w:t>
      </w:r>
      <w:proofErr w:type="spellEnd"/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.</w:t>
      </w:r>
    </w:p>
    <w:p w14:paraId="53B7E596" w14:textId="77777777" w:rsidR="00FD0533" w:rsidRPr="00262E87" w:rsidRDefault="005D5CB6">
      <w:pPr>
        <w:pStyle w:val="Paragraphedeliste"/>
        <w:numPr>
          <w:ilvl w:val="1"/>
          <w:numId w:val="6"/>
        </w:numPr>
        <w:tabs>
          <w:tab w:val="left" w:pos="993"/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t>Facteurs organisationnels (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Organizational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Influences)</w:t>
      </w:r>
      <w:r w:rsidR="00FD0533" w:rsidRPr="00262E87">
        <w:rPr>
          <w:rStyle w:val="lev"/>
          <w:rFonts w:ascii="Candara" w:eastAsiaTheme="majorEastAsia" w:hAnsi="Candara"/>
          <w:color w:val="000000"/>
        </w:rPr>
        <w:t xml:space="preserve"> :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 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ab/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br/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pratiques, procédures, formation et supervision ayant influencé l’environnement.</w:t>
      </w:r>
    </w:p>
    <w:p w14:paraId="50EF9ECE" w14:textId="77777777" w:rsidR="00A411AA" w:rsidRPr="00262E87" w:rsidRDefault="005D5CB6">
      <w:pPr>
        <w:pStyle w:val="Paragraphedeliste"/>
        <w:numPr>
          <w:ilvl w:val="1"/>
          <w:numId w:val="6"/>
        </w:numPr>
        <w:tabs>
          <w:tab w:val="left" w:pos="993"/>
          <w:tab w:val="left" w:pos="1418"/>
        </w:tabs>
        <w:spacing w:before="100" w:beforeAutospacing="1" w:after="100" w:afterAutospacing="1" w:line="276" w:lineRule="auto"/>
        <w:ind w:left="1418" w:hanging="425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color w:val="000000"/>
        </w:rPr>
        <w:lastRenderedPageBreak/>
        <w:t>Influences réglementaires / sociétales (</w:t>
      </w:r>
      <w:proofErr w:type="spellStart"/>
      <w:r w:rsidRPr="00262E87">
        <w:rPr>
          <w:rStyle w:val="lev"/>
          <w:rFonts w:ascii="Candara" w:eastAsiaTheme="majorEastAsia" w:hAnsi="Candara"/>
          <w:color w:val="000000"/>
        </w:rPr>
        <w:t>External</w:t>
      </w:r>
      <w:proofErr w:type="spellEnd"/>
      <w:r w:rsidRPr="00262E87">
        <w:rPr>
          <w:rStyle w:val="lev"/>
          <w:rFonts w:ascii="Candara" w:eastAsiaTheme="majorEastAsia" w:hAnsi="Candara"/>
          <w:color w:val="000000"/>
        </w:rPr>
        <w:t xml:space="preserve"> Influences)</w:t>
      </w:r>
      <w:r w:rsidR="00FD0533" w:rsidRPr="00262E87">
        <w:rPr>
          <w:rStyle w:val="lev"/>
          <w:rFonts w:ascii="Candara" w:eastAsiaTheme="majorEastAsia" w:hAnsi="Candara"/>
          <w:color w:val="000000"/>
        </w:rPr>
        <w:t xml:space="preserve"> :</w:t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 xml:space="preserve"> </w:t>
      </w: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br/>
      </w:r>
      <w:r w:rsidR="00FD0533"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règles, directives ou contraintes externes impactant le contexte.</w:t>
      </w:r>
    </w:p>
    <w:p w14:paraId="13AC3395" w14:textId="77777777" w:rsidR="00A221B0" w:rsidRPr="00262E87" w:rsidRDefault="00A221B0">
      <w:pPr>
        <w:pStyle w:val="NormalWeb"/>
        <w:numPr>
          <w:ilvl w:val="0"/>
          <w:numId w:val="3"/>
        </w:numPr>
        <w:rPr>
          <w:rFonts w:ascii="Candara" w:hAnsi="Candara"/>
          <w:color w:val="000000"/>
        </w:rPr>
      </w:pPr>
      <w:r w:rsidRPr="00262E87">
        <w:rPr>
          <w:rFonts w:ascii="Candara" w:hAnsi="Candara"/>
          <w:color w:val="000000"/>
        </w:rPr>
        <w:t>Documenter toutes les preuves et observations associées à chaque facteur HFACS et RCA.</w:t>
      </w:r>
    </w:p>
    <w:p w14:paraId="5043A070" w14:textId="77777777" w:rsidR="009720B3" w:rsidRPr="009879D5" w:rsidRDefault="00A221B0" w:rsidP="009879D5">
      <w:pPr>
        <w:pStyle w:val="Titre1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Étape 3 : Création du schéma </w:t>
      </w:r>
      <w:proofErr w:type="spellStart"/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>AcciMap</w:t>
      </w:r>
      <w:proofErr w:type="spellEnd"/>
    </w:p>
    <w:p w14:paraId="4D6EC333" w14:textId="77777777" w:rsidR="00A221B0" w:rsidRPr="00262E87" w:rsidRDefault="00A221B0" w:rsidP="009720B3">
      <w:pPr>
        <w:pStyle w:val="Titre3"/>
        <w:spacing w:before="0" w:beforeAutospacing="0" w:after="0" w:afterAutospacing="0"/>
        <w:rPr>
          <w:rFonts w:ascii="Candara" w:hAnsi="Candara"/>
          <w:b w:val="0"/>
          <w:bCs w:val="0"/>
          <w:i/>
          <w:iCs/>
          <w:color w:val="000000"/>
          <w:sz w:val="24"/>
          <w:szCs w:val="24"/>
        </w:rPr>
      </w:pPr>
      <w:r w:rsidRPr="00262E87">
        <w:rPr>
          <w:rFonts w:ascii="Candara" w:hAnsi="Candara"/>
          <w:b w:val="0"/>
          <w:bCs w:val="0"/>
          <w:i/>
          <w:iCs/>
          <w:color w:val="000000"/>
          <w:sz w:val="24"/>
          <w:szCs w:val="24"/>
        </w:rPr>
        <w:t>(Visualiser graphiquement les relations de cause à effet en s’appuyant sur l’analyse des causes profondes.)</w:t>
      </w:r>
    </w:p>
    <w:p w14:paraId="2D43658D" w14:textId="77777777" w:rsidR="00A221B0" w:rsidRPr="00262E87" w:rsidRDefault="00A221B0" w:rsidP="00A221B0">
      <w:pPr>
        <w:pStyle w:val="Titre3"/>
        <w:rPr>
          <w:rFonts w:ascii="Candara" w:hAnsi="Candara"/>
          <w:i/>
          <w:iCs/>
          <w:color w:val="000000"/>
          <w:sz w:val="24"/>
          <w:szCs w:val="24"/>
        </w:rPr>
      </w:pPr>
      <w:r w:rsidRPr="00262E87">
        <w:rPr>
          <w:rStyle w:val="lev"/>
          <w:rFonts w:ascii="Candara" w:eastAsiaTheme="majorEastAsia" w:hAnsi="Candara"/>
          <w:color w:val="000000"/>
          <w:sz w:val="24"/>
          <w:szCs w:val="24"/>
        </w:rPr>
        <w:t>Sur la base de l’analyse réalisée à l’étape 2,</w:t>
      </w:r>
    </w:p>
    <w:p w14:paraId="0D9BACE4" w14:textId="77777777" w:rsidR="00A221B0" w:rsidRPr="00262E87" w:rsidRDefault="00A221B0">
      <w:pPr>
        <w:pStyle w:val="NormalWeb"/>
        <w:numPr>
          <w:ilvl w:val="0"/>
          <w:numId w:val="1"/>
        </w:numPr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Placer chaque facteur identifié et analysé (HFACS et RCA)  à son niveau hiérarchique : Externe, Organisationnel, Événements physiques, Résultat/</w:t>
      </w:r>
      <w:proofErr w:type="spellStart"/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Outcome</w:t>
      </w:r>
      <w:proofErr w:type="spellEnd"/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.</w:t>
      </w:r>
    </w:p>
    <w:p w14:paraId="28445210" w14:textId="77777777" w:rsidR="00A221B0" w:rsidRPr="00262E87" w:rsidRDefault="00A221B0">
      <w:pPr>
        <w:pStyle w:val="NormalWeb"/>
        <w:numPr>
          <w:ilvl w:val="0"/>
          <w:numId w:val="1"/>
        </w:numPr>
        <w:jc w:val="both"/>
        <w:rPr>
          <w:rStyle w:val="lev"/>
          <w:rFonts w:ascii="Candara" w:eastAsiaTheme="majorEastAsia" w:hAnsi="Candara"/>
          <w:b w:val="0"/>
          <w:bCs w:val="0"/>
          <w:color w:val="000000"/>
        </w:rPr>
      </w:pPr>
      <w:r w:rsidRPr="00262E87">
        <w:rPr>
          <w:rStyle w:val="lev"/>
          <w:rFonts w:ascii="Candara" w:eastAsiaTheme="majorEastAsia" w:hAnsi="Candara"/>
          <w:b w:val="0"/>
          <w:bCs w:val="0"/>
          <w:color w:val="000000"/>
        </w:rPr>
        <w:t>Relier les facteurs pour montrer interactions et relations causales.</w:t>
      </w:r>
    </w:p>
    <w:p w14:paraId="600D023B" w14:textId="77777777" w:rsidR="00A221B0" w:rsidRPr="00262E87" w:rsidRDefault="00A221B0" w:rsidP="00A221B0">
      <w:pPr>
        <w:pStyle w:val="NormalWeb"/>
        <w:ind w:left="720"/>
        <w:rPr>
          <w:rFonts w:ascii="Candara" w:hAnsi="Candara"/>
          <w:color w:val="000000"/>
        </w:rPr>
      </w:pPr>
      <w:r w:rsidRPr="00262E87">
        <w:rPr>
          <w:rFonts w:ascii="Candara" w:eastAsiaTheme="majorEastAsia" w:hAnsi="Candara"/>
          <w:b/>
          <w:bCs/>
          <w:noProof/>
          <w:color w:val="000000"/>
          <w14:ligatures w14:val="standardContextual"/>
        </w:rPr>
        <w:drawing>
          <wp:inline distT="0" distB="0" distL="0" distR="0" wp14:anchorId="7BEF34C4" wp14:editId="22C83CE4">
            <wp:extent cx="5760720" cy="2738120"/>
            <wp:effectExtent l="0" t="0" r="5080" b="5080"/>
            <wp:docPr id="20278446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44605" name="Image 20278446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B8A24" w14:textId="77777777" w:rsidR="00A221B0" w:rsidRPr="009879D5" w:rsidRDefault="00A221B0" w:rsidP="009879D5">
      <w:pPr>
        <w:pStyle w:val="Titre1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>Étape 4 : Synthèse et recommandations</w:t>
      </w:r>
    </w:p>
    <w:p w14:paraId="318F78D2" w14:textId="77777777" w:rsidR="00A221B0" w:rsidRPr="00262E87" w:rsidRDefault="00A221B0">
      <w:pPr>
        <w:pStyle w:val="NormalWeb"/>
        <w:numPr>
          <w:ilvl w:val="0"/>
          <w:numId w:val="2"/>
        </w:numPr>
        <w:rPr>
          <w:rStyle w:val="lev"/>
          <w:rFonts w:ascii="Candara" w:hAnsi="Candara"/>
          <w:b w:val="0"/>
          <w:bCs w:val="0"/>
          <w:color w:val="000000"/>
        </w:rPr>
      </w:pPr>
      <w:r w:rsidRPr="00262E87">
        <w:rPr>
          <w:rStyle w:val="lev"/>
          <w:rFonts w:ascii="Candara" w:hAnsi="Candara"/>
          <w:b w:val="0"/>
          <w:bCs w:val="0"/>
          <w:color w:val="000000"/>
        </w:rPr>
        <w:t>Identifier la cause principales et facteurs contributives</w:t>
      </w:r>
    </w:p>
    <w:p w14:paraId="681ADFF0" w14:textId="77777777" w:rsidR="00A221B0" w:rsidRPr="00262E87" w:rsidRDefault="00A221B0">
      <w:pPr>
        <w:pStyle w:val="NormalWeb"/>
        <w:numPr>
          <w:ilvl w:val="0"/>
          <w:numId w:val="2"/>
        </w:numPr>
        <w:rPr>
          <w:rFonts w:ascii="Candara" w:hAnsi="Candara"/>
          <w:color w:val="000000"/>
        </w:rPr>
      </w:pPr>
      <w:r w:rsidRPr="00262E87">
        <w:rPr>
          <w:rFonts w:ascii="Candara" w:hAnsi="Candara"/>
          <w:color w:val="000000"/>
        </w:rPr>
        <w:t>Formuler recommandations selon leur impact sur la sécurité aérienne.</w:t>
      </w:r>
    </w:p>
    <w:p w14:paraId="6A0DD73F" w14:textId="77777777" w:rsidR="00262E87" w:rsidRDefault="00262E87" w:rsidP="00262E87">
      <w:pPr>
        <w:pStyle w:val="NormalWeb"/>
        <w:spacing w:before="0" w:beforeAutospacing="0" w:after="0" w:afterAutospacing="0"/>
        <w:rPr>
          <w:rFonts w:ascii="Candara" w:hAnsi="Candara"/>
          <w:color w:val="808080" w:themeColor="background1" w:themeShade="80"/>
        </w:rPr>
      </w:pPr>
    </w:p>
    <w:p w14:paraId="30077CA8" w14:textId="77777777" w:rsidR="00262E87" w:rsidRPr="00B6218D" w:rsidRDefault="00262E87" w:rsidP="00262E87">
      <w:pPr>
        <w:pStyle w:val="NormalWeb"/>
        <w:spacing w:before="0" w:beforeAutospacing="0" w:after="0" w:afterAutospacing="0"/>
        <w:rPr>
          <w:rFonts w:ascii="Candara" w:hAnsi="Candara"/>
          <w:i/>
          <w:iCs/>
          <w:color w:val="808080" w:themeColor="background1" w:themeShade="80"/>
        </w:rPr>
      </w:pPr>
      <w:r w:rsidRPr="00B6218D">
        <w:rPr>
          <w:rFonts w:ascii="Candara" w:hAnsi="Candara"/>
          <w:i/>
          <w:iCs/>
          <w:color w:val="808080" w:themeColor="background1" w:themeShade="80"/>
        </w:rPr>
        <w:t xml:space="preserve">Annexes : </w:t>
      </w:r>
    </w:p>
    <w:p w14:paraId="2A45FAAC" w14:textId="77777777" w:rsidR="00262E87" w:rsidRPr="00B6218D" w:rsidRDefault="00262E8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ndara" w:hAnsi="Candara"/>
          <w:i/>
          <w:iCs/>
          <w:color w:val="808080" w:themeColor="background1" w:themeShade="80"/>
        </w:rPr>
      </w:pPr>
      <w:r w:rsidRPr="00B6218D">
        <w:rPr>
          <w:rFonts w:ascii="Candara" w:hAnsi="Candara"/>
          <w:i/>
          <w:iCs/>
          <w:color w:val="808080" w:themeColor="background1" w:themeShade="80"/>
        </w:rPr>
        <w:t>annexe 1 : méthodes RCA (exemples concrets)</w:t>
      </w:r>
    </w:p>
    <w:p w14:paraId="59AE5074" w14:textId="77777777" w:rsidR="00262E87" w:rsidRPr="00B6218D" w:rsidRDefault="00262E8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ndara" w:hAnsi="Candara"/>
          <w:i/>
          <w:iCs/>
          <w:color w:val="808080" w:themeColor="background1" w:themeShade="80"/>
        </w:rPr>
      </w:pPr>
      <w:r w:rsidRPr="00B6218D">
        <w:rPr>
          <w:rFonts w:ascii="Candara" w:hAnsi="Candara"/>
          <w:i/>
          <w:iCs/>
          <w:color w:val="808080" w:themeColor="background1" w:themeShade="80"/>
        </w:rPr>
        <w:t xml:space="preserve">annexe 2 : liste non exhaustive -classification HFACS </w:t>
      </w:r>
    </w:p>
    <w:p w14:paraId="0F516648" w14:textId="77777777" w:rsidR="00262E87" w:rsidRPr="00B6218D" w:rsidRDefault="00262E8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ndara" w:hAnsi="Candara"/>
          <w:i/>
          <w:iCs/>
          <w:color w:val="808080" w:themeColor="background1" w:themeShade="80"/>
        </w:rPr>
      </w:pPr>
      <w:r w:rsidRPr="00B6218D">
        <w:rPr>
          <w:rFonts w:ascii="Candara" w:hAnsi="Candara"/>
          <w:i/>
          <w:iCs/>
          <w:color w:val="808080" w:themeColor="background1" w:themeShade="80"/>
        </w:rPr>
        <w:t xml:space="preserve">annexe 3 : Document d'analyse de l'événement (document PPT) </w:t>
      </w:r>
    </w:p>
    <w:p w14:paraId="40CDA076" w14:textId="77777777" w:rsidR="00262E87" w:rsidRPr="00262E87" w:rsidRDefault="00262E8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ndara" w:hAnsi="Candara"/>
          <w:i/>
          <w:iCs/>
          <w:color w:val="808080" w:themeColor="background1" w:themeShade="80"/>
        </w:rPr>
        <w:sectPr w:rsidR="00262E87" w:rsidRPr="00262E87" w:rsidSect="00262E87">
          <w:headerReference w:type="default" r:id="rId8"/>
          <w:footerReference w:type="default" r:id="rId9"/>
          <w:pgSz w:w="11906" w:h="16838"/>
          <w:pgMar w:top="1417" w:right="850" w:bottom="1417" w:left="1417" w:header="708" w:footer="708" w:gutter="0"/>
          <w:pgNumType w:start="1"/>
          <w:cols w:space="708"/>
          <w:docGrid w:linePitch="360"/>
        </w:sectPr>
      </w:pPr>
    </w:p>
    <w:p w14:paraId="2B91B393" w14:textId="77777777" w:rsidR="00557CF5" w:rsidRDefault="00785D64" w:rsidP="009879D5">
      <w:pPr>
        <w:pStyle w:val="Titre1"/>
        <w:jc w:val="center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lastRenderedPageBreak/>
        <w:t>ANNEXE 1 : MÉTHODES RCA (EXEMPLES CONCRETS)</w:t>
      </w:r>
    </w:p>
    <w:p w14:paraId="0FA2C6AD" w14:textId="77777777" w:rsidR="009879D5" w:rsidRPr="009879D5" w:rsidRDefault="009879D5" w:rsidP="00987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7486"/>
      </w:tblGrid>
      <w:tr w:rsidR="00557CF5" w:rsidRPr="00785D64" w14:paraId="7759DA0B" w14:textId="77777777" w:rsidTr="00785D64">
        <w:trPr>
          <w:tblHeader/>
        </w:trPr>
        <w:tc>
          <w:tcPr>
            <w:tcW w:w="988" w:type="dxa"/>
            <w:vAlign w:val="center"/>
          </w:tcPr>
          <w:p w14:paraId="72AC9E21" w14:textId="77777777" w:rsidR="00557CF5" w:rsidRPr="00785D64" w:rsidRDefault="00557CF5" w:rsidP="00557CF5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Méthode</w:t>
            </w:r>
          </w:p>
        </w:tc>
        <w:tc>
          <w:tcPr>
            <w:tcW w:w="8074" w:type="dxa"/>
            <w:vAlign w:val="center"/>
          </w:tcPr>
          <w:p w14:paraId="633B5C89" w14:textId="77777777" w:rsidR="00557CF5" w:rsidRPr="00785D64" w:rsidRDefault="00557CF5" w:rsidP="00557CF5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Résultat / Causes identifiées</w:t>
            </w:r>
          </w:p>
        </w:tc>
      </w:tr>
      <w:tr w:rsidR="00557CF5" w:rsidRPr="00785D64" w14:paraId="36FA0829" w14:textId="77777777" w:rsidTr="00785D64">
        <w:tc>
          <w:tcPr>
            <w:tcW w:w="988" w:type="dxa"/>
            <w:shd w:val="clear" w:color="auto" w:fill="E2EFD9" w:themeFill="accent6" w:themeFillTint="33"/>
            <w:vAlign w:val="center"/>
          </w:tcPr>
          <w:p w14:paraId="4D0ED5E0" w14:textId="77777777" w:rsidR="00557CF5" w:rsidRPr="00785D64" w:rsidRDefault="00557CF5" w:rsidP="00557CF5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>Whys</w:t>
            </w:r>
            <w:proofErr w:type="spellEnd"/>
          </w:p>
        </w:tc>
        <w:tc>
          <w:tcPr>
            <w:tcW w:w="8074" w:type="dxa"/>
            <w:shd w:val="clear" w:color="auto" w:fill="E2EFD9" w:themeFill="accent6" w:themeFillTint="33"/>
            <w:vAlign w:val="center"/>
          </w:tcPr>
          <w:p w14:paraId="4D2FD235" w14:textId="77777777" w:rsidR="00557CF5" w:rsidRPr="00785D64" w:rsidRDefault="00557CF5" w:rsidP="00785D64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Identifier la chaîne de causes en posant «</w:t>
            </w:r>
            <w:r w:rsidRPr="00785D64">
              <w:rPr>
                <w:rFonts w:ascii="Arial" w:hAnsi="Arial" w:cs="Arial"/>
                <w:sz w:val="22"/>
                <w:szCs w:val="22"/>
              </w:rPr>
              <w:t> </w:t>
            </w:r>
            <w:r w:rsidRPr="00785D64">
              <w:rPr>
                <w:rFonts w:ascii="Candara" w:hAnsi="Candara"/>
                <w:sz w:val="22"/>
                <w:szCs w:val="22"/>
              </w:rPr>
              <w:t>pourquoi</w:t>
            </w:r>
            <w:r w:rsidRPr="00785D64">
              <w:rPr>
                <w:rFonts w:ascii="Arial" w:hAnsi="Arial" w:cs="Arial"/>
                <w:sz w:val="22"/>
                <w:szCs w:val="22"/>
              </w:rPr>
              <w:t> 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» plusieurs fois sur chaque événement clé. </w:t>
            </w:r>
          </w:p>
          <w:p w14:paraId="3EA0214F" w14:textId="77777777" w:rsidR="00557CF5" w:rsidRPr="00785D64" w:rsidRDefault="00557CF5" w:rsidP="00785D64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Exemples :</w:t>
            </w:r>
          </w:p>
          <w:p w14:paraId="202A9650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un CFIT (Collision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with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Terrain) a-t-il eu lieu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Pilote mal informé de l’altitude minimale de sécurité.</w:t>
            </w:r>
          </w:p>
          <w:p w14:paraId="1CD540E6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l’altitude minimale n’était-elle pas respectée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Mauvaise gestion de l’approche en conditions météorologiques dégradées.</w:t>
            </w:r>
          </w:p>
          <w:p w14:paraId="3C27761F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météo n’a-t-elle pas été correctement prise en compte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Informations ATIS incomplètes et absence de briefings détaillés.</w:t>
            </w:r>
          </w:p>
          <w:p w14:paraId="50EB5070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le pilote n’a-t-il pas compensé cette lacune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Manque de procédures locales pour les approches non stabilisées.</w:t>
            </w:r>
          </w:p>
          <w:p w14:paraId="6E79B5F9" w14:textId="77777777" w:rsidR="009E717F" w:rsidRPr="00785D64" w:rsidRDefault="009E717F" w:rsidP="00785D64">
            <w:pPr>
              <w:rPr>
                <w:rFonts w:ascii="Candara" w:hAnsi="Candara"/>
                <w:sz w:val="22"/>
                <w:szCs w:val="22"/>
              </w:rPr>
            </w:pPr>
          </w:p>
          <w:p w14:paraId="4E46F0C4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Pourquoi une perte de contrôle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Loss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of Control) s’est-elle produite en montée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Panne moteur non anticipée.</w:t>
            </w:r>
          </w:p>
          <w:p w14:paraId="128F6AD8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panne moteur n’a-t-elle pas été gérée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Formation insuffisante aux procédures d’urgence spécifiques au type d’aéronef.</w:t>
            </w:r>
          </w:p>
          <w:p w14:paraId="23029991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formation était-elle limitée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Programmes de formation non actualisés et suivi réglementaire faible.</w:t>
            </w:r>
          </w:p>
          <w:p w14:paraId="35CA12E3" w14:textId="77777777" w:rsidR="009E717F" w:rsidRPr="00785D64" w:rsidRDefault="009E717F" w:rsidP="00785D64">
            <w:pPr>
              <w:rPr>
                <w:rFonts w:ascii="Candara" w:hAnsi="Candara"/>
                <w:sz w:val="22"/>
                <w:szCs w:val="22"/>
              </w:rPr>
            </w:pPr>
          </w:p>
          <w:p w14:paraId="244365AF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un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Level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Bust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s’est-il produit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Mauvaise communication cockpit-ATC et instruments altimétriques mal calibrés.</w:t>
            </w:r>
          </w:p>
          <w:p w14:paraId="48A0AE89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calibration était-elle incorrecte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Maintenance des instruments incomplète et ressources techniques limitées.</w:t>
            </w:r>
          </w:p>
          <w:p w14:paraId="57548DF1" w14:textId="77777777" w:rsidR="00785D64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fatigue de l’équipage a-t-elle contribué à l’incident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Longues rotations, charge de travail excessive et manque de repos réglementaire.</w:t>
            </w:r>
          </w:p>
          <w:p w14:paraId="61D63E06" w14:textId="77777777" w:rsidR="009E717F" w:rsidRPr="00785D64" w:rsidRDefault="009E717F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les procédures d’urgence n’ont-elles pas été appliquées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Briefings insuffisants et supervision ATC limitée.</w:t>
            </w:r>
          </w:p>
          <w:p w14:paraId="73166676" w14:textId="77777777" w:rsidR="009E717F" w:rsidRPr="00785D64" w:rsidRDefault="009E717F" w:rsidP="00785D64">
            <w:pPr>
              <w:rPr>
                <w:rFonts w:ascii="Candara" w:hAnsi="Candara"/>
                <w:sz w:val="6"/>
                <w:szCs w:val="6"/>
              </w:rPr>
            </w:pPr>
          </w:p>
          <w:p w14:paraId="3D65A77E" w14:textId="77777777" w:rsidR="007432CC" w:rsidRPr="00785D64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le train d’atterrissage a-t-il cédé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Non-respect de la checklist de maintenance.</w:t>
            </w:r>
          </w:p>
          <w:p w14:paraId="7FD75287" w14:textId="77777777" w:rsidR="007432CC" w:rsidRPr="00785D64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checklist n’a-t-elle pas permis de détecter le défaut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Manque de formation spécifique sur le type d’aéronef.</w:t>
            </w:r>
          </w:p>
          <w:p w14:paraId="0286095F" w14:textId="77777777" w:rsidR="007432CC" w:rsidRPr="00785D64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la formation était-elle insuffisante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Procédures de formation non actualisées et suivi inadéquat par l’autorité nationale.</w:t>
            </w:r>
          </w:p>
          <w:p w14:paraId="6B222C98" w14:textId="77777777" w:rsidR="00785D64" w:rsidRPr="00785D64" w:rsidRDefault="00785D64" w:rsidP="00785D64">
            <w:pPr>
              <w:rPr>
                <w:rFonts w:ascii="Candara" w:hAnsi="Candara"/>
                <w:sz w:val="13"/>
                <w:szCs w:val="13"/>
              </w:rPr>
            </w:pPr>
          </w:p>
          <w:p w14:paraId="1915AE12" w14:textId="77777777" w:rsidR="007432CC" w:rsidRPr="00785D64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un moteur a-t-il perdu de la puissance en vol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Filtre carburant bouché.</w:t>
            </w:r>
          </w:p>
          <w:p w14:paraId="6FC3B3D7" w14:textId="77777777" w:rsidR="007432CC" w:rsidRPr="00785D64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le filtre était-il bouché ? </w:t>
            </w:r>
            <w:r w:rsid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Inspection retardée par manque de personnel qualifié.</w:t>
            </w:r>
          </w:p>
          <w:p w14:paraId="41D72E00" w14:textId="77777777" w:rsidR="007432CC" w:rsidRDefault="007432CC">
            <w:pPr>
              <w:pStyle w:val="Paragraphedeliste"/>
              <w:numPr>
                <w:ilvl w:val="0"/>
                <w:numId w:val="9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Pourquoi le personnel qualifié était-il indisponible ? </w:t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Rotation intensive des techniciens et contraintes horaires de l’exploitant.</w:t>
            </w:r>
          </w:p>
          <w:p w14:paraId="770C893E" w14:textId="77777777" w:rsidR="00785D64" w:rsidRPr="00785D64" w:rsidRDefault="00785D64" w:rsidP="00785D64">
            <w:pPr>
              <w:pStyle w:val="Paragraphedeliste"/>
              <w:rPr>
                <w:rFonts w:ascii="Candara" w:hAnsi="Candara"/>
                <w:sz w:val="22"/>
                <w:szCs w:val="22"/>
              </w:rPr>
            </w:pPr>
          </w:p>
        </w:tc>
      </w:tr>
      <w:tr w:rsidR="00557CF5" w:rsidRPr="00785D64" w14:paraId="2AC6CE2B" w14:textId="77777777" w:rsidTr="00785D64">
        <w:tc>
          <w:tcPr>
            <w:tcW w:w="988" w:type="dxa"/>
            <w:shd w:val="clear" w:color="auto" w:fill="FFF2CC" w:themeFill="accent4" w:themeFillTint="33"/>
            <w:vAlign w:val="center"/>
          </w:tcPr>
          <w:p w14:paraId="3117D175" w14:textId="77777777" w:rsidR="00557CF5" w:rsidRPr="00785D64" w:rsidRDefault="00557CF5" w:rsidP="009E717F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lastRenderedPageBreak/>
              <w:t>Brainstorming</w:t>
            </w:r>
          </w:p>
        </w:tc>
        <w:tc>
          <w:tcPr>
            <w:tcW w:w="8074" w:type="dxa"/>
            <w:shd w:val="clear" w:color="auto" w:fill="FFF2CC" w:themeFill="accent4" w:themeFillTint="33"/>
            <w:vAlign w:val="center"/>
          </w:tcPr>
          <w:p w14:paraId="79CB30B2" w14:textId="77777777" w:rsidR="00557CF5" w:rsidRPr="00785D64" w:rsidRDefault="00557CF5" w:rsidP="00785D64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Réunir tous les experts pour lister toutes les causes possibles. </w:t>
            </w:r>
          </w:p>
          <w:p w14:paraId="0318098A" w14:textId="77777777" w:rsidR="00557CF5" w:rsidRPr="00785D64" w:rsidRDefault="00557CF5" w:rsidP="00785D64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Exemples :</w:t>
            </w:r>
          </w:p>
          <w:p w14:paraId="4C32A3C3" w14:textId="77777777" w:rsidR="00557CF5" w:rsidRPr="00785D64" w:rsidRDefault="00557CF5" w:rsidP="00785D64">
            <w:pPr>
              <w:rPr>
                <w:rFonts w:ascii="Candara" w:hAnsi="Candara"/>
                <w:sz w:val="22"/>
                <w:szCs w:val="22"/>
              </w:rPr>
            </w:pPr>
          </w:p>
          <w:p w14:paraId="4DC14543" w14:textId="77777777" w:rsidR="00785D64" w:rsidRPr="00785D64" w:rsidRDefault="00785D64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CFIT : approche non stabilisée + briefing insuffisant + limitations de navigation sur certains aérodromes + fatigue du pilote + manque de surveillance radar secondaire.</w:t>
            </w:r>
          </w:p>
          <w:p w14:paraId="0A8AE885" w14:textId="77777777" w:rsidR="00785D64" w:rsidRPr="00785D64" w:rsidRDefault="00785D64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Loss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of Control : surcharge de travail en montée, alertes systèmes ignorées, communication cockpit faible, pression horaire de l’exploitant, instruments mal calibrés.</w:t>
            </w:r>
          </w:p>
          <w:p w14:paraId="0E06ED3E" w14:textId="77777777" w:rsidR="00785D64" w:rsidRPr="00785D64" w:rsidRDefault="00785D64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Loss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of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Separation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: trafic dense, contrôleurs ATC fatigués, procédures locales non harmonisées, absence de surveillance radar secondaire, communications ambiguës.</w:t>
            </w:r>
          </w:p>
          <w:p w14:paraId="3AC81C78" w14:textId="77777777" w:rsidR="00785D64" w:rsidRPr="00785D64" w:rsidRDefault="00785D64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Level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Bust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: pilote mal guidé par ATC, instruments de bord mal calibrés, fatigue de l’équipage, mauvaise coordination ATC-sol, distractions multiples.</w:t>
            </w:r>
          </w:p>
          <w:p w14:paraId="29F9033C" w14:textId="77777777" w:rsidR="00785D64" w:rsidRPr="00785D64" w:rsidRDefault="00785D64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Ground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Operation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: signalisation défectueuse, manque de coordination ATC-sol, véhicules au sol non détectés, visibilité limitée, formation insuffisante du personnel au sol.</w:t>
            </w:r>
          </w:p>
          <w:p w14:paraId="50FDCDE4" w14:textId="77777777" w:rsidR="00785D64" w:rsidRPr="00785D64" w:rsidRDefault="00785D64" w:rsidP="00785D64">
            <w:pPr>
              <w:rPr>
                <w:rFonts w:ascii="Candara" w:hAnsi="Candara"/>
                <w:sz w:val="22"/>
                <w:szCs w:val="22"/>
              </w:rPr>
            </w:pPr>
          </w:p>
          <w:p w14:paraId="33D08D67" w14:textId="77777777" w:rsidR="007432CC" w:rsidRPr="00785D64" w:rsidRDefault="007432CC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Facteurs opérationnels : arrivée tardive d’un avion sur un aéroport africain saturé, surcharge de travail de l’équipage planification inadéquate des vols régionaux.- Contraintes horaires : pressions pour remettre l’aéronef en ligne rapidement, respect des correspondances internationales, délais stricts imposés par l’exploitant.</w:t>
            </w:r>
          </w:p>
          <w:p w14:paraId="62CD7FA2" w14:textId="77777777" w:rsidR="007432CC" w:rsidRPr="00785D64" w:rsidRDefault="007432CC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Facteurs techniques : instruments de bord mal calibrés, systèmes de maintenance peu adaptés aux conditions locales (poussière, humidité, chaleur), équipements de navigation obsolètes ou non certifiés localement.</w:t>
            </w:r>
          </w:p>
          <w:p w14:paraId="00A6542E" w14:textId="77777777" w:rsidR="007432CC" w:rsidRPr="00785D64" w:rsidRDefault="007432CC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Facteurs organisationnels : culture sécurité faible, supervision limitée sur la maintenance sous-traitée, procédures internes non standardisées, absence de retour d’expérience systématique </w:t>
            </w:r>
          </w:p>
          <w:p w14:paraId="07F81286" w14:textId="77777777" w:rsidR="00785D64" w:rsidRPr="00785D64" w:rsidRDefault="007432CC">
            <w:pPr>
              <w:pStyle w:val="Paragraphedeliste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Facteurs environnementaux : vents forts, turbulences imprévues, orages soudains, aides à la navigation limitées ou inopérantes, éclairage insuffisant sur pistes secondaires.</w:t>
            </w:r>
          </w:p>
          <w:p w14:paraId="52EB5FCB" w14:textId="77777777" w:rsidR="00785D64" w:rsidRPr="00785D64" w:rsidRDefault="00785D64" w:rsidP="00785D6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57CF5" w:rsidRPr="00785D64" w14:paraId="000D90CE" w14:textId="77777777" w:rsidTr="00785D64">
        <w:tc>
          <w:tcPr>
            <w:tcW w:w="988" w:type="dxa"/>
            <w:shd w:val="clear" w:color="auto" w:fill="DEEAF6" w:themeFill="accent5" w:themeFillTint="33"/>
            <w:vAlign w:val="center"/>
          </w:tcPr>
          <w:p w14:paraId="27E01A7E" w14:textId="77777777" w:rsidR="00557CF5" w:rsidRPr="00785D64" w:rsidRDefault="00557CF5" w:rsidP="00557CF5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proofErr w:type="spellStart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>Fault</w:t>
            </w:r>
            <w:proofErr w:type="spellEnd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>Tree</w:t>
            </w:r>
            <w:proofErr w:type="spellEnd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Style w:val="lev"/>
                <w:rFonts w:ascii="Candara" w:hAnsi="Candara"/>
                <w:color w:val="000000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8074" w:type="dxa"/>
            <w:shd w:val="clear" w:color="auto" w:fill="DEEAF6" w:themeFill="accent5" w:themeFillTint="33"/>
            <w:vAlign w:val="center"/>
          </w:tcPr>
          <w:p w14:paraId="5B652991" w14:textId="77777777" w:rsidR="00557CF5" w:rsidRPr="00785D64" w:rsidRDefault="00557CF5" w:rsidP="00785D64">
            <w:pPr>
              <w:ind w:right="317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785D64">
              <w:rPr>
                <w:rFonts w:ascii="Candara" w:hAnsi="Candara"/>
                <w:color w:val="000000"/>
                <w:sz w:val="22"/>
                <w:szCs w:val="22"/>
              </w:rPr>
              <w:t xml:space="preserve">Construire un diagramme descendant à partir de l’événement pour identifier les causes combinées. </w:t>
            </w:r>
          </w:p>
          <w:p w14:paraId="52F878B1" w14:textId="77777777" w:rsidR="009E717F" w:rsidRPr="00785D64" w:rsidRDefault="00557CF5" w:rsidP="00785D64">
            <w:pPr>
              <w:ind w:right="317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785D64">
              <w:rPr>
                <w:rFonts w:ascii="Candara" w:hAnsi="Candara"/>
                <w:color w:val="000000"/>
                <w:sz w:val="22"/>
                <w:szCs w:val="22"/>
              </w:rPr>
              <w:t>Exemples :</w:t>
            </w:r>
          </w:p>
          <w:p w14:paraId="213AF00D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Mauvaise gestion de l’approche + ATIS incomplet + fatigue pilote + briefing d’approche non appliqué + instruments altimétriques mal calibrés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CFIT </w:t>
            </w:r>
          </w:p>
          <w:p w14:paraId="6D17DCB7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Perte moteur + surcharge de l’équipage + instrument mal calibré + pression commerciale pour respecter le plan de vol + absence de SOP locales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 w:cs="Arial"/>
                <w:sz w:val="22"/>
                <w:szCs w:val="22"/>
              </w:rPr>
              <w:t>Loss</w:t>
            </w:r>
            <w:proofErr w:type="spellEnd"/>
            <w:r w:rsidRPr="00785D64">
              <w:rPr>
                <w:rFonts w:ascii="Candara" w:hAnsi="Candara" w:cs="Arial"/>
                <w:sz w:val="22"/>
                <w:szCs w:val="22"/>
              </w:rPr>
              <w:t xml:space="preserve"> of Control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477B48F3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Conflit radar non détecté + procédure ATC ambiguë + communication radio défaillante + absence de support radar secondaire + surcharge </w:t>
            </w:r>
            <w:r w:rsidRPr="00785D64">
              <w:rPr>
                <w:rFonts w:ascii="Candara" w:hAnsi="Candara"/>
                <w:sz w:val="22"/>
                <w:szCs w:val="22"/>
              </w:rPr>
              <w:lastRenderedPageBreak/>
              <w:t xml:space="preserve">des contrôleurs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Loss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of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Separation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5FAA5E7A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Briefing ATC incomplet + distraction cockpit + instruments altimétriques défectueux + fatigue cumulative + erreurs de coordination ATC-pilote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Level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Bust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5F7641C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Véhicule sur piste + signalisation inadaptée + absence de SOP locale + manque de formation du personnel au sol + visibilité réduite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Ground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Operation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1EC84E55" w14:textId="77777777" w:rsidR="00785D64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Trafic dense + communication ATC ambiguë + absence de SOP locale + visibilité réduite + procédures locales non appliquées </w:t>
            </w:r>
            <w:r w:rsidR="005D5CB6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Incursion sur voie de circulation </w:t>
            </w:r>
          </w:p>
          <w:p w14:paraId="0571C349" w14:textId="77777777" w:rsidR="00557CF5" w:rsidRPr="00785D64" w:rsidRDefault="00557CF5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Défaillance mécanique (train d’atterrissage) + surveillance insuffisante (inspection partielle) + procédures d’exploitation ambiguës (checklists non adaptées).</w:t>
            </w:r>
          </w:p>
          <w:p w14:paraId="785D8808" w14:textId="77777777" w:rsidR="00557CF5" w:rsidRPr="00785D64" w:rsidRDefault="00557CF5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Mauvaise configuration du système de navigation + charge de travail excessive des pilotes + interruptions fréquentes des contrôleurs ATC 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incident de proximité aérienne.</w:t>
            </w:r>
          </w:p>
          <w:p w14:paraId="373883CF" w14:textId="77777777" w:rsidR="00557CF5" w:rsidRPr="00785D64" w:rsidRDefault="00557CF5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Non-détection d’une fissure sur longeron + stockage inadéquat pièces sensibles + contrôle réglementaire faible 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br/>
            </w:r>
            <w:r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Pr="00785D64">
              <w:rPr>
                <w:rFonts w:ascii="Candara" w:hAnsi="Candara"/>
                <w:sz w:val="22"/>
                <w:szCs w:val="22"/>
              </w:rPr>
              <w:t xml:space="preserve"> risque de rupture structurale.</w:t>
            </w:r>
          </w:p>
          <w:p w14:paraId="0E255B11" w14:textId="77777777" w:rsidR="007432CC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Surcharge </w:t>
            </w:r>
            <w:r w:rsidR="007432CC" w:rsidRPr="00785D64">
              <w:rPr>
                <w:rFonts w:ascii="Candara" w:hAnsi="Candara"/>
                <w:sz w:val="22"/>
                <w:szCs w:val="22"/>
              </w:rPr>
              <w:t>de l’avion + mauvaise distribution du carburant + fatigue de l’équipage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br/>
            </w:r>
            <w:r w:rsidR="009E717F"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 xml:space="preserve"> Perte de contrôle au décollage</w:t>
            </w:r>
          </w:p>
          <w:p w14:paraId="4A235DDD" w14:textId="77777777" w:rsidR="007432CC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Communication </w:t>
            </w:r>
            <w:r w:rsidR="007432CC" w:rsidRPr="00785D64">
              <w:rPr>
                <w:rFonts w:ascii="Candara" w:hAnsi="Candara"/>
                <w:sz w:val="22"/>
                <w:szCs w:val="22"/>
              </w:rPr>
              <w:t>ATC ambiguë + procédure locale mal définie + surcharge de trafic sur aéroport régional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br/>
            </w:r>
            <w:r w:rsidR="009E717F"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>Incursion sur piste</w:t>
            </w:r>
            <w:r w:rsidR="007432CC" w:rsidRPr="00785D64">
              <w:rPr>
                <w:rFonts w:ascii="Candara" w:hAnsi="Candara"/>
                <w:sz w:val="22"/>
                <w:szCs w:val="22"/>
              </w:rPr>
              <w:t>.</w:t>
            </w:r>
          </w:p>
          <w:p w14:paraId="49D4B416" w14:textId="77777777" w:rsidR="007432CC" w:rsidRPr="00785D64" w:rsidRDefault="00785D64">
            <w:pPr>
              <w:pStyle w:val="Paragraphedeliste"/>
              <w:numPr>
                <w:ilvl w:val="0"/>
                <w:numId w:val="7"/>
              </w:num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Entretien </w:t>
            </w:r>
            <w:r w:rsidR="007432CC" w:rsidRPr="00785D64">
              <w:rPr>
                <w:rFonts w:ascii="Candara" w:hAnsi="Candara"/>
                <w:sz w:val="22"/>
                <w:szCs w:val="22"/>
              </w:rPr>
              <w:t>incomplet + pièces de rechange inadaptées + formation insuffisante du personnel de maintenance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br/>
            </w:r>
            <w:r w:rsidR="009E717F" w:rsidRPr="00785D64">
              <w:rPr>
                <w:rFonts w:ascii="Arial" w:hAnsi="Arial" w:cs="Arial"/>
                <w:sz w:val="22"/>
                <w:szCs w:val="22"/>
              </w:rPr>
              <w:t>→</w:t>
            </w:r>
            <w:r w:rsidR="009E717F" w:rsidRPr="00785D64">
              <w:rPr>
                <w:rFonts w:ascii="Candara" w:hAnsi="Candara"/>
                <w:sz w:val="22"/>
                <w:szCs w:val="22"/>
              </w:rPr>
              <w:t xml:space="preserve"> Défaillance hydraulique</w:t>
            </w:r>
          </w:p>
        </w:tc>
      </w:tr>
    </w:tbl>
    <w:p w14:paraId="2378D607" w14:textId="77777777" w:rsidR="00557CF5" w:rsidRDefault="00557CF5" w:rsidP="00557CF5">
      <w:pPr>
        <w:pStyle w:val="NormalWeb"/>
        <w:jc w:val="center"/>
        <w:rPr>
          <w:rFonts w:ascii="Candara" w:hAnsi="Candara"/>
          <w:b/>
          <w:bCs/>
          <w:color w:val="000000"/>
        </w:rPr>
      </w:pPr>
    </w:p>
    <w:p w14:paraId="6DB77DF1" w14:textId="77777777" w:rsidR="00785D64" w:rsidRDefault="00785D64" w:rsidP="00557CF5">
      <w:pPr>
        <w:pStyle w:val="NormalWeb"/>
        <w:jc w:val="center"/>
        <w:rPr>
          <w:rFonts w:ascii="Candara" w:hAnsi="Candara"/>
          <w:b/>
          <w:bCs/>
          <w:color w:val="000000"/>
        </w:rPr>
        <w:sectPr w:rsidR="00785D64" w:rsidSect="005D5CB6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3678541" w14:textId="77777777" w:rsidR="009879D5" w:rsidRPr="009879D5" w:rsidRDefault="00557CF5" w:rsidP="009879D5">
      <w:pPr>
        <w:pStyle w:val="Titre1"/>
        <w:jc w:val="center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lastRenderedPageBreak/>
        <w:t xml:space="preserve">ANNEXE </w:t>
      </w:r>
      <w:r w:rsidR="00262E87" w:rsidRPr="009879D5">
        <w:rPr>
          <w:rFonts w:ascii="Candara" w:hAnsi="Candara"/>
          <w:b/>
          <w:bCs/>
          <w:color w:val="000000" w:themeColor="text1"/>
          <w:sz w:val="24"/>
          <w:szCs w:val="24"/>
        </w:rPr>
        <w:t>2</w:t>
      </w: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 : LISTE NON EXHAUSTIVE -CLASSIFICATION HFACS </w:t>
      </w:r>
    </w:p>
    <w:p w14:paraId="256FEE73" w14:textId="77777777" w:rsidR="00FD0533" w:rsidRPr="00FD0533" w:rsidRDefault="00557CF5" w:rsidP="009879D5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bCs/>
          <w:color w:val="000000"/>
        </w:rPr>
      </w:pPr>
      <w:r w:rsidRPr="00557CF5">
        <w:rPr>
          <w:rFonts w:ascii="Candara" w:hAnsi="Candara"/>
          <w:b/>
          <w:bCs/>
          <w:color w:val="000000"/>
        </w:rPr>
        <w:t>(Exemples liés à la navigabilité</w:t>
      </w:r>
      <w:r>
        <w:rPr>
          <w:rFonts w:ascii="Candara" w:hAnsi="Candara"/>
          <w:b/>
          <w:bCs/>
          <w:color w:val="000000"/>
        </w:rPr>
        <w:t xml:space="preserve"> et l’exploitation</w:t>
      </w:r>
      <w:r w:rsidRPr="00557CF5">
        <w:rPr>
          <w:rFonts w:ascii="Candara" w:hAnsi="Candara"/>
          <w:b/>
          <w:bCs/>
          <w:color w:val="00000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5"/>
        <w:gridCol w:w="510"/>
        <w:gridCol w:w="3292"/>
        <w:gridCol w:w="3365"/>
      </w:tblGrid>
      <w:tr w:rsidR="00785D64" w:rsidRPr="00785D64" w14:paraId="477857EA" w14:textId="77777777" w:rsidTr="00785D64">
        <w:trPr>
          <w:tblHeader/>
        </w:trPr>
        <w:tc>
          <w:tcPr>
            <w:tcW w:w="1895" w:type="dxa"/>
            <w:tcBorders>
              <w:bottom w:val="single" w:sz="4" w:space="0" w:color="auto"/>
            </w:tcBorders>
          </w:tcPr>
          <w:p w14:paraId="521B7177" w14:textId="77777777" w:rsidR="00FD0533" w:rsidRPr="00785D64" w:rsidRDefault="00FD0533" w:rsidP="00711A89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sz w:val="22"/>
                <w:szCs w:val="22"/>
              </w:rPr>
              <w:t>Catégorie HFACS</w:t>
            </w:r>
          </w:p>
        </w:tc>
        <w:tc>
          <w:tcPr>
            <w:tcW w:w="510" w:type="dxa"/>
          </w:tcPr>
          <w:p w14:paraId="01DCCB36" w14:textId="77777777" w:rsidR="00FD0533" w:rsidRPr="00785D64" w:rsidRDefault="00FD0533" w:rsidP="00711A89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292" w:type="dxa"/>
          </w:tcPr>
          <w:p w14:paraId="0E6C7617" w14:textId="77777777" w:rsidR="00FD0533" w:rsidRPr="00785D64" w:rsidRDefault="00FD0533" w:rsidP="00711A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sz w:val="22"/>
                <w:szCs w:val="22"/>
              </w:rPr>
              <w:t>Exemple de facteur</w:t>
            </w:r>
          </w:p>
        </w:tc>
        <w:tc>
          <w:tcPr>
            <w:tcW w:w="3365" w:type="dxa"/>
          </w:tcPr>
          <w:p w14:paraId="71FB0EEC" w14:textId="77777777" w:rsidR="00FD0533" w:rsidRPr="00785D64" w:rsidRDefault="00FD0533" w:rsidP="00711A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785D64">
              <w:rPr>
                <w:rFonts w:ascii="Candara" w:hAnsi="Candara"/>
                <w:b/>
                <w:bCs/>
                <w:sz w:val="22"/>
                <w:szCs w:val="22"/>
              </w:rPr>
              <w:t>Preuves / Observations</w:t>
            </w:r>
          </w:p>
        </w:tc>
      </w:tr>
      <w:tr w:rsidR="00FD0533" w:rsidRPr="00785D64" w14:paraId="7B61826B" w14:textId="77777777" w:rsidTr="00785D64">
        <w:tc>
          <w:tcPr>
            <w:tcW w:w="1895" w:type="dxa"/>
            <w:tcBorders>
              <w:bottom w:val="nil"/>
            </w:tcBorders>
            <w:shd w:val="clear" w:color="auto" w:fill="DEEAF6" w:themeFill="accent5" w:themeFillTint="33"/>
          </w:tcPr>
          <w:p w14:paraId="6ED1804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Erreurs actives</w:t>
            </w:r>
          </w:p>
        </w:tc>
        <w:tc>
          <w:tcPr>
            <w:tcW w:w="510" w:type="dxa"/>
            <w:shd w:val="clear" w:color="auto" w:fill="DEEAF6" w:themeFill="accent5" w:themeFillTint="33"/>
          </w:tcPr>
          <w:p w14:paraId="7633F11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1B43D58" w14:textId="77777777" w:rsidR="00FD0533" w:rsidRPr="00BD6925" w:rsidRDefault="00FD0533" w:rsidP="00711A89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 xml:space="preserve">Non-respect </w:t>
            </w:r>
            <w:proofErr w:type="spellStart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>d’une</w:t>
            </w:r>
            <w:proofErr w:type="spellEnd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 xml:space="preserve"> checklist </w:t>
            </w:r>
            <w:proofErr w:type="spellStart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>obligatoire</w:t>
            </w:r>
            <w:proofErr w:type="spellEnd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 xml:space="preserve"> (Before </w:t>
            </w:r>
            <w:proofErr w:type="spellStart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>Takeoff</w:t>
            </w:r>
            <w:proofErr w:type="spellEnd"/>
            <w:r w:rsidRPr="00BD6925">
              <w:rPr>
                <w:rFonts w:ascii="Candara" w:hAnsi="Candara"/>
                <w:sz w:val="22"/>
                <w:szCs w:val="22"/>
                <w:lang w:val="en-GB"/>
              </w:rPr>
              <w:t>, Landing).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3AA231E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CVR, SOP exploitant, FDR (absence séquence checklist).</w:t>
            </w:r>
          </w:p>
        </w:tc>
      </w:tr>
      <w:tr w:rsidR="00FD0533" w:rsidRPr="00785D64" w14:paraId="46D07CCF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66D54DB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20132F4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1B09DA2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Mauvaise manipulation des commandes (entrée excessive, mauvaise compensation).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640249A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FDR (paramètres de vol), CVR (discussions équipage).</w:t>
            </w:r>
          </w:p>
        </w:tc>
      </w:tr>
      <w:tr w:rsidR="00FD0533" w:rsidRPr="00785D64" w14:paraId="6B6CAE4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750F5A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07EDDDF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B68363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Communication erronée ou incomplète avec l’ATC.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77F41F9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Enregistrements radio ATC, CVR,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transcripts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secteur.</w:t>
            </w:r>
          </w:p>
        </w:tc>
      </w:tr>
      <w:tr w:rsidR="00FD0533" w:rsidRPr="00785D64" w14:paraId="14F59BA4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366020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3B69921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5C16C01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Montage incorrect d’un capteur critique lors d’une maintenance.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6FD3371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Work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order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>, AMM, photos inspection, pièce démontée.</w:t>
            </w:r>
          </w:p>
        </w:tc>
      </w:tr>
      <w:tr w:rsidR="00FD0533" w:rsidRPr="00785D64" w14:paraId="4228B076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D60A93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704947A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64E97E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Omission d’un point de contrôle obligatoire après inspection lourde.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50254DD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Carnets techniques, formulaires d’inspection, audits internes.</w:t>
            </w:r>
          </w:p>
        </w:tc>
      </w:tr>
      <w:tr w:rsidR="00FD0533" w:rsidRPr="00785D64" w14:paraId="215B2360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E0679E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497F875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3C78923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Pièce non approuvée installée en remplacement d’une pièce certifiée.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788F026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Certificat EASA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Form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1/FAA 8130-3, inventaire pièces, audits logistiques.</w:t>
            </w:r>
          </w:p>
        </w:tc>
      </w:tr>
      <w:tr w:rsidR="00FD0533" w:rsidRPr="00785D64" w14:paraId="47D75C0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068CF2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0FDFC44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167927E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Mauvaise interprétation d’une alarme (GPWS,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Stall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Warning).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40FD133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CVR (réactions équipage), FDR, QRH applicable.</w:t>
            </w:r>
          </w:p>
        </w:tc>
      </w:tr>
      <w:tr w:rsidR="00FD0533" w:rsidRPr="00785D64" w14:paraId="1831350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BF26F1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0E9C39B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1A6001F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Erreur de configuration avant décollage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flaps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>, trim).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7037652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FDR, checklists, CVR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callouts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manquants).</w:t>
            </w:r>
          </w:p>
        </w:tc>
      </w:tr>
      <w:tr w:rsidR="00FD0533" w:rsidRPr="00785D64" w14:paraId="5D29575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2CC4B0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6267EEB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83DB6C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Inspection visuelle incomplète : fissure ou corrosion non détectée.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0299B10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d’inspection, photos, examens techniques.</w:t>
            </w:r>
          </w:p>
        </w:tc>
      </w:tr>
      <w:tr w:rsidR="00FD0533" w:rsidRPr="00785D64" w14:paraId="611A203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608CA3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6A41E15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7C6EA62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Utilisation d’un couple de serrage incorrect lors du montage.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3BE87D4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 atelier, outils de contrôle étalonnage, pièces récupérées.</w:t>
            </w:r>
          </w:p>
        </w:tc>
      </w:tr>
      <w:tr w:rsidR="00FD0533" w:rsidRPr="00785D64" w14:paraId="06FA60B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252FCF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04BFED9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520AB3D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Non-respect des consignes constructeur lors d’un troubleshooting.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7FA20DD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AMM, fiches de maintenance, interviews techniciens.</w:t>
            </w:r>
          </w:p>
        </w:tc>
      </w:tr>
      <w:tr w:rsidR="00FD0533" w:rsidRPr="00785D64" w14:paraId="09EB8FA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E5D953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77322A0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12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5A845B7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Erreur de remplissage carburant (quantité/qualité incorrecte).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22B4B75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Bons d’avitaillement, prélèvements carburant, journaux escale.</w:t>
            </w:r>
          </w:p>
        </w:tc>
      </w:tr>
      <w:tr w:rsidR="00FD0533" w:rsidRPr="00785D64" w14:paraId="2F2B9A7A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CF1DE5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55EB9B0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13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AA82DB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Mauvaise saisie d’une donnée critique dans le FMS (vitesse, altitude).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30EDD5B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FDR, CVR (briefings équipage), journaux préparation vol.</w:t>
            </w:r>
          </w:p>
        </w:tc>
      </w:tr>
      <w:tr w:rsidR="00FD0533" w:rsidRPr="00785D64" w14:paraId="270D579C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6D2167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34B5568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2BC678A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Manœuvre d’atterrissage hors enveloppe (trop haut, trop rapide).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78105EA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FDR, rapports météo, CVR.</w:t>
            </w:r>
          </w:p>
        </w:tc>
      </w:tr>
      <w:tr w:rsidR="00FD0533" w:rsidRPr="00785D64" w14:paraId="310CF62C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5E6D53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438E54C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15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4657402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Maintenance effectuée sans outillage spécialisé requis.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1C457E5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atelier, inventaire outillage, audits qualité.</w:t>
            </w:r>
          </w:p>
        </w:tc>
      </w:tr>
      <w:tr w:rsidR="00FD0533" w:rsidRPr="00785D64" w14:paraId="490C2BB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94CC7A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7194516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16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62046A7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Contrôle d’étanchéité ou test fonctionnel non réalisé après réparation.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5E74FC9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Checklists maintenance, CRS, dossiers d’atelier.</w:t>
            </w:r>
          </w:p>
        </w:tc>
      </w:tr>
      <w:tr w:rsidR="00FD0533" w:rsidRPr="00785D64" w14:paraId="66C01DE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2F6D28A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01F7F30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17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2032B61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Mauvaise application d’une MEL (Minimum Equipment List) : vol autorisé alors que l’item n’était pas éligible.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5480A82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MEL exploitant, journaux techniques, correspondances opérations.</w:t>
            </w:r>
          </w:p>
        </w:tc>
      </w:tr>
      <w:tr w:rsidR="00FD0533" w:rsidRPr="00785D64" w14:paraId="11D7D6E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347640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14D472B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18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35410C1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Freinage excessif causant surchauffe et endommagement des freins.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1B7926F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FDR (température freins), rapports inspection piste, CVR.</w:t>
            </w:r>
          </w:p>
        </w:tc>
      </w:tr>
      <w:tr w:rsidR="00FD0533" w:rsidRPr="00785D64" w14:paraId="12844AB1" w14:textId="77777777" w:rsidTr="00785D64">
        <w:tc>
          <w:tcPr>
            <w:tcW w:w="1895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205D00B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DEEAF6" w:themeFill="accent5" w:themeFillTint="33"/>
          </w:tcPr>
          <w:p w14:paraId="2AF226C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19</w:t>
            </w:r>
          </w:p>
        </w:tc>
        <w:tc>
          <w:tcPr>
            <w:tcW w:w="3292" w:type="dxa"/>
            <w:shd w:val="clear" w:color="auto" w:fill="DEEAF6" w:themeFill="accent5" w:themeFillTint="33"/>
          </w:tcPr>
          <w:p w14:paraId="26C7860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Mauvais arrimage d’un cargo entraînant déplacement en vol.</w:t>
            </w:r>
          </w:p>
        </w:tc>
        <w:tc>
          <w:tcPr>
            <w:tcW w:w="3365" w:type="dxa"/>
            <w:shd w:val="clear" w:color="auto" w:fill="DEEAF6" w:themeFill="accent5" w:themeFillTint="33"/>
          </w:tcPr>
          <w:p w14:paraId="4F6C8DA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 escale, photos chargement, carnet de masse et centrage.</w:t>
            </w:r>
          </w:p>
        </w:tc>
      </w:tr>
      <w:tr w:rsidR="00FD0533" w:rsidRPr="00785D64" w14:paraId="5F5D5C12" w14:textId="77777777" w:rsidTr="00785D64">
        <w:tc>
          <w:tcPr>
            <w:tcW w:w="1895" w:type="dxa"/>
            <w:tcBorders>
              <w:bottom w:val="nil"/>
            </w:tcBorders>
            <w:shd w:val="clear" w:color="auto" w:fill="E2EFD9" w:themeFill="accent6" w:themeFillTint="33"/>
          </w:tcPr>
          <w:p w14:paraId="7832332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Conditions prédisposantes</w:t>
            </w:r>
          </w:p>
        </w:tc>
        <w:tc>
          <w:tcPr>
            <w:tcW w:w="510" w:type="dxa"/>
            <w:shd w:val="clear" w:color="auto" w:fill="E2EFD9" w:themeFill="accent6" w:themeFillTint="33"/>
          </w:tcPr>
          <w:p w14:paraId="38E14A9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35F8552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Fatigue de l’équipage en raison de rotations prolongées.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12E7BD7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Feuilles de service, plannings équipage, témoignages.</w:t>
            </w:r>
          </w:p>
        </w:tc>
      </w:tr>
      <w:tr w:rsidR="00FD0533" w:rsidRPr="00785D64" w14:paraId="3EE19B1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1BA1FB7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30384D9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7B06238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Fatigue du personnel de maintenance liée aux heures supplémentaires.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358EB5C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Feuilles de pointage, carnets d’atelier, interviews.</w:t>
            </w:r>
          </w:p>
        </w:tc>
      </w:tr>
      <w:tr w:rsidR="00FD0533" w:rsidRPr="00785D64" w14:paraId="5A7C8033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007B9D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737149F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5C2E7E7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Stress opérationnel dû à des contraintes météorologiques fortes.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EB7567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météo, CVR (discussions équipage), journaux opération.</w:t>
            </w:r>
          </w:p>
        </w:tc>
      </w:tr>
      <w:tr w:rsidR="00FD0533" w:rsidRPr="00785D64" w14:paraId="12C04A01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54EF94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71BDB69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16138A4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Éclairage insuffisant dans le hangar lors des inspections nocturnes.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06AC157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Photos, rapport d’audit sécurité, témoignages maintenance.</w:t>
            </w:r>
          </w:p>
        </w:tc>
      </w:tr>
      <w:tr w:rsidR="00FD0533" w:rsidRPr="00785D64" w14:paraId="0A142240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5E3BEA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3D1733DD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3E2D7B8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Bruit ambiant excessif dans le hangar rendant difficile la communication.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1E8C68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Observations terrain, interviews techniciens.</w:t>
            </w:r>
          </w:p>
        </w:tc>
      </w:tr>
      <w:tr w:rsidR="00FD0533" w:rsidRPr="00785D64" w14:paraId="2196E61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172AD9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677975F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39B0040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Formation incomplète sur un nouvel équipement (nouveau moteur, avionique).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3096BB2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Registres formation, certificats, interviews personnel.</w:t>
            </w:r>
          </w:p>
        </w:tc>
      </w:tr>
      <w:tr w:rsidR="00FD0533" w:rsidRPr="00785D64" w14:paraId="45B5739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505E42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3E0ED0A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5966CB9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Familiarité excessive avec l’avion entraînant une baisse de vigilance (« routine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effect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»).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579D398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Témoignages, analyse CVR, audits internes.</w:t>
            </w:r>
          </w:p>
        </w:tc>
      </w:tr>
      <w:tr w:rsidR="00FD0533" w:rsidRPr="00785D64" w14:paraId="545ECA5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D206FD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406FCBA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1BE5584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Conditions météorologiques défavorables (pluie, chaleur) compliquant l’entretien extérieur.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487890F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météo, photos hangar, témoignages.</w:t>
            </w:r>
          </w:p>
        </w:tc>
      </w:tr>
      <w:tr w:rsidR="00FD0533" w:rsidRPr="00824688" w14:paraId="50EA1D71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3847D2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1CC271C7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6A9397A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Pression temporelle pour remettre l’aéronef en service rapidement.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3B2D38D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785D64">
              <w:rPr>
                <w:rFonts w:ascii="Candara" w:hAnsi="Candara"/>
                <w:sz w:val="22"/>
                <w:szCs w:val="22"/>
                <w:lang w:val="en-US"/>
              </w:rPr>
              <w:t xml:space="preserve">Planning maintenance, CVR (briefings ops),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  <w:lang w:val="en-US"/>
              </w:rPr>
              <w:t>témoignages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  <w:lang w:val="en-US"/>
              </w:rPr>
              <w:t>.</w:t>
            </w:r>
          </w:p>
        </w:tc>
      </w:tr>
      <w:tr w:rsidR="00FD0533" w:rsidRPr="00785D64" w14:paraId="20D0EA9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0785EA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64D3138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10A07E4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Communication déficiente entre équipes (maintenance – opérations).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81A378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Emails internes, journaux techniques, interviews.</w:t>
            </w:r>
          </w:p>
        </w:tc>
      </w:tr>
      <w:tr w:rsidR="00FD0533" w:rsidRPr="00785D64" w14:paraId="23E0513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9C3A34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315AC1A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01C37FE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Inaccessibilité physique à certaines zones de l’avion.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440F8EA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Schémas techniques, photos inspection, témoignages.</w:t>
            </w:r>
          </w:p>
        </w:tc>
      </w:tr>
      <w:tr w:rsidR="00FD0533" w:rsidRPr="00785D64" w14:paraId="720E162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F97C24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2C060DB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12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7F4813B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Mauvaise ergonomie des postes de travail en atelier.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0B2A551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ergonomie, photos installations, audits santé sécurité.</w:t>
            </w:r>
          </w:p>
        </w:tc>
      </w:tr>
      <w:tr w:rsidR="00FD0533" w:rsidRPr="00785D64" w14:paraId="5B98DD1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1750A73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221E927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13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09E53A3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Fatigue cognitive due à des tâches administratives lourdes.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39F7342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Témoignages, rapport d’audit organisationnel.</w:t>
            </w:r>
          </w:p>
        </w:tc>
      </w:tr>
      <w:tr w:rsidR="00FD0533" w:rsidRPr="00785D64" w14:paraId="123A531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126781A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27E658AF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4AE50A1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Sous-effectif chronique dans l’équipe de maintenance.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4FBFF582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Planning ressources humaines, organigrammes, interviews.</w:t>
            </w:r>
          </w:p>
        </w:tc>
      </w:tr>
      <w:tr w:rsidR="00FD0533" w:rsidRPr="00785D64" w14:paraId="1525AA90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291A10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07DB219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15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7CA4A9D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Manque d’expérience sur ce type particulier d’aéronef.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5413C2D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CV techniciens, carnets formation, registres qualifications.</w:t>
            </w:r>
          </w:p>
        </w:tc>
      </w:tr>
      <w:tr w:rsidR="00FD0533" w:rsidRPr="00785D64" w14:paraId="1FBB157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10D1999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4E9BE0C4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16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4D0AA568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Culture organisationnelle tolérante aux dérogations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shortcut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culture).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2C78575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Témoignages, audits qualité, observation pratique.</w:t>
            </w:r>
          </w:p>
        </w:tc>
      </w:tr>
      <w:tr w:rsidR="00FD0533" w:rsidRPr="00785D64" w14:paraId="1AA394C6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733824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3E197D9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17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72F2D7C0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Dépendance excessive à un technicien « expert » sans contrôle croisé.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694BC3C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Journaux d’atelier, témoignages, audits internes.</w:t>
            </w:r>
          </w:p>
        </w:tc>
      </w:tr>
      <w:tr w:rsidR="00FD0533" w:rsidRPr="00785D64" w14:paraId="740AC9C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108F28B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5F1A354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18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0B7A7FC5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Tensions interpersonnelles au sein de l’équipe réduisant la coopération.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5846B06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Interviews, observation directe, rapports RH.</w:t>
            </w:r>
          </w:p>
        </w:tc>
      </w:tr>
      <w:tr w:rsidR="00FD0533" w:rsidRPr="00785D64" w14:paraId="7F09D2F7" w14:textId="77777777" w:rsidTr="00785D64">
        <w:tc>
          <w:tcPr>
            <w:tcW w:w="189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5CECAACB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E2EFD9" w:themeFill="accent6" w:themeFillTint="33"/>
          </w:tcPr>
          <w:p w14:paraId="7E61082E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19</w:t>
            </w:r>
          </w:p>
        </w:tc>
        <w:tc>
          <w:tcPr>
            <w:tcW w:w="3292" w:type="dxa"/>
            <w:shd w:val="clear" w:color="auto" w:fill="E2EFD9" w:themeFill="accent6" w:themeFillTint="33"/>
          </w:tcPr>
          <w:p w14:paraId="6B83D621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Défaut de communication linguistique (langue différente entre équipage et maintenance).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3BBA8EEC" w14:textId="77777777" w:rsidR="00FD0533" w:rsidRPr="00785D64" w:rsidRDefault="00FD0533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CVR, emails, interviews personnels étrangers.</w:t>
            </w:r>
          </w:p>
        </w:tc>
      </w:tr>
      <w:tr w:rsidR="00420856" w:rsidRPr="00785D64" w14:paraId="1CACABC4" w14:textId="77777777" w:rsidTr="00785D64">
        <w:tc>
          <w:tcPr>
            <w:tcW w:w="1895" w:type="dxa"/>
            <w:tcBorders>
              <w:bottom w:val="nil"/>
            </w:tcBorders>
            <w:shd w:val="clear" w:color="auto" w:fill="FFF2CC" w:themeFill="accent4" w:themeFillTint="33"/>
          </w:tcPr>
          <w:p w14:paraId="36EF48C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Facteurs organisationnels</w:t>
            </w:r>
          </w:p>
        </w:tc>
        <w:tc>
          <w:tcPr>
            <w:tcW w:w="510" w:type="dxa"/>
            <w:shd w:val="clear" w:color="auto" w:fill="FFF2CC" w:themeFill="accent4" w:themeFillTint="33"/>
          </w:tcPr>
          <w:p w14:paraId="14C7449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292" w:type="dxa"/>
            <w:vMerge w:val="restart"/>
            <w:shd w:val="clear" w:color="auto" w:fill="FFF2CC" w:themeFill="accent4" w:themeFillTint="33"/>
          </w:tcPr>
          <w:p w14:paraId="4A2918C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Procédures d’entretien ambiguës ou incomplètes.</w:t>
            </w:r>
          </w:p>
          <w:p w14:paraId="25A7C450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Formation insuffisante ou non actualisée des techniciens.</w:t>
            </w:r>
          </w:p>
          <w:p w14:paraId="3022F1E0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Supervision limitée lors d’opérations critiques (maintenance ou vol).</w:t>
            </w:r>
          </w:p>
          <w:p w14:paraId="47A5FCC9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Gestion inadéquate des ressources humaines ou matérielles.</w:t>
            </w:r>
          </w:p>
          <w:p w14:paraId="45DF7FC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Culture de sécurité insuffisante dans l’organisation.</w:t>
            </w:r>
          </w:p>
          <w:p w14:paraId="2A35466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Procédures opérationnelles inadaptées ou obsolètes.</w:t>
            </w:r>
          </w:p>
          <w:p w14:paraId="58DA290B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Communication organisationnelle insuffisante (maintenance et opérations).</w:t>
            </w:r>
          </w:p>
          <w:p w14:paraId="4465661C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Planification inadéquate des opérations ou rotations.</w:t>
            </w:r>
          </w:p>
          <w:p w14:paraId="010B153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Manque de retour d’expérience des incidents précédents.</w:t>
            </w:r>
          </w:p>
          <w:p w14:paraId="2139BF0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Manque de procédures claires pour la gestion du trafic ATM.</w:t>
            </w:r>
          </w:p>
          <w:p w14:paraId="3F62B73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Formation insuffisante ou non actualisée pour contrôleurs.</w:t>
            </w:r>
          </w:p>
          <w:p w14:paraId="491C142F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Supervision limitée lors de périodes de forte activité.</w:t>
            </w:r>
          </w:p>
          <w:p w14:paraId="553F24A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Gestion inadéquate des ressources humaines ou outils ATM.</w:t>
            </w:r>
          </w:p>
          <w:p w14:paraId="726D920C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Culture de sécurité insuffisante dans l’organisation ATM.</w:t>
            </w:r>
          </w:p>
          <w:p w14:paraId="7088DAD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Procédures de navigabilité non conformes aux manuels du constructeur.</w:t>
            </w:r>
          </w:p>
          <w:p w14:paraId="4D3FFC9D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lastRenderedPageBreak/>
              <w:t>Absence de système efficace de suivi des consignes de navigabilité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ADs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>).</w:t>
            </w:r>
          </w:p>
          <w:p w14:paraId="2ACAE7C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Supervision insuffisante des sous-traitants en maintenance lourde.</w:t>
            </w:r>
          </w:p>
          <w:p w14:paraId="452AA7D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Stockage inadéquat des pièces détachées sensibles (humidité, température).</w:t>
            </w:r>
          </w:p>
          <w:p w14:paraId="3B9E65D0" w14:textId="1075C830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Retards dans la mise en œuvre de bulletins de service obligatoires.</w:t>
            </w:r>
          </w:p>
        </w:tc>
        <w:tc>
          <w:tcPr>
            <w:tcW w:w="3365" w:type="dxa"/>
            <w:shd w:val="clear" w:color="auto" w:fill="FFF2CC" w:themeFill="accent4" w:themeFillTint="33"/>
          </w:tcPr>
          <w:p w14:paraId="46B4AF0F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lastRenderedPageBreak/>
              <w:t>Manuels maintenance, audits internes, protocoles internes.</w:t>
            </w:r>
          </w:p>
        </w:tc>
      </w:tr>
      <w:tr w:rsidR="00420856" w:rsidRPr="00785D64" w14:paraId="213DF92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7464576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4DE38FBD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2E0E37A1" w14:textId="3FAA496B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7278D98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Registres formation, certificats, rapports d’évaluation.</w:t>
            </w:r>
          </w:p>
        </w:tc>
      </w:tr>
      <w:tr w:rsidR="00420856" w:rsidRPr="00785D64" w14:paraId="2D2C7B63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18CBA7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6EDA4AE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4777B045" w14:textId="0DF7B86C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55B21DC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supervision, audits internes, logs inspection.</w:t>
            </w:r>
          </w:p>
        </w:tc>
      </w:tr>
      <w:tr w:rsidR="00420856" w:rsidRPr="00785D64" w14:paraId="0C15386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E864BA0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210FF79E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7C9B2E9A" w14:textId="285D90F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6857D1B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Planning, rapports logistiques, organigrammes.</w:t>
            </w:r>
          </w:p>
        </w:tc>
      </w:tr>
      <w:tr w:rsidR="00420856" w:rsidRPr="00785D64" w14:paraId="0D92758F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52219AB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283F82D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278A99FE" w14:textId="4FFC51F0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0B4267BD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Audits sécurité, questionnaires internes, comptes rendus réunions.</w:t>
            </w:r>
          </w:p>
        </w:tc>
      </w:tr>
      <w:tr w:rsidR="00420856" w:rsidRPr="00785D64" w14:paraId="715FD1E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6B4B5C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1DAD9FE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28DC4540" w14:textId="37F57A1D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2559640B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SOP, observations terrain, audits internes.</w:t>
            </w:r>
          </w:p>
        </w:tc>
      </w:tr>
      <w:tr w:rsidR="00420856" w:rsidRPr="00785D64" w14:paraId="29B56E8E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0403CDC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20FA1CBE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362D6982" w14:textId="74740C74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07357AD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Emails internes, comptes rendus réunions, interviews personnel.</w:t>
            </w:r>
          </w:p>
        </w:tc>
      </w:tr>
      <w:tr w:rsidR="00420856" w:rsidRPr="00785D64" w14:paraId="18DE4574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305F1421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4A9407F6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2C023745" w14:textId="44E18812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6C0F0FCE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planification, logs opérationnels, plannings.</w:t>
            </w:r>
          </w:p>
        </w:tc>
      </w:tr>
      <w:tr w:rsidR="00420856" w:rsidRPr="00785D64" w14:paraId="77BE2F5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21B311C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0837BAF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5D0C6D9F" w14:textId="0CBBBE1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40D6491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incidents, rapports internes d’analyse, audits qualité.</w:t>
            </w:r>
          </w:p>
        </w:tc>
      </w:tr>
      <w:tr w:rsidR="00420856" w:rsidRPr="00785D64" w14:paraId="646472C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62B542E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57494373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30AD6B58" w14:textId="47E0A462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07FBDD46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Manuel ATM, audits internes, protocoles internes.</w:t>
            </w:r>
          </w:p>
        </w:tc>
      </w:tr>
      <w:tr w:rsidR="00420856" w:rsidRPr="00785D64" w14:paraId="5A31309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7C94773C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66AF406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6C471A04" w14:textId="69F581F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7EBE00C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Registres formation ATM, certificats, évaluations.</w:t>
            </w:r>
          </w:p>
        </w:tc>
      </w:tr>
      <w:tr w:rsidR="00420856" w:rsidRPr="00785D64" w14:paraId="44CF3270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C22817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42CCFC2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12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4CF178A5" w14:textId="2173068F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66AE390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supervision, logs activité, audits internes.</w:t>
            </w:r>
          </w:p>
        </w:tc>
      </w:tr>
      <w:tr w:rsidR="00420856" w:rsidRPr="00785D64" w14:paraId="6EA8AA1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BCECB8D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2763CA66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13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3A586D4B" w14:textId="0CF8BDE8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6D659F99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Planning RH, rapports logistiques, inventaires équipements.</w:t>
            </w:r>
          </w:p>
        </w:tc>
      </w:tr>
      <w:tr w:rsidR="00420856" w:rsidRPr="00785D64" w14:paraId="47F9F75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7930C5A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3F4DAF3D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22488922" w14:textId="58CE062B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53C1AC40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Audits sécurité, questionnaires internes, comptes rendus réunion.</w:t>
            </w:r>
          </w:p>
        </w:tc>
      </w:tr>
      <w:tr w:rsidR="00420856" w:rsidRPr="00785D64" w14:paraId="4535257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B932B4F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37F159F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15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4114C0D4" w14:textId="130B5F4B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5436610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Audits internes, manuels d’entretien, rapports de conformité.</w:t>
            </w:r>
          </w:p>
        </w:tc>
      </w:tr>
      <w:tr w:rsidR="00420856" w:rsidRPr="00785D64" w14:paraId="4F55001C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2EBB4A8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477E43C2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16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51FA4231" w14:textId="59E325B6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08CA2E0B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Dossiers CAMO, rapports CAA, audits internes.</w:t>
            </w:r>
          </w:p>
        </w:tc>
      </w:tr>
      <w:tr w:rsidR="00420856" w:rsidRPr="00785D64" w14:paraId="09D29035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0AF22125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05EE3C4C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17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1F8BD766" w14:textId="36ECE3EA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52D328D7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Audits de sous-traitants, rapports de conformité, inspections.</w:t>
            </w:r>
          </w:p>
        </w:tc>
      </w:tr>
      <w:tr w:rsidR="00420856" w:rsidRPr="00785D64" w14:paraId="5D36A21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DF2FB65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1DA35019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18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1D44930B" w14:textId="07E65A81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6AC9DD2B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logistiques, photos entrepôt, audits internes.</w:t>
            </w:r>
          </w:p>
        </w:tc>
      </w:tr>
      <w:tr w:rsidR="00420856" w:rsidRPr="00785D64" w14:paraId="1B7276BE" w14:textId="77777777" w:rsidTr="00785D64">
        <w:tc>
          <w:tcPr>
            <w:tcW w:w="1895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3F56D14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FF2CC" w:themeFill="accent4" w:themeFillTint="33"/>
          </w:tcPr>
          <w:p w14:paraId="4966637E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19</w:t>
            </w:r>
          </w:p>
        </w:tc>
        <w:tc>
          <w:tcPr>
            <w:tcW w:w="3292" w:type="dxa"/>
            <w:vMerge/>
            <w:shd w:val="clear" w:color="auto" w:fill="FFF2CC" w:themeFill="accent4" w:themeFillTint="33"/>
          </w:tcPr>
          <w:p w14:paraId="7803C0B2" w14:textId="792C687A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FF2CC" w:themeFill="accent4" w:themeFillTint="33"/>
          </w:tcPr>
          <w:p w14:paraId="43046A65" w14:textId="77777777" w:rsidR="00420856" w:rsidRPr="00785D64" w:rsidRDefault="00420856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constructeurs, dossiers techniques, communications internes.</w:t>
            </w:r>
          </w:p>
        </w:tc>
      </w:tr>
      <w:tr w:rsidR="006D5804" w:rsidRPr="00785D64" w14:paraId="7A2BCAA3" w14:textId="77777777" w:rsidTr="00785D64">
        <w:tc>
          <w:tcPr>
            <w:tcW w:w="1895" w:type="dxa"/>
            <w:tcBorders>
              <w:bottom w:val="nil"/>
            </w:tcBorders>
            <w:shd w:val="clear" w:color="auto" w:fill="F2F2F2" w:themeFill="background1" w:themeFillShade="F2"/>
          </w:tcPr>
          <w:p w14:paraId="1142068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Influences réglementaires / sociétales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01490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292" w:type="dxa"/>
            <w:vMerge w:val="restart"/>
            <w:shd w:val="clear" w:color="auto" w:fill="F2F2F2" w:themeFill="background1" w:themeFillShade="F2"/>
          </w:tcPr>
          <w:p w14:paraId="4E76FBAE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Normes locales de navigabilité ou ATM moins strictes que celles de l’OACI.</w:t>
            </w:r>
          </w:p>
          <w:p w14:paraId="45A2190E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Contraintes de production et délais serrés imposés aux exploitants et compagnies régionales.</w:t>
            </w:r>
          </w:p>
          <w:p w14:paraId="76A7F591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Exigences opérationnelles contraignantes sur horaires et rotations, parfois incompatibles avec les capacités locales.</w:t>
            </w:r>
          </w:p>
          <w:p w14:paraId="2484A075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Lacunes ou ambiguïtés dans la réglementation nationale aéronautique.</w:t>
            </w:r>
          </w:p>
          <w:p w14:paraId="0F0C67D2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Réglementations de maintenance peu détaillées ou obsolètes, manque de directives adaptées au type d’aéronef régional.</w:t>
            </w:r>
          </w:p>
          <w:p w14:paraId="69F7A96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Divergences entre recommandations constructeur et réglementations locales appliquées par les exploitants africains.</w:t>
            </w:r>
          </w:p>
          <w:p w14:paraId="5D2B6EAC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Pression économique ou commerciale sur l’exploitant, liée à la compétitivité régionale ou aux subventions limitées.</w:t>
            </w:r>
          </w:p>
          <w:p w14:paraId="66419F8A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Contraintes saisonnières ou horaires liées au climat, aux flux de trafic régional et aux capacités d’infrastructure.</w:t>
            </w:r>
          </w:p>
          <w:p w14:paraId="7E924FEA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Exigences de conformité avec standards internationaux variés difficiles à harmoniser localement.</w:t>
            </w:r>
          </w:p>
          <w:p w14:paraId="4E10BB9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lastRenderedPageBreak/>
              <w:t>Normes locales ATM moins strictes et absence de suivi régulier pour certains centres de contrôle régionaux.</w:t>
            </w:r>
          </w:p>
          <w:p w14:paraId="72F98C2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Contraintes opérationnelles pour la performance du trafic aérien sur des espaces aériens congestionnés ou limités.</w:t>
            </w:r>
          </w:p>
          <w:p w14:paraId="6A82E7D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Exigences réglementaires contraignantes pour la gestion du trafic, parfois non adaptées aux ressources locales.</w:t>
            </w:r>
          </w:p>
          <w:p w14:paraId="3B05397D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Lacunes ou ambiguïtés dans les règles nationales ATM et coordination inter-États insuffisante.</w:t>
            </w:r>
          </w:p>
          <w:p w14:paraId="527B391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Procédures de maintenance ou de mise à niveau des systèmes ATM peu détaillées ou non standardisées.</w:t>
            </w:r>
          </w:p>
          <w:p w14:paraId="5C4A088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Contraintes financières poussant les exploitants à retarder certaines inspections lourdes ou remplacement de composants critiques.</w:t>
            </w:r>
          </w:p>
          <w:p w14:paraId="1F36602A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Absence de mécanisme efficace de contrôle et de supervision des organismes de maintenance par l’autorité nationale.</w:t>
            </w:r>
          </w:p>
          <w:p w14:paraId="0413F06C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 xml:space="preserve">Tolérance excessive de l’autorité sur les délais d’application des 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Airworthiness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 xml:space="preserve"> Directives (</w:t>
            </w:r>
            <w:proofErr w:type="spellStart"/>
            <w:r w:rsidRPr="00785D64">
              <w:rPr>
                <w:rFonts w:ascii="Candara" w:hAnsi="Candara"/>
                <w:sz w:val="22"/>
                <w:szCs w:val="22"/>
              </w:rPr>
              <w:t>ADs</w:t>
            </w:r>
            <w:proofErr w:type="spellEnd"/>
            <w:r w:rsidRPr="00785D64">
              <w:rPr>
                <w:rFonts w:ascii="Candara" w:hAnsi="Candara"/>
                <w:sz w:val="22"/>
                <w:szCs w:val="22"/>
              </w:rPr>
              <w:t>).</w:t>
            </w:r>
          </w:p>
          <w:p w14:paraId="0BFB0574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Ressources limitées (humaines, techniques, financières) des autorités pour la surveillance et le contrôle sur le terrain.</w:t>
            </w:r>
          </w:p>
          <w:p w14:paraId="255B5F2C" w14:textId="380CD8AE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Divergences dans l’interprétation et l’application des exigences réglementaires entre exploitants régionaux et autorités.</w:t>
            </w:r>
          </w:p>
        </w:tc>
        <w:tc>
          <w:tcPr>
            <w:tcW w:w="3365" w:type="dxa"/>
            <w:shd w:val="clear" w:color="auto" w:fill="F2F2F2" w:themeFill="background1" w:themeFillShade="F2"/>
          </w:tcPr>
          <w:p w14:paraId="3D5ED55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lastRenderedPageBreak/>
              <w:t>Comparaison réglementaire nationale vs ICAO, directives officielles, audits ICAO USOAP.</w:t>
            </w:r>
          </w:p>
        </w:tc>
      </w:tr>
      <w:tr w:rsidR="006D5804" w:rsidRPr="00785D64" w14:paraId="2A2DB9F2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09D376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D0246A2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5B5C9CED" w14:textId="7F6BE8AA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0AFD157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opérationnels, audits internes, communications managériales.</w:t>
            </w:r>
          </w:p>
        </w:tc>
      </w:tr>
      <w:tr w:rsidR="006D5804" w:rsidRPr="00785D64" w14:paraId="4AC7987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7433D7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99A2C84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1AAA8A77" w14:textId="374E1CE0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1B8EA7C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Directives exploitant, contrats, planning, rapports supervision.</w:t>
            </w:r>
          </w:p>
        </w:tc>
      </w:tr>
      <w:tr w:rsidR="006D5804" w:rsidRPr="00785D64" w14:paraId="73547DE5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631144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3E2C13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2D1BB014" w14:textId="09755B3D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1A3EB93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Textes officiels, notes régulateur, comparatif OACI, correspondances officielles.</w:t>
            </w:r>
          </w:p>
        </w:tc>
      </w:tr>
      <w:tr w:rsidR="006D5804" w:rsidRPr="00785D64" w14:paraId="547ECB57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B6EB142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092D63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0C30E063" w14:textId="3C42F87D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4A1CF8BA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Circulaires internes, notes légales, audits nationaux.</w:t>
            </w:r>
          </w:p>
        </w:tc>
      </w:tr>
      <w:tr w:rsidR="006D5804" w:rsidRPr="00785D64" w14:paraId="4E8FC3CA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F4BA54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410FC2C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0AA6FA3B" w14:textId="47EA31BE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42DA5F8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constructeurs, directives nationales, audits internes.</w:t>
            </w:r>
          </w:p>
        </w:tc>
      </w:tr>
      <w:tr w:rsidR="006D5804" w:rsidRPr="00785D64" w14:paraId="51CD1A4C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C56FEFC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0810B4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619959E9" w14:textId="6304777C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531B1A4F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États financiers, rapports opérationnels, correspondances managériales.</w:t>
            </w:r>
          </w:p>
        </w:tc>
      </w:tr>
      <w:tr w:rsidR="006D5804" w:rsidRPr="00785D64" w14:paraId="257D870E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476A808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7190D41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371E41FE" w14:textId="4A836514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1ED67CC6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Plannings exploitation, rapports trafic, bulletins météo locaux.</w:t>
            </w:r>
          </w:p>
        </w:tc>
      </w:tr>
      <w:tr w:rsidR="006D5804" w:rsidRPr="00785D64" w14:paraId="717214A1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BB2F6B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BB04B2E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35412F74" w14:textId="48A4768C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20C645D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de conformité, audits internationaux, communications régulateur.</w:t>
            </w:r>
          </w:p>
        </w:tc>
      </w:tr>
      <w:tr w:rsidR="006D5804" w:rsidRPr="00785D64" w14:paraId="672C6C1D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08E684A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243A5D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683E0378" w14:textId="19CAA372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2E17EEAF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Comparatif réglementaire, audits ICAO USOAP, rapports d’évaluation CAA.</w:t>
            </w:r>
          </w:p>
        </w:tc>
      </w:tr>
      <w:tr w:rsidR="006D5804" w:rsidRPr="00785D64" w14:paraId="525CD3B8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E3C8BBF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3C9F7D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56363B63" w14:textId="79DA6E0E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799132F5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opérationnels, logs ATC, audits terrain.</w:t>
            </w:r>
          </w:p>
        </w:tc>
      </w:tr>
      <w:tr w:rsidR="006D5804" w:rsidRPr="00785D64" w14:paraId="787B2B47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33174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910EC0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12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393C0F07" w14:textId="79C14ACF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50195FC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Directives, contrats ATM, SOP, rapports supervision.</w:t>
            </w:r>
          </w:p>
        </w:tc>
      </w:tr>
      <w:tr w:rsidR="006D5804" w:rsidRPr="00785D64" w14:paraId="0352D06E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8383D8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9D2BE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13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78A9F7CF" w14:textId="6190A8AD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2B94B79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Documentation officielle, comparatif ICAO, correspondances bilatérales.</w:t>
            </w:r>
          </w:p>
        </w:tc>
      </w:tr>
      <w:tr w:rsidR="006D5804" w:rsidRPr="00785D64" w14:paraId="1E772F6C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12B985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863E794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6BB7F573" w14:textId="63CA5996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0B503112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Notes légales, directives officielles, circulaires internes.</w:t>
            </w:r>
          </w:p>
        </w:tc>
      </w:tr>
      <w:tr w:rsidR="006D5804" w:rsidRPr="00785D64" w14:paraId="38B89433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D62F855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8DDB443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15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2C5950F2" w14:textId="61FD944B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79832F4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États financiers, rapports internes, correspondances managériales.</w:t>
            </w:r>
          </w:p>
        </w:tc>
      </w:tr>
      <w:tr w:rsidR="006D5804" w:rsidRPr="00785D64" w14:paraId="5AF501EB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1A3C6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58AEC2B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16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2D92F76D" w14:textId="6EBA505A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7A2AE736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CAA, évaluations ICAO USOAP, audits externes.</w:t>
            </w:r>
          </w:p>
        </w:tc>
      </w:tr>
      <w:tr w:rsidR="006D5804" w:rsidRPr="00785D64" w14:paraId="5ED37DE9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4578597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ACB6F1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17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78F30128" w14:textId="099F0AB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1D8051EC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Correspondances CAA, lettres exploitant, audits internes.</w:t>
            </w:r>
          </w:p>
        </w:tc>
      </w:tr>
      <w:tr w:rsidR="006D5804" w:rsidRPr="00785D64" w14:paraId="433BB335" w14:textId="77777777" w:rsidTr="00785D64">
        <w:tc>
          <w:tcPr>
            <w:tcW w:w="189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922FCE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40DBB5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18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6C39A1EB" w14:textId="085B2AD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7A05954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officiels, budgets, audits ICAO USOAP, inspections terrain.</w:t>
            </w:r>
          </w:p>
        </w:tc>
      </w:tr>
      <w:tr w:rsidR="006D5804" w:rsidRPr="00785D64" w14:paraId="04A05430" w14:textId="77777777" w:rsidTr="00785D64">
        <w:tc>
          <w:tcPr>
            <w:tcW w:w="1895" w:type="dxa"/>
            <w:tcBorders>
              <w:top w:val="nil"/>
            </w:tcBorders>
            <w:shd w:val="clear" w:color="auto" w:fill="F2F2F2" w:themeFill="background1" w:themeFillShade="F2"/>
          </w:tcPr>
          <w:p w14:paraId="6456D4F0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233EF7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19</w:t>
            </w:r>
          </w:p>
        </w:tc>
        <w:tc>
          <w:tcPr>
            <w:tcW w:w="3292" w:type="dxa"/>
            <w:vMerge/>
            <w:shd w:val="clear" w:color="auto" w:fill="F2F2F2" w:themeFill="background1" w:themeFillShade="F2"/>
          </w:tcPr>
          <w:p w14:paraId="4D76F190" w14:textId="380F45CC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14:paraId="671DFDD9" w14:textId="77777777" w:rsidR="006D5804" w:rsidRPr="00785D64" w:rsidRDefault="006D5804" w:rsidP="00711A89">
            <w:pPr>
              <w:rPr>
                <w:rFonts w:ascii="Candara" w:hAnsi="Candara"/>
                <w:sz w:val="22"/>
                <w:szCs w:val="22"/>
              </w:rPr>
            </w:pPr>
            <w:r w:rsidRPr="00785D64">
              <w:rPr>
                <w:rFonts w:ascii="Candara" w:hAnsi="Candara"/>
                <w:sz w:val="22"/>
                <w:szCs w:val="22"/>
              </w:rPr>
              <w:t>Rapports de conformité, correspondances officielles, audits internes.</w:t>
            </w:r>
          </w:p>
        </w:tc>
      </w:tr>
    </w:tbl>
    <w:p w14:paraId="15CA6D90" w14:textId="77777777" w:rsidR="00FD0533" w:rsidRDefault="00FD0533" w:rsidP="00FD0533">
      <w:pPr>
        <w:pStyle w:val="NormalWeb"/>
        <w:rPr>
          <w:rFonts w:ascii="Candara" w:hAnsi="Candara"/>
          <w:color w:val="000000"/>
        </w:rPr>
      </w:pPr>
    </w:p>
    <w:p w14:paraId="11D9E2AA" w14:textId="77777777" w:rsidR="00B6218D" w:rsidRDefault="00B6218D" w:rsidP="00A221B0">
      <w:pPr>
        <w:pStyle w:val="NormalWeb"/>
        <w:rPr>
          <w:rFonts w:ascii="Candara" w:hAnsi="Candara"/>
          <w:color w:val="000000"/>
        </w:rPr>
        <w:sectPr w:rsidR="00B6218D" w:rsidSect="00B6218D">
          <w:pgSz w:w="11906" w:h="16838"/>
          <w:pgMar w:top="1417" w:right="708" w:bottom="1417" w:left="1417" w:header="708" w:footer="708" w:gutter="0"/>
          <w:pgNumType w:start="1"/>
          <w:cols w:space="708"/>
          <w:docGrid w:linePitch="360"/>
        </w:sectPr>
      </w:pPr>
    </w:p>
    <w:p w14:paraId="6ED953D2" w14:textId="77777777" w:rsidR="00427B36" w:rsidRDefault="00B6218D" w:rsidP="009879D5">
      <w:pPr>
        <w:pStyle w:val="Titre1"/>
        <w:jc w:val="center"/>
        <w:rPr>
          <w:rFonts w:ascii="Candara" w:hAnsi="Candara"/>
          <w:b/>
          <w:bCs/>
          <w:color w:val="000000" w:themeColor="text1"/>
          <w:sz w:val="24"/>
          <w:szCs w:val="24"/>
        </w:rPr>
      </w:pPr>
      <w:r w:rsidRPr="009879D5">
        <w:rPr>
          <w:rFonts w:ascii="Candara" w:hAnsi="Candara"/>
          <w:b/>
          <w:bCs/>
          <w:color w:val="000000" w:themeColor="text1"/>
          <w:sz w:val="24"/>
          <w:szCs w:val="24"/>
        </w:rPr>
        <w:lastRenderedPageBreak/>
        <w:t>ANNEXE 3 : CONTENU DU DOCUMENT D’ANALYSE DE L’ÉVÉNEMENT</w:t>
      </w:r>
    </w:p>
    <w:p w14:paraId="227184BE" w14:textId="77777777" w:rsidR="009879D5" w:rsidRPr="00427B36" w:rsidRDefault="009879D5" w:rsidP="00987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6"/>
        <w:gridCol w:w="2962"/>
        <w:gridCol w:w="2914"/>
      </w:tblGrid>
      <w:tr w:rsidR="00427B36" w:rsidRPr="00B6218D" w14:paraId="70A0E193" w14:textId="77777777" w:rsidTr="00711A89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7FE44C3" w14:textId="77777777" w:rsidR="00427B36" w:rsidRPr="00B6218D" w:rsidRDefault="00B6218D" w:rsidP="00711A89">
            <w:pPr>
              <w:pStyle w:val="NormalWeb"/>
              <w:ind w:left="317" w:hanging="284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A. </w:t>
            </w:r>
            <w:r w:rsidR="00427B36"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Informations de base sur l’enquête</w:t>
            </w:r>
          </w:p>
        </w:tc>
      </w:tr>
      <w:tr w:rsidR="00427B36" w:rsidRPr="00B6218D" w14:paraId="00B39486" w14:textId="77777777" w:rsidTr="00711A89">
        <w:trPr>
          <w:trHeight w:val="210"/>
        </w:trPr>
        <w:tc>
          <w:tcPr>
            <w:tcW w:w="3186" w:type="dxa"/>
          </w:tcPr>
          <w:p w14:paraId="66FAC49A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Accident/Incident</w:t>
            </w:r>
          </w:p>
        </w:tc>
        <w:tc>
          <w:tcPr>
            <w:tcW w:w="2962" w:type="dxa"/>
          </w:tcPr>
          <w:p w14:paraId="3D55400E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Aéronef</w:t>
            </w:r>
          </w:p>
        </w:tc>
        <w:tc>
          <w:tcPr>
            <w:tcW w:w="2914" w:type="dxa"/>
          </w:tcPr>
          <w:p w14:paraId="0A873973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Exploitant</w:t>
            </w:r>
          </w:p>
        </w:tc>
      </w:tr>
      <w:tr w:rsidR="00427B36" w:rsidRPr="00B6218D" w14:paraId="4C7BF174" w14:textId="77777777" w:rsidTr="00711A89">
        <w:trPr>
          <w:trHeight w:val="210"/>
        </w:trPr>
        <w:tc>
          <w:tcPr>
            <w:tcW w:w="3186" w:type="dxa"/>
          </w:tcPr>
          <w:p w14:paraId="04557E73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EE0A3DF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14" w:type="dxa"/>
          </w:tcPr>
          <w:p w14:paraId="6AFB79C9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  <w:lang w:val="en-US"/>
              </w:rPr>
            </w:pPr>
          </w:p>
        </w:tc>
      </w:tr>
      <w:tr w:rsidR="00427B36" w:rsidRPr="00B6218D" w14:paraId="7929B538" w14:textId="77777777" w:rsidTr="00711A89">
        <w:trPr>
          <w:trHeight w:val="210"/>
        </w:trPr>
        <w:tc>
          <w:tcPr>
            <w:tcW w:w="3186" w:type="dxa"/>
            <w:vAlign w:val="center"/>
          </w:tcPr>
          <w:p w14:paraId="49EADC76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Enquête n°</w:t>
            </w:r>
          </w:p>
        </w:tc>
        <w:tc>
          <w:tcPr>
            <w:tcW w:w="2962" w:type="dxa"/>
          </w:tcPr>
          <w:p w14:paraId="5218753B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</w:rPr>
              <w:t>Localisation</w:t>
            </w:r>
          </w:p>
        </w:tc>
        <w:tc>
          <w:tcPr>
            <w:tcW w:w="2914" w:type="dxa"/>
          </w:tcPr>
          <w:p w14:paraId="0F563486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n-US"/>
              </w:rPr>
            </w:pPr>
            <w:r w:rsidRPr="00B6218D">
              <w:rPr>
                <w:rFonts w:ascii="Candara" w:hAnsi="Candara" w:cs="Arial"/>
                <w:b/>
                <w:bCs/>
                <w:sz w:val="22"/>
                <w:szCs w:val="22"/>
                <w:lang w:val="en-US"/>
              </w:rPr>
              <w:t>Date/Heure</w:t>
            </w:r>
          </w:p>
        </w:tc>
      </w:tr>
      <w:tr w:rsidR="00427B36" w:rsidRPr="00B6218D" w14:paraId="38EA28E5" w14:textId="77777777" w:rsidTr="00711A89">
        <w:trPr>
          <w:trHeight w:val="210"/>
        </w:trPr>
        <w:tc>
          <w:tcPr>
            <w:tcW w:w="3186" w:type="dxa"/>
          </w:tcPr>
          <w:p w14:paraId="501A1C8E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62" w:type="dxa"/>
          </w:tcPr>
          <w:p w14:paraId="14C64D21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14" w:type="dxa"/>
          </w:tcPr>
          <w:p w14:paraId="1689A0CA" w14:textId="77777777" w:rsidR="00427B36" w:rsidRPr="00B6218D" w:rsidRDefault="00427B36" w:rsidP="00711A89">
            <w:pPr>
              <w:pStyle w:val="NormalWeb"/>
              <w:jc w:val="center"/>
              <w:rPr>
                <w:rFonts w:ascii="Candara" w:hAnsi="Candara" w:cs="Arial"/>
                <w:sz w:val="22"/>
                <w:szCs w:val="22"/>
                <w:lang w:val="en-US"/>
              </w:rPr>
            </w:pPr>
          </w:p>
        </w:tc>
      </w:tr>
    </w:tbl>
    <w:p w14:paraId="0A2FA5EC" w14:textId="77777777" w:rsidR="00B6218D" w:rsidRDefault="00B6218D" w:rsidP="00B6218D">
      <w:pPr>
        <w:spacing w:before="100" w:beforeAutospacing="1"/>
        <w:outlineLvl w:val="1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b/>
          <w:bCs/>
          <w:color w:val="000000"/>
          <w:sz w:val="22"/>
          <w:szCs w:val="22"/>
        </w:rPr>
        <w:t xml:space="preserve">Brève description de l’événement : </w:t>
      </w:r>
    </w:p>
    <w:p w14:paraId="60FD0235" w14:textId="77777777" w:rsidR="00427B36" w:rsidRPr="00427B36" w:rsidRDefault="00B6218D" w:rsidP="00B6218D">
      <w:pPr>
        <w:spacing w:before="100" w:beforeAutospacing="1"/>
        <w:outlineLvl w:val="1"/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b/>
          <w:bCs/>
          <w:color w:val="000000"/>
          <w:sz w:val="22"/>
          <w:szCs w:val="22"/>
        </w:rPr>
        <w:t>B</w:t>
      </w:r>
      <w:r w:rsidR="00427B36" w:rsidRPr="00427B36">
        <w:rPr>
          <w:rFonts w:ascii="Candara" w:hAnsi="Candara"/>
          <w:b/>
          <w:bCs/>
          <w:color w:val="000000"/>
          <w:sz w:val="22"/>
          <w:szCs w:val="22"/>
        </w:rPr>
        <w:t>. Processus d’analyse</w:t>
      </w:r>
    </w:p>
    <w:p w14:paraId="654AA349" w14:textId="77777777" w:rsidR="00427B36" w:rsidRPr="00427B36" w:rsidRDefault="00427B36" w:rsidP="00427B36">
      <w:pPr>
        <w:spacing w:before="100" w:beforeAutospacing="1" w:after="100" w:afterAutospacing="1"/>
        <w:outlineLvl w:val="2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Étape 1 : Préparation</w:t>
      </w:r>
    </w:p>
    <w:p w14:paraId="7B672745" w14:textId="77777777" w:rsidR="00427B36" w:rsidRPr="00427B36" w:rsidRDefault="00B6218D">
      <w:pPr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color w:val="000000"/>
          <w:sz w:val="10"/>
          <w:szCs w:val="10"/>
        </w:rPr>
      </w:pPr>
      <w:r>
        <w:rPr>
          <w:rFonts w:ascii="Candara" w:hAnsi="Candara"/>
          <w:color w:val="000000"/>
          <w:sz w:val="22"/>
          <w:szCs w:val="22"/>
        </w:rPr>
        <w:t>A</w:t>
      </w:r>
      <w:r w:rsidR="00427B36" w:rsidRPr="00427B36">
        <w:rPr>
          <w:rFonts w:ascii="Candara" w:hAnsi="Candara"/>
          <w:color w:val="000000"/>
          <w:sz w:val="22"/>
          <w:szCs w:val="22"/>
        </w:rPr>
        <w:t>cteurs impliqués</w:t>
      </w:r>
      <w:r>
        <w:rPr>
          <w:rFonts w:ascii="Candara" w:hAnsi="Candara"/>
          <w:color w:val="000000"/>
          <w:sz w:val="22"/>
          <w:szCs w:val="22"/>
        </w:rPr>
        <w:t xml:space="preserve"> dans l’évènement</w:t>
      </w:r>
      <w:r w:rsidR="00427B36" w:rsidRPr="00427B36">
        <w:rPr>
          <w:rFonts w:ascii="Candara" w:hAnsi="Candara"/>
          <w:color w:val="000000"/>
          <w:sz w:val="22"/>
          <w:szCs w:val="22"/>
        </w:rPr>
        <w:t>: _______________________</w:t>
      </w:r>
      <w:r w:rsidR="00427B36" w:rsidRPr="00B6218D">
        <w:rPr>
          <w:rFonts w:ascii="Candara" w:hAnsi="Candara"/>
          <w:color w:val="000000"/>
          <w:sz w:val="22"/>
          <w:szCs w:val="22"/>
        </w:rPr>
        <w:br/>
      </w:r>
    </w:p>
    <w:p w14:paraId="3F5A76A8" w14:textId="77777777" w:rsidR="00427B36" w:rsidRPr="00B6218D" w:rsidRDefault="00B6218D">
      <w:pPr>
        <w:numPr>
          <w:ilvl w:val="0"/>
          <w:numId w:val="12"/>
        </w:numPr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I</w:t>
      </w:r>
      <w:r w:rsidR="00427B36" w:rsidRPr="00427B36">
        <w:rPr>
          <w:rFonts w:ascii="Candara" w:hAnsi="Candara"/>
          <w:color w:val="000000"/>
          <w:sz w:val="22"/>
          <w:szCs w:val="22"/>
        </w:rPr>
        <w:t>nformations pertinentes à l’analyse.</w:t>
      </w:r>
    </w:p>
    <w:p w14:paraId="0C86D6CA" w14:textId="77777777" w:rsidR="00B6218D" w:rsidRPr="00B6218D" w:rsidRDefault="00B6218D">
      <w:pPr>
        <w:pStyle w:val="Paragraphedeliste"/>
        <w:numPr>
          <w:ilvl w:val="0"/>
          <w:numId w:val="13"/>
        </w:numPr>
        <w:rPr>
          <w:rFonts w:ascii="Candara" w:hAnsi="Candara"/>
          <w:i/>
          <w:iCs/>
          <w:color w:val="808080" w:themeColor="background1" w:themeShade="80"/>
          <w:sz w:val="22"/>
          <w:szCs w:val="22"/>
        </w:rPr>
      </w:pP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(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FDR / CVR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,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Rapports d’inspection et maintenance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 ;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Journaux ATC et logs opérationnels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,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Rapports météorologiques et ATIS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,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Photos / vidéos de l’événement ou du site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,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Témoignages de l’équipage et du personnel au sol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 xml:space="preserve">, rapports d’examen des composants, </w:t>
      </w:r>
      <w:r w:rsidR="00427B36"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......</w:t>
      </w:r>
      <w:r w:rsidRPr="00B6218D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)</w:t>
      </w:r>
    </w:p>
    <w:p w14:paraId="2BEAA900" w14:textId="77777777" w:rsidR="00427B36" w:rsidRPr="00427B36" w:rsidRDefault="00427B36" w:rsidP="00427B36">
      <w:pPr>
        <w:spacing w:before="100" w:beforeAutospacing="1" w:after="100" w:afterAutospacing="1"/>
        <w:outlineLvl w:val="2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Étape 2 : Analyse des données et causes profondes</w:t>
      </w:r>
    </w:p>
    <w:p w14:paraId="64621F84" w14:textId="77777777" w:rsidR="00427B36" w:rsidRPr="00B6218D" w:rsidRDefault="00427B36" w:rsidP="00427B36">
      <w:pPr>
        <w:spacing w:before="100" w:beforeAutospacing="1" w:after="100" w:afterAutospacing="1"/>
        <w:outlineLvl w:val="3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2.1 Méthodes RCA</w:t>
      </w:r>
    </w:p>
    <w:tbl>
      <w:tblPr>
        <w:tblStyle w:val="Grilledutableau"/>
        <w:tblW w:w="9273" w:type="dxa"/>
        <w:tblLook w:val="04A0" w:firstRow="1" w:lastRow="0" w:firstColumn="1" w:lastColumn="0" w:noHBand="0" w:noVBand="1"/>
      </w:tblPr>
      <w:tblGrid>
        <w:gridCol w:w="2972"/>
        <w:gridCol w:w="6301"/>
      </w:tblGrid>
      <w:tr w:rsidR="00427B36" w:rsidRPr="00B6218D" w14:paraId="09CA790C" w14:textId="77777777" w:rsidTr="00B6218D">
        <w:tc>
          <w:tcPr>
            <w:tcW w:w="2972" w:type="dxa"/>
            <w:vAlign w:val="center"/>
          </w:tcPr>
          <w:p w14:paraId="236005D6" w14:textId="77777777" w:rsidR="00427B36" w:rsidRPr="00427B36" w:rsidRDefault="00427B36" w:rsidP="00427B36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Méthode</w:t>
            </w:r>
          </w:p>
        </w:tc>
        <w:tc>
          <w:tcPr>
            <w:tcW w:w="6301" w:type="dxa"/>
            <w:vAlign w:val="center"/>
          </w:tcPr>
          <w:p w14:paraId="35CCB863" w14:textId="77777777" w:rsidR="00427B36" w:rsidRPr="00427B36" w:rsidRDefault="00427B36" w:rsidP="00427B36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Causes identifiées / Résultats (à remplir par enquêteurs)</w:t>
            </w:r>
          </w:p>
        </w:tc>
      </w:tr>
      <w:tr w:rsidR="00427B36" w:rsidRPr="00824688" w14:paraId="4E4B1AAE" w14:textId="77777777" w:rsidTr="00B6218D">
        <w:tc>
          <w:tcPr>
            <w:tcW w:w="2972" w:type="dxa"/>
            <w:vAlign w:val="center"/>
          </w:tcPr>
          <w:p w14:paraId="379274FC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  <w:lang w:val="en-US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  <w:lang w:val="en-US"/>
              </w:rPr>
              <w:t>5 Whys</w:t>
            </w:r>
            <w:r w:rsidRPr="00B6218D">
              <w:rPr>
                <w:rFonts w:ascii="Candara" w:hAnsi="Candara"/>
                <w:color w:val="000000"/>
                <w:sz w:val="22"/>
                <w:szCs w:val="22"/>
                <w:lang w:val="en-US"/>
              </w:rPr>
              <w:t xml:space="preserve">/ </w:t>
            </w:r>
            <w:r w:rsidRPr="00427B36">
              <w:rPr>
                <w:rFonts w:ascii="Candara" w:hAnsi="Candara"/>
                <w:color w:val="000000"/>
                <w:sz w:val="22"/>
                <w:szCs w:val="22"/>
                <w:lang w:val="en-US"/>
              </w:rPr>
              <w:t>Brainstorming</w:t>
            </w:r>
            <w:r w:rsidRPr="00B6218D">
              <w:rPr>
                <w:rFonts w:ascii="Candara" w:hAnsi="Candara"/>
                <w:color w:val="000000"/>
                <w:sz w:val="22"/>
                <w:szCs w:val="22"/>
                <w:lang w:val="en-US"/>
              </w:rPr>
              <w:t>/</w:t>
            </w:r>
            <w:r w:rsidRPr="00427B36">
              <w:rPr>
                <w:rFonts w:ascii="Candara" w:hAnsi="Candara"/>
                <w:color w:val="000000"/>
                <w:sz w:val="22"/>
                <w:szCs w:val="22"/>
                <w:lang w:val="en-US"/>
              </w:rPr>
              <w:t>Fault Tree Analysis</w:t>
            </w:r>
          </w:p>
        </w:tc>
        <w:tc>
          <w:tcPr>
            <w:tcW w:w="6301" w:type="dxa"/>
            <w:vAlign w:val="center"/>
          </w:tcPr>
          <w:p w14:paraId="089EC729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24B5430" w14:textId="77777777" w:rsidR="00427B36" w:rsidRPr="00B6218D" w:rsidRDefault="00427B36" w:rsidP="00427B36">
      <w:pPr>
        <w:spacing w:before="100" w:beforeAutospacing="1" w:after="100" w:afterAutospacing="1"/>
        <w:outlineLvl w:val="3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2.2 Classification HFACS des facteurs humain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27B36" w:rsidRPr="00B6218D" w14:paraId="4965D174" w14:textId="77777777" w:rsidTr="00B6218D">
        <w:tc>
          <w:tcPr>
            <w:tcW w:w="4248" w:type="dxa"/>
            <w:vAlign w:val="center"/>
          </w:tcPr>
          <w:p w14:paraId="0EE97A26" w14:textId="77777777" w:rsidR="00427B36" w:rsidRPr="00427B36" w:rsidRDefault="00427B36" w:rsidP="00427B36">
            <w:pPr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Niveau HFACS</w:t>
            </w:r>
          </w:p>
        </w:tc>
        <w:tc>
          <w:tcPr>
            <w:tcW w:w="4819" w:type="dxa"/>
            <w:vAlign w:val="center"/>
          </w:tcPr>
          <w:p w14:paraId="2DFFCCF0" w14:textId="77777777" w:rsidR="00427B36" w:rsidRPr="00427B36" w:rsidRDefault="00427B36" w:rsidP="00427B36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Facteurs identifiés</w:t>
            </w:r>
          </w:p>
        </w:tc>
      </w:tr>
      <w:tr w:rsidR="00427B36" w:rsidRPr="00B6218D" w14:paraId="596A0A1E" w14:textId="77777777" w:rsidTr="00B6218D">
        <w:tc>
          <w:tcPr>
            <w:tcW w:w="4248" w:type="dxa"/>
            <w:vAlign w:val="center"/>
          </w:tcPr>
          <w:p w14:paraId="622126CE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Erreurs actives</w:t>
            </w:r>
          </w:p>
        </w:tc>
        <w:tc>
          <w:tcPr>
            <w:tcW w:w="4819" w:type="dxa"/>
            <w:vAlign w:val="center"/>
          </w:tcPr>
          <w:p w14:paraId="2CDA9A9B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7B36" w:rsidRPr="00B6218D" w14:paraId="722BA516" w14:textId="77777777" w:rsidTr="00B6218D">
        <w:tc>
          <w:tcPr>
            <w:tcW w:w="4248" w:type="dxa"/>
            <w:vAlign w:val="center"/>
          </w:tcPr>
          <w:p w14:paraId="54130A9F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Conditions prédisposantes</w:t>
            </w:r>
          </w:p>
        </w:tc>
        <w:tc>
          <w:tcPr>
            <w:tcW w:w="4819" w:type="dxa"/>
            <w:vAlign w:val="center"/>
          </w:tcPr>
          <w:p w14:paraId="798B5AE9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7B36" w:rsidRPr="00B6218D" w14:paraId="6F7F93E7" w14:textId="77777777" w:rsidTr="00B6218D">
        <w:tc>
          <w:tcPr>
            <w:tcW w:w="4248" w:type="dxa"/>
            <w:vAlign w:val="center"/>
          </w:tcPr>
          <w:p w14:paraId="0F69345B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Facteurs organisationnels</w:t>
            </w:r>
          </w:p>
        </w:tc>
        <w:tc>
          <w:tcPr>
            <w:tcW w:w="4819" w:type="dxa"/>
            <w:vAlign w:val="center"/>
          </w:tcPr>
          <w:p w14:paraId="520A482C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7B36" w:rsidRPr="00B6218D" w14:paraId="5C373492" w14:textId="77777777" w:rsidTr="00B6218D">
        <w:tc>
          <w:tcPr>
            <w:tcW w:w="4248" w:type="dxa"/>
            <w:vAlign w:val="center"/>
          </w:tcPr>
          <w:p w14:paraId="0C59EF8B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Influences réglementaires / sociétales</w:t>
            </w:r>
          </w:p>
        </w:tc>
        <w:tc>
          <w:tcPr>
            <w:tcW w:w="4819" w:type="dxa"/>
            <w:vAlign w:val="center"/>
          </w:tcPr>
          <w:p w14:paraId="71476D40" w14:textId="77777777" w:rsidR="00427B36" w:rsidRPr="00427B36" w:rsidRDefault="00427B36" w:rsidP="00427B36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14:paraId="4CE8BCD9" w14:textId="77777777" w:rsidR="00427B36" w:rsidRPr="00427B36" w:rsidRDefault="00427B36" w:rsidP="00B6218D">
      <w:pPr>
        <w:spacing w:before="100" w:beforeAutospacing="1"/>
        <w:outlineLvl w:val="2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 xml:space="preserve">Étape 3 : Schéma </w:t>
      </w:r>
      <w:proofErr w:type="spellStart"/>
      <w:r w:rsidRPr="00427B36">
        <w:rPr>
          <w:rFonts w:ascii="Candara" w:hAnsi="Candara"/>
          <w:b/>
          <w:bCs/>
          <w:color w:val="000000"/>
          <w:sz w:val="22"/>
          <w:szCs w:val="22"/>
        </w:rPr>
        <w:t>AcciMap</w:t>
      </w:r>
      <w:proofErr w:type="spellEnd"/>
    </w:p>
    <w:p w14:paraId="17A1BBAF" w14:textId="77777777" w:rsidR="00427B36" w:rsidRPr="00427B36" w:rsidRDefault="00427B36" w:rsidP="00B6218D">
      <w:pPr>
        <w:rPr>
          <w:rFonts w:ascii="Candara" w:hAnsi="Candara"/>
          <w:i/>
          <w:iCs/>
          <w:color w:val="808080" w:themeColor="background1" w:themeShade="80"/>
          <w:sz w:val="22"/>
          <w:szCs w:val="22"/>
        </w:rPr>
      </w:pPr>
      <w:r w:rsidRPr="00427B36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Instructions :</w:t>
      </w:r>
    </w:p>
    <w:p w14:paraId="32A9DCCD" w14:textId="77777777" w:rsidR="00427B36" w:rsidRPr="00427B36" w:rsidRDefault="00427B36">
      <w:pPr>
        <w:numPr>
          <w:ilvl w:val="0"/>
          <w:numId w:val="11"/>
        </w:numPr>
        <w:ind w:left="714" w:hanging="357"/>
        <w:rPr>
          <w:rFonts w:ascii="Candara" w:hAnsi="Candara"/>
          <w:i/>
          <w:iCs/>
          <w:color w:val="808080" w:themeColor="background1" w:themeShade="80"/>
          <w:sz w:val="22"/>
          <w:szCs w:val="22"/>
        </w:rPr>
      </w:pPr>
      <w:r w:rsidRPr="00427B36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Placer chaque facteur HFACS / RCA à son niveau hiérarchique : Externe, Organisationnel, Événement physique, Résultat.</w:t>
      </w:r>
    </w:p>
    <w:p w14:paraId="39886F1A" w14:textId="77777777" w:rsidR="00427B36" w:rsidRPr="00427B36" w:rsidRDefault="00427B36">
      <w:pPr>
        <w:numPr>
          <w:ilvl w:val="0"/>
          <w:numId w:val="11"/>
        </w:numPr>
        <w:ind w:left="714" w:hanging="357"/>
        <w:rPr>
          <w:rFonts w:ascii="Candara" w:hAnsi="Candara"/>
          <w:i/>
          <w:iCs/>
          <w:color w:val="808080" w:themeColor="background1" w:themeShade="80"/>
          <w:sz w:val="22"/>
          <w:szCs w:val="22"/>
        </w:rPr>
      </w:pPr>
      <w:r w:rsidRPr="00427B36">
        <w:rPr>
          <w:rFonts w:ascii="Candara" w:hAnsi="Candara"/>
          <w:i/>
          <w:iCs/>
          <w:color w:val="808080" w:themeColor="background1" w:themeShade="80"/>
          <w:sz w:val="22"/>
          <w:szCs w:val="22"/>
        </w:rPr>
        <w:t>Relier les facteurs pour visualiser les interactions et chaînes causales.</w:t>
      </w:r>
    </w:p>
    <w:p w14:paraId="421B0EFD" w14:textId="77777777" w:rsidR="00427B36" w:rsidRPr="00427B36" w:rsidRDefault="00427B36" w:rsidP="00427B36">
      <w:pPr>
        <w:spacing w:before="100" w:beforeAutospacing="1" w:after="100" w:afterAutospacing="1"/>
        <w:rPr>
          <w:rFonts w:ascii="Candara" w:hAnsi="Candara"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Schéma (zone à dessiner ou insérer graphique) :</w:t>
      </w:r>
    </w:p>
    <w:p w14:paraId="231AD1E2" w14:textId="77777777" w:rsidR="00427B36" w:rsidRPr="00427B36" w:rsidRDefault="00427B36" w:rsidP="00427B36">
      <w:pPr>
        <w:spacing w:before="100" w:beforeAutospacing="1" w:after="100" w:afterAutospacing="1"/>
        <w:outlineLvl w:val="2"/>
        <w:rPr>
          <w:rFonts w:ascii="Candara" w:hAnsi="Candara"/>
          <w:b/>
          <w:bCs/>
          <w:color w:val="000000"/>
          <w:sz w:val="22"/>
          <w:szCs w:val="22"/>
        </w:rPr>
      </w:pPr>
      <w:r w:rsidRPr="00427B36">
        <w:rPr>
          <w:rFonts w:ascii="Candara" w:hAnsi="Candara"/>
          <w:b/>
          <w:bCs/>
          <w:color w:val="000000"/>
          <w:sz w:val="22"/>
          <w:szCs w:val="22"/>
        </w:rPr>
        <w:t>Étape 4 : Synthèse et recommandations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27B36" w:rsidRPr="00B6218D" w14:paraId="1EC49710" w14:textId="77777777" w:rsidTr="00B6218D">
        <w:tc>
          <w:tcPr>
            <w:tcW w:w="3539" w:type="dxa"/>
            <w:vAlign w:val="center"/>
          </w:tcPr>
          <w:p w14:paraId="56F29A00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Causes principales identifiées</w:t>
            </w:r>
          </w:p>
        </w:tc>
        <w:tc>
          <w:tcPr>
            <w:tcW w:w="5528" w:type="dxa"/>
            <w:vAlign w:val="center"/>
          </w:tcPr>
          <w:p w14:paraId="340AD61B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7B36" w:rsidRPr="00B6218D" w14:paraId="0F9B7BDB" w14:textId="77777777" w:rsidTr="00B6218D">
        <w:tc>
          <w:tcPr>
            <w:tcW w:w="3539" w:type="dxa"/>
            <w:vAlign w:val="center"/>
          </w:tcPr>
          <w:p w14:paraId="76E3FEB3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Facteurs contributifs</w:t>
            </w:r>
          </w:p>
        </w:tc>
        <w:tc>
          <w:tcPr>
            <w:tcW w:w="5528" w:type="dxa"/>
            <w:vAlign w:val="center"/>
          </w:tcPr>
          <w:p w14:paraId="23AF1A95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7B36" w:rsidRPr="00B6218D" w14:paraId="7CEA19B5" w14:textId="77777777" w:rsidTr="00B6218D">
        <w:tc>
          <w:tcPr>
            <w:tcW w:w="3539" w:type="dxa"/>
            <w:vAlign w:val="center"/>
          </w:tcPr>
          <w:p w14:paraId="5AEB3D19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427B36">
              <w:rPr>
                <w:rFonts w:ascii="Candara" w:hAnsi="Candara"/>
                <w:color w:val="000000"/>
                <w:sz w:val="22"/>
                <w:szCs w:val="22"/>
              </w:rPr>
              <w:t>Recommandations de sécurité</w:t>
            </w:r>
          </w:p>
        </w:tc>
        <w:tc>
          <w:tcPr>
            <w:tcW w:w="5528" w:type="dxa"/>
            <w:vAlign w:val="center"/>
          </w:tcPr>
          <w:p w14:paraId="0D93DF4C" w14:textId="77777777" w:rsidR="00427B36" w:rsidRPr="00427B36" w:rsidRDefault="00427B36" w:rsidP="00711A89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14:paraId="3BE93050" w14:textId="77777777" w:rsidR="00A221B0" w:rsidRPr="00B6218D" w:rsidRDefault="00A221B0" w:rsidP="00A221B0">
      <w:pPr>
        <w:rPr>
          <w:rFonts w:ascii="Candara" w:hAnsi="Candara"/>
          <w:b/>
          <w:bCs/>
        </w:rPr>
      </w:pPr>
    </w:p>
    <w:sectPr w:rsidR="00A221B0" w:rsidRPr="00B6218D" w:rsidSect="00B6218D">
      <w:pgSz w:w="11906" w:h="16838"/>
      <w:pgMar w:top="1417" w:right="708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F37E" w14:textId="77777777" w:rsidR="00F71601" w:rsidRDefault="00F71601" w:rsidP="00785D64">
      <w:r>
        <w:separator/>
      </w:r>
    </w:p>
  </w:endnote>
  <w:endnote w:type="continuationSeparator" w:id="0">
    <w:p w14:paraId="758E64BD" w14:textId="77777777" w:rsidR="00F71601" w:rsidRDefault="00F71601" w:rsidP="007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Candara" w:hAnsi="Candara"/>
      </w:rPr>
      <w:id w:val="-1436348980"/>
      <w:docPartObj>
        <w:docPartGallery w:val="Page Numbers (Bottom of Page)"/>
        <w:docPartUnique/>
      </w:docPartObj>
    </w:sdtPr>
    <w:sdtContent>
      <w:p w14:paraId="093D690A" w14:textId="6ABA0D96" w:rsidR="005D5CB6" w:rsidRPr="005D5CB6" w:rsidRDefault="005D5CB6" w:rsidP="00BE4CC2">
        <w:pPr>
          <w:pStyle w:val="Pieddepage"/>
          <w:framePr w:wrap="none" w:vAnchor="text" w:hAnchor="margin" w:xAlign="right" w:y="1"/>
          <w:rPr>
            <w:rStyle w:val="Numrodepage"/>
            <w:rFonts w:ascii="Candara" w:hAnsi="Candara"/>
          </w:rPr>
        </w:pPr>
        <w:r w:rsidRPr="005D5CB6">
          <w:rPr>
            <w:rStyle w:val="Numrodepage"/>
            <w:rFonts w:ascii="Candara" w:hAnsi="Candara"/>
          </w:rPr>
          <w:fldChar w:fldCharType="begin"/>
        </w:r>
        <w:r w:rsidRPr="005D5CB6">
          <w:rPr>
            <w:rStyle w:val="Numrodepage"/>
            <w:rFonts w:ascii="Candara" w:hAnsi="Candara"/>
          </w:rPr>
          <w:instrText xml:space="preserve"> PAGE </w:instrText>
        </w:r>
        <w:r w:rsidRPr="005D5CB6">
          <w:rPr>
            <w:rStyle w:val="Numrodepage"/>
            <w:rFonts w:ascii="Candara" w:hAnsi="Candara"/>
          </w:rPr>
          <w:fldChar w:fldCharType="separate"/>
        </w:r>
        <w:r w:rsidRPr="005D5CB6">
          <w:rPr>
            <w:rStyle w:val="Numrodepage"/>
            <w:rFonts w:ascii="Candara" w:hAnsi="Candara"/>
            <w:noProof/>
          </w:rPr>
          <w:t>5</w:t>
        </w:r>
        <w:r w:rsidRPr="005D5CB6">
          <w:rPr>
            <w:rStyle w:val="Numrodepage"/>
            <w:rFonts w:ascii="Candara" w:hAnsi="Candara"/>
          </w:rPr>
          <w:fldChar w:fldCharType="end"/>
        </w:r>
        <w:r w:rsidRPr="005D5CB6">
          <w:rPr>
            <w:rStyle w:val="Numrodepage"/>
            <w:rFonts w:ascii="Candara" w:hAnsi="Candara"/>
          </w:rPr>
          <w:t>/</w:t>
        </w:r>
        <w:r w:rsidRPr="005D5CB6">
          <w:rPr>
            <w:rStyle w:val="Numrodepage"/>
            <w:rFonts w:ascii="Candara" w:hAnsi="Candara"/>
          </w:rPr>
          <w:fldChar w:fldCharType="begin"/>
        </w:r>
        <w:r w:rsidRPr="005D5CB6">
          <w:rPr>
            <w:rStyle w:val="Numrodepage"/>
            <w:rFonts w:ascii="Candara" w:hAnsi="Candara"/>
          </w:rPr>
          <w:instrText xml:space="preserve"> SECTIONPAGES  \* MERGEFORMAT </w:instrText>
        </w:r>
        <w:r w:rsidRPr="005D5CB6">
          <w:rPr>
            <w:rStyle w:val="Numrodepage"/>
            <w:rFonts w:ascii="Candara" w:hAnsi="Candara"/>
          </w:rPr>
          <w:fldChar w:fldCharType="separate"/>
        </w:r>
        <w:r w:rsidR="006D5804">
          <w:rPr>
            <w:rStyle w:val="Numrodepage"/>
            <w:rFonts w:ascii="Candara" w:hAnsi="Candara"/>
            <w:noProof/>
          </w:rPr>
          <w:t>5</w:t>
        </w:r>
        <w:r w:rsidRPr="005D5CB6">
          <w:rPr>
            <w:rStyle w:val="Numrodepage"/>
            <w:rFonts w:ascii="Candara" w:hAnsi="Candara"/>
          </w:rPr>
          <w:fldChar w:fldCharType="end"/>
        </w:r>
      </w:p>
    </w:sdtContent>
  </w:sdt>
  <w:p w14:paraId="13F36825" w14:textId="77777777" w:rsidR="005D5CB6" w:rsidRDefault="005D5CB6" w:rsidP="00785D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457C" w14:textId="77777777" w:rsidR="00F71601" w:rsidRDefault="00F71601" w:rsidP="00785D64">
      <w:r>
        <w:separator/>
      </w:r>
    </w:p>
  </w:footnote>
  <w:footnote w:type="continuationSeparator" w:id="0">
    <w:p w14:paraId="2231FA3B" w14:textId="77777777" w:rsidR="00F71601" w:rsidRDefault="00F71601" w:rsidP="0078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C2CE" w14:textId="68792EF0" w:rsidR="00262E87" w:rsidRPr="00262E87" w:rsidRDefault="00262E87" w:rsidP="00262E87">
    <w:pPr>
      <w:pStyle w:val="Titre1"/>
      <w:spacing w:before="100" w:beforeAutospacing="1" w:after="100" w:afterAutospacing="1"/>
      <w:jc w:val="center"/>
      <w:rPr>
        <w:rFonts w:ascii="Candara" w:hAnsi="Candara"/>
        <w:b/>
        <w:bCs/>
        <w:color w:val="000000"/>
      </w:rPr>
    </w:pPr>
    <w:r w:rsidRPr="00262E87">
      <w:rPr>
        <w:rFonts w:ascii="Candara" w:hAnsi="Candara"/>
        <w:b/>
        <w:bCs/>
        <w:color w:val="000000"/>
      </w:rPr>
      <w:t xml:space="preserve">METHODE D’ANALYSE </w:t>
    </w:r>
    <w:r w:rsidR="00E4308D">
      <w:rPr>
        <w:rFonts w:ascii="Candara" w:hAnsi="Candara"/>
        <w:b/>
        <w:bCs/>
        <w:color w:val="000000"/>
      </w:rPr>
      <w:t xml:space="preserve">DE L’EVENEMENT </w:t>
    </w:r>
    <w:r w:rsidRPr="00262E87">
      <w:rPr>
        <w:rFonts w:ascii="Candara" w:hAnsi="Candara"/>
        <w:b/>
        <w:bCs/>
        <w:color w:val="000000"/>
      </w:rPr>
      <w:t xml:space="preserve">ET ACCIMAP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2CC2"/>
    <w:multiLevelType w:val="hybridMultilevel"/>
    <w:tmpl w:val="94C24F3E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0FC1"/>
    <w:multiLevelType w:val="hybridMultilevel"/>
    <w:tmpl w:val="ABCE908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3A05"/>
    <w:multiLevelType w:val="multilevel"/>
    <w:tmpl w:val="78C8F004"/>
    <w:lvl w:ilvl="0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93253"/>
    <w:multiLevelType w:val="hybridMultilevel"/>
    <w:tmpl w:val="5EE61850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096"/>
    <w:multiLevelType w:val="hybridMultilevel"/>
    <w:tmpl w:val="F3BADEA2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65B0"/>
    <w:multiLevelType w:val="multilevel"/>
    <w:tmpl w:val="B78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405E6"/>
    <w:multiLevelType w:val="multilevel"/>
    <w:tmpl w:val="C8B4496C"/>
    <w:lvl w:ilvl="0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740D0"/>
    <w:multiLevelType w:val="hybridMultilevel"/>
    <w:tmpl w:val="3F841C34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25EBD"/>
    <w:multiLevelType w:val="hybridMultilevel"/>
    <w:tmpl w:val="6DE688D4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0D1E"/>
    <w:multiLevelType w:val="multilevel"/>
    <w:tmpl w:val="80F6C336"/>
    <w:lvl w:ilvl="0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D2EAA"/>
    <w:multiLevelType w:val="multilevel"/>
    <w:tmpl w:val="77B007F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A6C4A"/>
    <w:multiLevelType w:val="hybridMultilevel"/>
    <w:tmpl w:val="3028DEC6"/>
    <w:lvl w:ilvl="0" w:tplc="7902E076">
      <w:start w:val="19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9030C"/>
    <w:multiLevelType w:val="multilevel"/>
    <w:tmpl w:val="0C5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565640">
    <w:abstractNumId w:val="2"/>
  </w:num>
  <w:num w:numId="2" w16cid:durableId="560410656">
    <w:abstractNumId w:val="5"/>
  </w:num>
  <w:num w:numId="3" w16cid:durableId="35349067">
    <w:abstractNumId w:val="9"/>
  </w:num>
  <w:num w:numId="4" w16cid:durableId="2039887750">
    <w:abstractNumId w:val="7"/>
  </w:num>
  <w:num w:numId="5" w16cid:durableId="1938829242">
    <w:abstractNumId w:val="3"/>
  </w:num>
  <w:num w:numId="6" w16cid:durableId="552425854">
    <w:abstractNumId w:val="1"/>
  </w:num>
  <w:num w:numId="7" w16cid:durableId="131869741">
    <w:abstractNumId w:val="11"/>
  </w:num>
  <w:num w:numId="8" w16cid:durableId="1580597268">
    <w:abstractNumId w:val="4"/>
  </w:num>
  <w:num w:numId="9" w16cid:durableId="829053518">
    <w:abstractNumId w:val="0"/>
  </w:num>
  <w:num w:numId="10" w16cid:durableId="1577976690">
    <w:abstractNumId w:val="8"/>
  </w:num>
  <w:num w:numId="11" w16cid:durableId="666371980">
    <w:abstractNumId w:val="12"/>
  </w:num>
  <w:num w:numId="12" w16cid:durableId="2084909114">
    <w:abstractNumId w:val="6"/>
  </w:num>
  <w:num w:numId="13" w16cid:durableId="163154559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1A"/>
    <w:rsid w:val="00102BA9"/>
    <w:rsid w:val="00262E87"/>
    <w:rsid w:val="00341836"/>
    <w:rsid w:val="0037793B"/>
    <w:rsid w:val="003B6F97"/>
    <w:rsid w:val="00420856"/>
    <w:rsid w:val="00427B36"/>
    <w:rsid w:val="00506958"/>
    <w:rsid w:val="00557CF5"/>
    <w:rsid w:val="005D5CB6"/>
    <w:rsid w:val="005E05AF"/>
    <w:rsid w:val="00605AE6"/>
    <w:rsid w:val="0064139F"/>
    <w:rsid w:val="0069461A"/>
    <w:rsid w:val="006C1B65"/>
    <w:rsid w:val="006D5804"/>
    <w:rsid w:val="00715B10"/>
    <w:rsid w:val="007432CC"/>
    <w:rsid w:val="00760523"/>
    <w:rsid w:val="00785D64"/>
    <w:rsid w:val="007A2AD4"/>
    <w:rsid w:val="00824688"/>
    <w:rsid w:val="009720B3"/>
    <w:rsid w:val="009879D5"/>
    <w:rsid w:val="009A4F3E"/>
    <w:rsid w:val="009B120D"/>
    <w:rsid w:val="009E717F"/>
    <w:rsid w:val="00A1452D"/>
    <w:rsid w:val="00A221B0"/>
    <w:rsid w:val="00A411AA"/>
    <w:rsid w:val="00B6218D"/>
    <w:rsid w:val="00BD6925"/>
    <w:rsid w:val="00C10C4C"/>
    <w:rsid w:val="00C94B2E"/>
    <w:rsid w:val="00D95A38"/>
    <w:rsid w:val="00E0353F"/>
    <w:rsid w:val="00E4308D"/>
    <w:rsid w:val="00E70816"/>
    <w:rsid w:val="00F71601"/>
    <w:rsid w:val="00FD053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543C"/>
  <w15:chartTrackingRefBased/>
  <w15:docId w15:val="{B89472AB-483B-834D-AE53-B5C7E4C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36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08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4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946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94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9461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9461A"/>
    <w:rPr>
      <w:b/>
      <w:bCs/>
    </w:rPr>
  </w:style>
  <w:style w:type="paragraph" w:styleId="NormalWeb">
    <w:name w:val="Normal (Web)"/>
    <w:basedOn w:val="Normal"/>
    <w:uiPriority w:val="99"/>
    <w:unhideWhenUsed/>
    <w:rsid w:val="006946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69461A"/>
  </w:style>
  <w:style w:type="character" w:customStyle="1" w:styleId="Titre2Car">
    <w:name w:val="Titre 2 Car"/>
    <w:basedOn w:val="Policepardfaut"/>
    <w:link w:val="Titre2"/>
    <w:uiPriority w:val="9"/>
    <w:rsid w:val="006946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6946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E7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A4F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1452D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A1452D"/>
  </w:style>
  <w:style w:type="paragraph" w:customStyle="1" w:styleId="p2">
    <w:name w:val="p2"/>
    <w:basedOn w:val="Normal"/>
    <w:rsid w:val="00A1452D"/>
    <w:pPr>
      <w:spacing w:before="100" w:beforeAutospacing="1" w:after="100" w:afterAutospacing="1"/>
    </w:pPr>
  </w:style>
  <w:style w:type="character" w:customStyle="1" w:styleId="s2">
    <w:name w:val="s2"/>
    <w:basedOn w:val="Policepardfaut"/>
    <w:rsid w:val="00A1452D"/>
  </w:style>
  <w:style w:type="paragraph" w:customStyle="1" w:styleId="p3">
    <w:name w:val="p3"/>
    <w:basedOn w:val="Normal"/>
    <w:rsid w:val="00A1452D"/>
    <w:pPr>
      <w:spacing w:before="100" w:beforeAutospacing="1" w:after="100" w:afterAutospacing="1"/>
    </w:pPr>
  </w:style>
  <w:style w:type="character" w:customStyle="1" w:styleId="s3">
    <w:name w:val="s3"/>
    <w:basedOn w:val="Policepardfaut"/>
    <w:rsid w:val="00A1452D"/>
  </w:style>
  <w:style w:type="paragraph" w:styleId="Sansinterligne">
    <w:name w:val="No Spacing"/>
    <w:uiPriority w:val="1"/>
    <w:qFormat/>
    <w:rsid w:val="00785D6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85D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5D6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85D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D6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78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2796</Words>
  <Characters>18431</Characters>
  <Application>Microsoft Office Word</Application>
  <DocSecurity>0</DocSecurity>
  <Lines>837</Lines>
  <Paragraphs>408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10</cp:revision>
  <dcterms:created xsi:type="dcterms:W3CDTF">2025-08-16T19:32:00Z</dcterms:created>
  <dcterms:modified xsi:type="dcterms:W3CDTF">2025-11-30T21:00:00Z</dcterms:modified>
</cp:coreProperties>
</file>