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AFC2D" w14:textId="70C520D0" w:rsidR="00620426" w:rsidRPr="004367B9" w:rsidRDefault="00620426">
      <w:pPr>
        <w:rPr>
          <w:rFonts w:ascii="Tahoma" w:hAnsi="Tahoma" w:cs="Tahoma"/>
          <w:b/>
          <w:color w:val="002060"/>
          <w:sz w:val="44"/>
          <w:szCs w:val="44"/>
        </w:rPr>
      </w:pPr>
    </w:p>
    <w:p w14:paraId="031CD67F" w14:textId="7A3C3610" w:rsidR="006B1250" w:rsidRPr="004367B9" w:rsidRDefault="00620426">
      <w:pPr>
        <w:bidi/>
        <w:rPr>
          <w:rFonts w:ascii="Tahoma" w:hAnsi="Tahoma" w:cs="Tahoma"/>
          <w:b/>
          <w:color w:val="ED7D31" w:themeColor="accent2"/>
          <w:sz w:val="24"/>
          <w:szCs w:val="24"/>
        </w:rPr>
      </w:pPr>
      <w:r w:rsidRPr="004367B9">
        <w:rPr>
          <w:rFonts w:ascii="Tahoma" w:hAnsi="Tahoma" w:cs="Tahoma"/>
          <w:color w:val="002060"/>
          <w:sz w:val="44"/>
          <w:szCs w:val="44"/>
        </w:rPr>
        <w:br/>
      </w:r>
      <w:r w:rsidRPr="004367B9">
        <w:rPr>
          <w:rFonts w:ascii="Tahoma" w:hAnsi="Tahoma" w:cs="Tahoma"/>
          <w:b/>
          <w:bCs/>
          <w:color w:val="ED7D31" w:themeColor="accent2"/>
          <w:sz w:val="24"/>
          <w:szCs w:val="24"/>
          <w:rtl/>
          <w:lang w:bidi="ar-EG"/>
        </w:rPr>
        <w:t>{مثال على مقالة شبكة الإنترانت - من الرئيس التنفيذي}</w:t>
      </w:r>
    </w:p>
    <w:p w14:paraId="567E4720" w14:textId="4E089662" w:rsidR="00970A21" w:rsidRPr="004367B9" w:rsidRDefault="00970A21">
      <w:pPr>
        <w:rPr>
          <w:rFonts w:ascii="Tahoma" w:hAnsi="Tahoma" w:cs="Tahoma"/>
          <w:color w:val="0054A4"/>
        </w:rPr>
      </w:pPr>
    </w:p>
    <w:p w14:paraId="387F196C" w14:textId="783C8C2C" w:rsidR="00BC401D" w:rsidRPr="004367B9" w:rsidRDefault="00BC401D" w:rsidP="00BC401D">
      <w:pPr>
        <w:bidi/>
        <w:rPr>
          <w:rFonts w:ascii="Tahoma" w:hAnsi="Tahoma" w:cs="Tahoma"/>
          <w:b/>
          <w:color w:val="0054A4"/>
          <w:sz w:val="40"/>
          <w:szCs w:val="40"/>
        </w:rPr>
      </w:pPr>
      <w:r w:rsidRPr="004367B9">
        <w:rPr>
          <w:rFonts w:ascii="Tahoma" w:hAnsi="Tahoma" w:cs="Tahoma"/>
          <w:b/>
          <w:bCs/>
          <w:color w:val="0054A4"/>
          <w:sz w:val="40"/>
          <w:szCs w:val="40"/>
          <w:rtl/>
          <w:lang w:bidi="ar-EG"/>
        </w:rPr>
        <w:t>الأمن</w:t>
      </w:r>
      <w:r w:rsidR="00A07C4C">
        <w:rPr>
          <w:rFonts w:ascii="Tahoma" w:hAnsi="Tahoma" w:cs="Tahoma" w:hint="cs"/>
          <w:b/>
          <w:bCs/>
          <w:color w:val="0054A4"/>
          <w:sz w:val="40"/>
          <w:szCs w:val="40"/>
          <w:rtl/>
          <w:lang w:bidi="ar-EG"/>
        </w:rPr>
        <w:t xml:space="preserve"> هو </w:t>
      </w:r>
      <w:r w:rsidRPr="004367B9">
        <w:rPr>
          <w:rFonts w:ascii="Tahoma" w:hAnsi="Tahoma" w:cs="Tahoma"/>
          <w:b/>
          <w:bCs/>
          <w:color w:val="0054A4"/>
          <w:sz w:val="40"/>
          <w:szCs w:val="40"/>
          <w:rtl/>
          <w:lang w:bidi="ar-EG"/>
        </w:rPr>
        <w:t xml:space="preserve">مسؤولية الجميع </w:t>
      </w:r>
    </w:p>
    <w:p w14:paraId="1DCF5148" w14:textId="10139F31" w:rsidR="00970A21" w:rsidRPr="00DC3AA6" w:rsidRDefault="00970A21" w:rsidP="00DC3AA6">
      <w:pPr>
        <w:jc w:val="right"/>
        <w:rPr>
          <w:rFonts w:cstheme="minorHAnsi"/>
          <w:b/>
        </w:rPr>
      </w:pPr>
      <w:r w:rsidRPr="00DC3AA6">
        <w:rPr>
          <w:rFonts w:cstheme="minorHAnsi"/>
          <w:b/>
          <w:bCs/>
          <w:highlight w:val="yellow"/>
        </w:rPr>
        <w:t>{</w:t>
      </w:r>
      <w:r w:rsidR="00DC3AA6" w:rsidRPr="00DC3AA6">
        <w:rPr>
          <w:rFonts w:cstheme="minorHAnsi"/>
          <w:highlight w:val="yellow"/>
          <w:rtl/>
        </w:rPr>
        <w:t xml:space="preserve"> </w:t>
      </w:r>
      <w:r w:rsidR="00DC3AA6" w:rsidRPr="00DC3AA6">
        <w:rPr>
          <w:rFonts w:cstheme="minorHAnsi"/>
          <w:b/>
          <w:bCs/>
          <w:highlight w:val="yellow"/>
          <w:rtl/>
        </w:rPr>
        <w:t>تاريخ</w:t>
      </w:r>
      <w:r w:rsidRPr="00DC3AA6">
        <w:rPr>
          <w:rFonts w:cstheme="minorHAnsi"/>
          <w:b/>
          <w:bCs/>
          <w:highlight w:val="yellow"/>
        </w:rPr>
        <w:t>}</w:t>
      </w:r>
    </w:p>
    <w:p w14:paraId="6261BBD8" w14:textId="0F163D6F" w:rsidR="00772679" w:rsidRPr="00DC3AA6" w:rsidRDefault="00970A21" w:rsidP="00AA3450">
      <w:pPr>
        <w:bidi/>
        <w:jc w:val="both"/>
        <w:rPr>
          <w:rFonts w:cstheme="minorHAnsi"/>
          <w:sz w:val="24"/>
          <w:szCs w:val="24"/>
        </w:rPr>
      </w:pPr>
      <w:r w:rsidRPr="00DC3AA6">
        <w:rPr>
          <w:rFonts w:cstheme="minorHAnsi"/>
        </w:rPr>
        <w:br/>
      </w:r>
      <w:r w:rsidRPr="00DC3AA6">
        <w:rPr>
          <w:rFonts w:cstheme="minorHAnsi"/>
          <w:sz w:val="24"/>
          <w:szCs w:val="24"/>
          <w:rtl/>
          <w:lang w:bidi="ar-EG"/>
        </w:rPr>
        <w:t xml:space="preserve">الأمن هو مسؤولية كل من يعمل في </w:t>
      </w:r>
      <w:r w:rsidRPr="00DC3AA6">
        <w:rPr>
          <w:rFonts w:cstheme="minorHAnsi"/>
          <w:sz w:val="24"/>
          <w:szCs w:val="24"/>
          <w:highlight w:val="yellow"/>
          <w:rtl/>
        </w:rPr>
        <w:t>{</w:t>
      </w:r>
      <w:r w:rsidR="00DC3AA6" w:rsidRPr="00DC3AA6">
        <w:rPr>
          <w:rFonts w:cstheme="minorHAnsi"/>
          <w:highlight w:val="yellow"/>
          <w:rtl/>
        </w:rPr>
        <w:t xml:space="preserve"> </w:t>
      </w:r>
      <w:r w:rsidR="00DC3AA6" w:rsidRPr="00DC3AA6">
        <w:rPr>
          <w:rFonts w:cstheme="minorHAnsi"/>
          <w:sz w:val="24"/>
          <w:szCs w:val="24"/>
          <w:highlight w:val="yellow"/>
          <w:rtl/>
        </w:rPr>
        <w:t>اسم المنظمة</w:t>
      </w:r>
      <w:r w:rsidR="00DC3AA6" w:rsidRPr="00DC3AA6">
        <w:rPr>
          <w:rFonts w:cstheme="minorHAnsi"/>
          <w:sz w:val="24"/>
          <w:szCs w:val="24"/>
          <w:highlight w:val="yellow"/>
          <w:rtl/>
        </w:rPr>
        <w:t xml:space="preserve"> </w:t>
      </w:r>
      <w:r w:rsidRPr="00DC3AA6">
        <w:rPr>
          <w:rFonts w:cstheme="minorHAnsi"/>
          <w:sz w:val="24"/>
          <w:szCs w:val="24"/>
          <w:highlight w:val="yellow"/>
          <w:rtl/>
        </w:rPr>
        <w:t>}</w:t>
      </w:r>
      <w:r w:rsidRPr="00DC3AA6">
        <w:rPr>
          <w:rFonts w:cstheme="minorHAnsi"/>
          <w:sz w:val="24"/>
          <w:szCs w:val="24"/>
          <w:rtl/>
          <w:lang w:bidi="ar-EG"/>
        </w:rPr>
        <w:t>. في حين يتأكد قسم الأمن لدينا من إطلاعنا على أحدث التهديدات والعمليات والإجراءات الأمنية، فإنه يقع على عاتقنا جميعًا ضمان قيامنا بدورنا في جعل الطيران آمنًا ومستقرًا. يجب علينا جميعًا الإهتمام بالأمن باعتباره جزءًا أساسيًا من أعمالنا وجزءًا أساسيًا من كيفية نجاحنا.</w:t>
      </w:r>
    </w:p>
    <w:p w14:paraId="6302DF86" w14:textId="212133F8" w:rsidR="00977CD4" w:rsidRPr="00DC3AA6" w:rsidRDefault="00772679" w:rsidP="00AA3450">
      <w:pPr>
        <w:bidi/>
        <w:jc w:val="both"/>
        <w:rPr>
          <w:rFonts w:cstheme="minorHAnsi"/>
          <w:sz w:val="24"/>
          <w:szCs w:val="24"/>
        </w:rPr>
      </w:pPr>
      <w:r w:rsidRPr="00DC3AA6">
        <w:rPr>
          <w:rFonts w:cstheme="minorHAnsi"/>
          <w:sz w:val="24"/>
          <w:szCs w:val="24"/>
          <w:rtl/>
          <w:lang w:bidi="ar-EG"/>
        </w:rPr>
        <w:t xml:space="preserve">من فريق الإدارة العليا، نلتزم بأن نكون قدوة يحتذى بها في مجال الأمن. نحن نلتزم بالاستماع إلى الملاحظات الأمنية والتصرف بناءً على التقارير، فضلاً عن ضمان بقاء الإحاطة والتدريب الأمني على رأس أولوياتنا. نطلب منك المساعدة من خلال البقاء يقظًا، والبحث عن أي شيء خارج عن المألوف واتباع إجراءاتنا وعملياتنا الأمنية. </w:t>
      </w:r>
    </w:p>
    <w:p w14:paraId="1F07CC30" w14:textId="71A4C453" w:rsidR="00BC401D" w:rsidRPr="00DC3AA6" w:rsidRDefault="00977CD4" w:rsidP="00831176">
      <w:pPr>
        <w:bidi/>
        <w:jc w:val="both"/>
        <w:rPr>
          <w:rFonts w:cstheme="minorHAnsi"/>
          <w:sz w:val="24"/>
          <w:szCs w:val="24"/>
        </w:rPr>
      </w:pPr>
      <w:r w:rsidRPr="00DC3AA6">
        <w:rPr>
          <w:rFonts w:cstheme="minorHAnsi"/>
          <w:sz w:val="24"/>
          <w:szCs w:val="24"/>
          <w:rtl/>
          <w:lang w:bidi="ar-EG"/>
        </w:rPr>
        <w:t xml:space="preserve">تكثر التهديدات التي يتعرض لها الطيران باستمرار ويمكن أن </w:t>
      </w:r>
      <w:r w:rsidR="00A07C4C" w:rsidRPr="00DC3AA6">
        <w:rPr>
          <w:rFonts w:cstheme="minorHAnsi"/>
          <w:sz w:val="24"/>
          <w:szCs w:val="24"/>
          <w:rtl/>
          <w:lang w:bidi="ar-EG"/>
        </w:rPr>
        <w:t>يوفّر</w:t>
      </w:r>
      <w:r w:rsidRPr="00DC3AA6">
        <w:rPr>
          <w:rFonts w:cstheme="minorHAnsi"/>
          <w:sz w:val="24"/>
          <w:szCs w:val="24"/>
          <w:rtl/>
          <w:lang w:bidi="ar-EG"/>
        </w:rPr>
        <w:t xml:space="preserve"> التراخي فرصة للذين يسعون لإلحاق الأذى بنا. ولذلك، فإننا نطرح مجموعة من أدوات وموارد منظمة الطيران المدني الدولي لمساعدتنا جميعًا على البقاء في حالة تأهّب. نقوم أيضًا بتنفيذ حملات التوعية الأمنية، مع ملصقات وبطاقات صغيرة توضع بالمحفظة، لتسليط الضوء على الرسائل الأمنية الرئيسية بما في ذلك كيفية الإبلاغ عن نشاط غير عادي أو مشبوه.  </w:t>
      </w:r>
    </w:p>
    <w:p w14:paraId="093111C7" w14:textId="0F2DA26B" w:rsidR="006B6B49" w:rsidRPr="00DC3AA6" w:rsidRDefault="006B6B49" w:rsidP="00AA3450">
      <w:pPr>
        <w:bidi/>
        <w:jc w:val="both"/>
        <w:rPr>
          <w:rFonts w:cstheme="minorHAnsi"/>
          <w:sz w:val="24"/>
          <w:szCs w:val="24"/>
        </w:rPr>
      </w:pPr>
      <w:r w:rsidRPr="00DC3AA6">
        <w:rPr>
          <w:rFonts w:cstheme="minorHAnsi"/>
          <w:sz w:val="24"/>
          <w:szCs w:val="24"/>
          <w:rtl/>
          <w:lang w:bidi="ar-EG"/>
        </w:rPr>
        <w:t>ستتلقون جميعًا موجزًا من مدير القسم الخاص بكم حول سبب أهمية الأمن وسيحدث هذا بصفة منتظمة لاجتماعات المعلومات الشهرية لدينا.</w:t>
      </w:r>
    </w:p>
    <w:p w14:paraId="3A83A595" w14:textId="18C0A2BD" w:rsidR="00BC401D" w:rsidRPr="00DC3AA6" w:rsidRDefault="00BC401D" w:rsidP="00EE344C">
      <w:pPr>
        <w:bidi/>
        <w:jc w:val="both"/>
        <w:rPr>
          <w:rFonts w:cstheme="minorHAnsi"/>
          <w:sz w:val="24"/>
          <w:szCs w:val="24"/>
        </w:rPr>
      </w:pPr>
      <w:r w:rsidRPr="00DC3AA6">
        <w:rPr>
          <w:rFonts w:cstheme="minorHAnsi"/>
          <w:sz w:val="24"/>
          <w:szCs w:val="24"/>
          <w:rtl/>
          <w:lang w:bidi="ar-EG"/>
        </w:rPr>
        <w:t xml:space="preserve">يرجى قضاء بضع دقائق لقراءة المعلومات الموجودة على الملصقات وبطاقات المحفظة والوصول إلى </w:t>
      </w:r>
      <w:hyperlink r:id="rId11" w:history="1">
        <w:r w:rsidRPr="00DC3AA6">
          <w:rPr>
            <w:rStyle w:val="Hyperlink"/>
            <w:rFonts w:cstheme="minorHAnsi"/>
            <w:sz w:val="24"/>
            <w:szCs w:val="24"/>
            <w:rtl/>
            <w:lang w:bidi="ar-EG"/>
          </w:rPr>
          <w:t xml:space="preserve">أدوات وموارد </w:t>
        </w:r>
        <w:r w:rsidRPr="00DC3AA6">
          <w:rPr>
            <w:rStyle w:val="Hyperlink"/>
            <w:rFonts w:cstheme="minorHAnsi"/>
            <w:sz w:val="24"/>
            <w:szCs w:val="24"/>
          </w:rPr>
          <w:t>ICAO</w:t>
        </w:r>
      </w:hyperlink>
      <w:r w:rsidRPr="00DC3AA6">
        <w:rPr>
          <w:rFonts w:cstheme="minorHAnsi"/>
          <w:sz w:val="24"/>
          <w:szCs w:val="24"/>
          <w:rtl/>
          <w:lang w:bidi="ar-EG"/>
        </w:rPr>
        <w:t xml:space="preserve">. من المهم أن يعرف الجميع ما الذي يجب البحث عنه وكيفية الإبلاغ عنه - وهذا يعني أنه يمكننا الاستمرار في بناء ثقافة أمنية إيجابية في مؤسستنا. </w:t>
      </w:r>
    </w:p>
    <w:p w14:paraId="2ADE5F2E" w14:textId="12DD4955" w:rsidR="00970A21" w:rsidRPr="00DC3AA6" w:rsidRDefault="00970A21" w:rsidP="00AA3450">
      <w:pPr>
        <w:bidi/>
        <w:jc w:val="both"/>
        <w:rPr>
          <w:rFonts w:cstheme="minorHAnsi"/>
          <w:sz w:val="24"/>
          <w:szCs w:val="24"/>
        </w:rPr>
      </w:pPr>
      <w:r w:rsidRPr="00DC3AA6">
        <w:rPr>
          <w:rFonts w:cstheme="minorHAnsi"/>
          <w:sz w:val="24"/>
          <w:szCs w:val="24"/>
          <w:rtl/>
          <w:lang w:bidi="ar-EG"/>
        </w:rPr>
        <w:t xml:space="preserve">مع أطيب التحيات، </w:t>
      </w:r>
    </w:p>
    <w:p w14:paraId="37BBEC85" w14:textId="19FE2967" w:rsidR="00620426" w:rsidRPr="00DC3AA6" w:rsidRDefault="00970A21" w:rsidP="00DC3AA6">
      <w:pPr>
        <w:jc w:val="right"/>
        <w:rPr>
          <w:rFonts w:cstheme="minorHAnsi"/>
          <w:sz w:val="24"/>
          <w:szCs w:val="24"/>
        </w:rPr>
      </w:pPr>
      <w:r w:rsidRPr="00DC3AA6">
        <w:rPr>
          <w:rFonts w:cstheme="minorHAnsi"/>
          <w:sz w:val="24"/>
          <w:szCs w:val="24"/>
          <w:highlight w:val="yellow"/>
        </w:rPr>
        <w:t>{</w:t>
      </w:r>
      <w:r w:rsidR="00DC3AA6" w:rsidRPr="00DC3AA6">
        <w:rPr>
          <w:rFonts w:cstheme="minorHAnsi"/>
          <w:highlight w:val="yellow"/>
          <w:rtl/>
        </w:rPr>
        <w:t xml:space="preserve"> </w:t>
      </w:r>
      <w:r w:rsidR="00DC3AA6" w:rsidRPr="00DC3AA6">
        <w:rPr>
          <w:rFonts w:cstheme="minorHAnsi"/>
          <w:sz w:val="24"/>
          <w:szCs w:val="24"/>
          <w:highlight w:val="yellow"/>
          <w:rtl/>
        </w:rPr>
        <w:t>اسم</w:t>
      </w:r>
      <w:r w:rsidRPr="00DC3AA6">
        <w:rPr>
          <w:rFonts w:cstheme="minorHAnsi"/>
          <w:sz w:val="24"/>
          <w:szCs w:val="24"/>
          <w:highlight w:val="yellow"/>
        </w:rPr>
        <w:t>}</w:t>
      </w:r>
      <w:r w:rsidRPr="00DC3AA6">
        <w:rPr>
          <w:rFonts w:cstheme="minorHAnsi"/>
          <w:sz w:val="24"/>
          <w:szCs w:val="24"/>
          <w:highlight w:val="yellow"/>
        </w:rPr>
        <w:br/>
        <w:t>{</w:t>
      </w:r>
      <w:r w:rsidR="00DC3AA6" w:rsidRPr="00DC3AA6">
        <w:rPr>
          <w:rFonts w:cstheme="minorHAnsi"/>
          <w:highlight w:val="yellow"/>
          <w:rtl/>
        </w:rPr>
        <w:t xml:space="preserve"> </w:t>
      </w:r>
      <w:r w:rsidR="00DC3AA6" w:rsidRPr="00DC3AA6">
        <w:rPr>
          <w:rFonts w:cstheme="minorHAnsi"/>
          <w:sz w:val="24"/>
          <w:szCs w:val="24"/>
          <w:highlight w:val="yellow"/>
          <w:rtl/>
        </w:rPr>
        <w:t>عنوان وظيفي</w:t>
      </w:r>
      <w:r w:rsidRPr="00DC3AA6">
        <w:rPr>
          <w:rFonts w:cstheme="minorHAnsi"/>
          <w:sz w:val="24"/>
          <w:szCs w:val="24"/>
          <w:highlight w:val="yellow"/>
        </w:rPr>
        <w:t>}</w:t>
      </w:r>
    </w:p>
    <w:sectPr w:rsidR="00620426" w:rsidRPr="00DC3AA6" w:rsidSect="00620426">
      <w:headerReference w:type="default" r:id="rId12"/>
      <w:footerReference w:type="default" r:id="rId13"/>
      <w:pgSz w:w="11906" w:h="16838"/>
      <w:pgMar w:top="142" w:right="1440" w:bottom="1701" w:left="1440" w:header="708" w:footer="5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79F04" w14:textId="77777777" w:rsidR="007C2254" w:rsidRDefault="007C2254" w:rsidP="00970A21">
      <w:pPr>
        <w:spacing w:after="0" w:line="240" w:lineRule="auto"/>
      </w:pPr>
      <w:r>
        <w:separator/>
      </w:r>
    </w:p>
  </w:endnote>
  <w:endnote w:type="continuationSeparator" w:id="0">
    <w:p w14:paraId="15FD9E70" w14:textId="77777777" w:rsidR="007C2254" w:rsidRDefault="007C2254" w:rsidP="00970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35253" w14:textId="7EFC0C64" w:rsidR="00620426" w:rsidRPr="00620426" w:rsidRDefault="00620426" w:rsidP="00620426">
    <w:pPr>
      <w:pStyle w:val="Footer"/>
      <w:bidi/>
    </w:pPr>
    <w:r>
      <w:rPr>
        <w:rtl/>
        <w:lang w:bidi="ar-EG"/>
      </w:rPr>
      <w:t xml:space="preserve">اكتشف المزيد: </w:t>
    </w:r>
    <w:r>
      <w:rPr>
        <w:b/>
        <w:bCs/>
        <w:color w:val="0054A4"/>
      </w:rPr>
      <w:t>www.icao.int/Security/Security-Culture</w:t>
    </w:r>
    <w:r>
      <w:rPr>
        <w:b/>
        <w:bCs/>
        <w:color w:val="0054A4"/>
        <w:rtl/>
        <w:lang w:bidi="ar-EG"/>
      </w:rPr>
      <w:t>/</w:t>
    </w:r>
    <w:r>
      <w:rPr>
        <w:color w:val="0054A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56D1A" w14:textId="77777777" w:rsidR="007C2254" w:rsidRDefault="007C2254" w:rsidP="00970A21">
      <w:pPr>
        <w:spacing w:after="0" w:line="240" w:lineRule="auto"/>
      </w:pPr>
      <w:r>
        <w:separator/>
      </w:r>
    </w:p>
  </w:footnote>
  <w:footnote w:type="continuationSeparator" w:id="0">
    <w:p w14:paraId="58A94D55" w14:textId="77777777" w:rsidR="007C2254" w:rsidRDefault="007C2254" w:rsidP="00970A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12255" w14:textId="74B601F6" w:rsidR="00970A21" w:rsidRDefault="0014225D">
    <w:pPr>
      <w:pStyle w:val="Header"/>
      <w:bidi/>
    </w:pPr>
    <w:r>
      <w:rPr>
        <w:noProof/>
      </w:rPr>
      <w:drawing>
        <wp:anchor distT="0" distB="0" distL="114300" distR="114300" simplePos="0" relativeHeight="251660288" behindDoc="1" locked="0" layoutInCell="1" allowOverlap="1" wp14:anchorId="057639AD" wp14:editId="2D3554B7">
          <wp:simplePos x="0" y="0"/>
          <wp:positionH relativeFrom="margin">
            <wp:align>right</wp:align>
          </wp:positionH>
          <wp:positionV relativeFrom="paragraph">
            <wp:posOffset>-200660</wp:posOffset>
          </wp:positionV>
          <wp:extent cx="1003935" cy="650875"/>
          <wp:effectExtent l="0" t="0" r="5715" b="0"/>
          <wp:wrapTight wrapText="bothSides">
            <wp:wrapPolygon edited="0">
              <wp:start x="0" y="0"/>
              <wp:lineTo x="0" y="20862"/>
              <wp:lineTo x="21313" y="20862"/>
              <wp:lineTo x="21313" y="0"/>
              <wp:lineTo x="0" y="0"/>
            </wp:wrapPolygon>
          </wp:wrapTight>
          <wp:docPr id="56" name="Picture 56" descr="logo-goes-here | HME Billing &amp; Consul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goes-here | HME Billing &amp; Consult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3935" cy="650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28CC3DD3" wp14:editId="4D8B512D">
          <wp:simplePos x="0" y="0"/>
          <wp:positionH relativeFrom="page">
            <wp:posOffset>0</wp:posOffset>
          </wp:positionH>
          <wp:positionV relativeFrom="paragraph">
            <wp:posOffset>649415</wp:posOffset>
          </wp:positionV>
          <wp:extent cx="7691120" cy="1200785"/>
          <wp:effectExtent l="0" t="0" r="5080" b="0"/>
          <wp:wrapTight wrapText="bothSides">
            <wp:wrapPolygon edited="0">
              <wp:start x="0" y="0"/>
              <wp:lineTo x="0" y="21246"/>
              <wp:lineTo x="21561" y="21246"/>
              <wp:lineTo x="21561" y="0"/>
              <wp:lineTo x="0" y="0"/>
            </wp:wrapPolygon>
          </wp:wrapTight>
          <wp:docPr id="63" name="Picture 63" descr="A picture containing text, sky,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ky, screensho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691120" cy="1200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6732FB"/>
    <w:multiLevelType w:val="hybridMultilevel"/>
    <w:tmpl w:val="3A9CC66A"/>
    <w:lvl w:ilvl="0" w:tplc="08090001">
      <w:start w:val="1"/>
      <w:numFmt w:val="bullet"/>
      <w:lvlText w:val=""/>
      <w:lvlJc w:val="left"/>
      <w:pPr>
        <w:ind w:left="720" w:hanging="360"/>
      </w:pPr>
      <w:rPr>
        <w:rFonts w:ascii="Tahoma" w:hAnsi="Tahoma" w:hint="default"/>
      </w:rPr>
    </w:lvl>
    <w:lvl w:ilvl="1" w:tplc="08090003" w:tentative="1">
      <w:start w:val="1"/>
      <w:numFmt w:val="bullet"/>
      <w:lvlText w:val="o"/>
      <w:lvlJc w:val="left"/>
      <w:pPr>
        <w:ind w:left="1440" w:hanging="360"/>
      </w:pPr>
      <w:rPr>
        <w:rFonts w:ascii="Tahoma" w:hAnsi="Tahoma" w:cs="Tahoma" w:hint="default"/>
      </w:rPr>
    </w:lvl>
    <w:lvl w:ilvl="2" w:tplc="08090005" w:tentative="1">
      <w:start w:val="1"/>
      <w:numFmt w:val="bullet"/>
      <w:lvlText w:val=""/>
      <w:lvlJc w:val="left"/>
      <w:pPr>
        <w:ind w:left="2160" w:hanging="360"/>
      </w:pPr>
      <w:rPr>
        <w:rFonts w:ascii="Tahoma" w:hAnsi="Tahoma" w:hint="default"/>
      </w:rPr>
    </w:lvl>
    <w:lvl w:ilvl="3" w:tplc="08090001" w:tentative="1">
      <w:start w:val="1"/>
      <w:numFmt w:val="bullet"/>
      <w:lvlText w:val=""/>
      <w:lvlJc w:val="left"/>
      <w:pPr>
        <w:ind w:left="2880" w:hanging="360"/>
      </w:pPr>
      <w:rPr>
        <w:rFonts w:ascii="Tahoma" w:hAnsi="Tahoma" w:hint="default"/>
      </w:rPr>
    </w:lvl>
    <w:lvl w:ilvl="4" w:tplc="08090003" w:tentative="1">
      <w:start w:val="1"/>
      <w:numFmt w:val="bullet"/>
      <w:lvlText w:val="o"/>
      <w:lvlJc w:val="left"/>
      <w:pPr>
        <w:ind w:left="3600" w:hanging="360"/>
      </w:pPr>
      <w:rPr>
        <w:rFonts w:ascii="Tahoma" w:hAnsi="Tahoma" w:cs="Tahoma" w:hint="default"/>
      </w:rPr>
    </w:lvl>
    <w:lvl w:ilvl="5" w:tplc="08090005" w:tentative="1">
      <w:start w:val="1"/>
      <w:numFmt w:val="bullet"/>
      <w:lvlText w:val=""/>
      <w:lvlJc w:val="left"/>
      <w:pPr>
        <w:ind w:left="4320" w:hanging="360"/>
      </w:pPr>
      <w:rPr>
        <w:rFonts w:ascii="Tahoma" w:hAnsi="Tahoma" w:hint="default"/>
      </w:rPr>
    </w:lvl>
    <w:lvl w:ilvl="6" w:tplc="08090001" w:tentative="1">
      <w:start w:val="1"/>
      <w:numFmt w:val="bullet"/>
      <w:lvlText w:val=""/>
      <w:lvlJc w:val="left"/>
      <w:pPr>
        <w:ind w:left="5040" w:hanging="360"/>
      </w:pPr>
      <w:rPr>
        <w:rFonts w:ascii="Tahoma" w:hAnsi="Tahoma" w:hint="default"/>
      </w:rPr>
    </w:lvl>
    <w:lvl w:ilvl="7" w:tplc="08090003" w:tentative="1">
      <w:start w:val="1"/>
      <w:numFmt w:val="bullet"/>
      <w:lvlText w:val="o"/>
      <w:lvlJc w:val="left"/>
      <w:pPr>
        <w:ind w:left="5760" w:hanging="360"/>
      </w:pPr>
      <w:rPr>
        <w:rFonts w:ascii="Tahoma" w:hAnsi="Tahoma" w:cs="Tahoma" w:hint="default"/>
      </w:rPr>
    </w:lvl>
    <w:lvl w:ilvl="8" w:tplc="08090005" w:tentative="1">
      <w:start w:val="1"/>
      <w:numFmt w:val="bullet"/>
      <w:lvlText w:val=""/>
      <w:lvlJc w:val="left"/>
      <w:pPr>
        <w:ind w:left="6480" w:hanging="360"/>
      </w:pPr>
      <w:rPr>
        <w:rFonts w:ascii="Tahoma" w:hAnsi="Tahoma" w:hint="default"/>
      </w:rPr>
    </w:lvl>
  </w:abstractNum>
  <w:abstractNum w:abstractNumId="1" w15:restartNumberingAfterBreak="0">
    <w:nsid w:val="48034D4C"/>
    <w:multiLevelType w:val="hybridMultilevel"/>
    <w:tmpl w:val="868C4B9C"/>
    <w:lvl w:ilvl="0" w:tplc="47AC2128">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Tahoma" w:hAnsi="Tahoma" w:cs="Tahoma" w:hint="default"/>
      </w:rPr>
    </w:lvl>
    <w:lvl w:ilvl="2" w:tplc="08090005" w:tentative="1">
      <w:start w:val="1"/>
      <w:numFmt w:val="bullet"/>
      <w:lvlText w:val=""/>
      <w:lvlJc w:val="left"/>
      <w:pPr>
        <w:ind w:left="2160" w:hanging="360"/>
      </w:pPr>
      <w:rPr>
        <w:rFonts w:ascii="Tahoma" w:hAnsi="Tahoma" w:hint="default"/>
      </w:rPr>
    </w:lvl>
    <w:lvl w:ilvl="3" w:tplc="08090001" w:tentative="1">
      <w:start w:val="1"/>
      <w:numFmt w:val="bullet"/>
      <w:lvlText w:val=""/>
      <w:lvlJc w:val="left"/>
      <w:pPr>
        <w:ind w:left="2880" w:hanging="360"/>
      </w:pPr>
      <w:rPr>
        <w:rFonts w:ascii="Tahoma" w:hAnsi="Tahoma" w:hint="default"/>
      </w:rPr>
    </w:lvl>
    <w:lvl w:ilvl="4" w:tplc="08090003" w:tentative="1">
      <w:start w:val="1"/>
      <w:numFmt w:val="bullet"/>
      <w:lvlText w:val="o"/>
      <w:lvlJc w:val="left"/>
      <w:pPr>
        <w:ind w:left="3600" w:hanging="360"/>
      </w:pPr>
      <w:rPr>
        <w:rFonts w:ascii="Tahoma" w:hAnsi="Tahoma" w:cs="Tahoma" w:hint="default"/>
      </w:rPr>
    </w:lvl>
    <w:lvl w:ilvl="5" w:tplc="08090005" w:tentative="1">
      <w:start w:val="1"/>
      <w:numFmt w:val="bullet"/>
      <w:lvlText w:val=""/>
      <w:lvlJc w:val="left"/>
      <w:pPr>
        <w:ind w:left="4320" w:hanging="360"/>
      </w:pPr>
      <w:rPr>
        <w:rFonts w:ascii="Tahoma" w:hAnsi="Tahoma" w:hint="default"/>
      </w:rPr>
    </w:lvl>
    <w:lvl w:ilvl="6" w:tplc="08090001" w:tentative="1">
      <w:start w:val="1"/>
      <w:numFmt w:val="bullet"/>
      <w:lvlText w:val=""/>
      <w:lvlJc w:val="left"/>
      <w:pPr>
        <w:ind w:left="5040" w:hanging="360"/>
      </w:pPr>
      <w:rPr>
        <w:rFonts w:ascii="Tahoma" w:hAnsi="Tahoma" w:hint="default"/>
      </w:rPr>
    </w:lvl>
    <w:lvl w:ilvl="7" w:tplc="08090003" w:tentative="1">
      <w:start w:val="1"/>
      <w:numFmt w:val="bullet"/>
      <w:lvlText w:val="o"/>
      <w:lvlJc w:val="left"/>
      <w:pPr>
        <w:ind w:left="5760" w:hanging="360"/>
      </w:pPr>
      <w:rPr>
        <w:rFonts w:ascii="Tahoma" w:hAnsi="Tahoma" w:cs="Tahoma" w:hint="default"/>
      </w:rPr>
    </w:lvl>
    <w:lvl w:ilvl="8" w:tplc="08090005" w:tentative="1">
      <w:start w:val="1"/>
      <w:numFmt w:val="bullet"/>
      <w:lvlText w:val=""/>
      <w:lvlJc w:val="left"/>
      <w:pPr>
        <w:ind w:left="6480" w:hanging="360"/>
      </w:pPr>
      <w:rPr>
        <w:rFonts w:ascii="Tahoma" w:hAnsi="Tahoma"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08E"/>
    <w:rsid w:val="00001CA8"/>
    <w:rsid w:val="0001624A"/>
    <w:rsid w:val="000C5B52"/>
    <w:rsid w:val="000D1702"/>
    <w:rsid w:val="0012412B"/>
    <w:rsid w:val="0014225D"/>
    <w:rsid w:val="00154A0A"/>
    <w:rsid w:val="00164E90"/>
    <w:rsid w:val="001B075E"/>
    <w:rsid w:val="001B66F8"/>
    <w:rsid w:val="001F394E"/>
    <w:rsid w:val="00216745"/>
    <w:rsid w:val="002935E9"/>
    <w:rsid w:val="002C73D8"/>
    <w:rsid w:val="002F040E"/>
    <w:rsid w:val="00363A0C"/>
    <w:rsid w:val="003B435A"/>
    <w:rsid w:val="00424DEE"/>
    <w:rsid w:val="004367B9"/>
    <w:rsid w:val="004EA6E0"/>
    <w:rsid w:val="00506CFC"/>
    <w:rsid w:val="00534910"/>
    <w:rsid w:val="005374EA"/>
    <w:rsid w:val="005524A5"/>
    <w:rsid w:val="005F4894"/>
    <w:rsid w:val="00620426"/>
    <w:rsid w:val="00690E5C"/>
    <w:rsid w:val="0069308E"/>
    <w:rsid w:val="006B6B49"/>
    <w:rsid w:val="00714849"/>
    <w:rsid w:val="00772679"/>
    <w:rsid w:val="007B7A1A"/>
    <w:rsid w:val="007C2254"/>
    <w:rsid w:val="007D4DC1"/>
    <w:rsid w:val="007F7AE0"/>
    <w:rsid w:val="0082658F"/>
    <w:rsid w:val="00831176"/>
    <w:rsid w:val="00897144"/>
    <w:rsid w:val="008A1C72"/>
    <w:rsid w:val="008C4136"/>
    <w:rsid w:val="008D6C59"/>
    <w:rsid w:val="009458B7"/>
    <w:rsid w:val="00970A21"/>
    <w:rsid w:val="00977CD4"/>
    <w:rsid w:val="009A3074"/>
    <w:rsid w:val="00A01F10"/>
    <w:rsid w:val="00A07C4C"/>
    <w:rsid w:val="00A20A87"/>
    <w:rsid w:val="00AA20E3"/>
    <w:rsid w:val="00AA3450"/>
    <w:rsid w:val="00B67E99"/>
    <w:rsid w:val="00B80814"/>
    <w:rsid w:val="00BC401D"/>
    <w:rsid w:val="00C2761A"/>
    <w:rsid w:val="00D76DF5"/>
    <w:rsid w:val="00DC2CCF"/>
    <w:rsid w:val="00DC3AA6"/>
    <w:rsid w:val="00E15274"/>
    <w:rsid w:val="00E23A6F"/>
    <w:rsid w:val="00E47DB4"/>
    <w:rsid w:val="00EB7EB9"/>
    <w:rsid w:val="00EE344C"/>
    <w:rsid w:val="00F208FB"/>
    <w:rsid w:val="00F23F87"/>
    <w:rsid w:val="00F46924"/>
    <w:rsid w:val="00F47B7D"/>
    <w:rsid w:val="00F65C9B"/>
    <w:rsid w:val="00FE65AF"/>
    <w:rsid w:val="05B6E7C4"/>
    <w:rsid w:val="063F0F3A"/>
    <w:rsid w:val="073F523F"/>
    <w:rsid w:val="0A71308A"/>
    <w:rsid w:val="0ED0E7CF"/>
    <w:rsid w:val="0F313BC7"/>
    <w:rsid w:val="14770602"/>
    <w:rsid w:val="15B120AA"/>
    <w:rsid w:val="2186AAD4"/>
    <w:rsid w:val="24951752"/>
    <w:rsid w:val="25BE8E9B"/>
    <w:rsid w:val="2B0458D6"/>
    <w:rsid w:val="3B962404"/>
    <w:rsid w:val="3BF51736"/>
    <w:rsid w:val="4523DDED"/>
    <w:rsid w:val="453A43C3"/>
    <w:rsid w:val="4747D5C4"/>
    <w:rsid w:val="48E3A625"/>
    <w:rsid w:val="5901B775"/>
    <w:rsid w:val="5D4D0122"/>
    <w:rsid w:val="5E1BF461"/>
    <w:rsid w:val="652B84C4"/>
    <w:rsid w:val="7061B759"/>
    <w:rsid w:val="73894C34"/>
    <w:rsid w:val="74999B20"/>
    <w:rsid w:val="784394F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E517DC3"/>
  <w15:chartTrackingRefBased/>
  <w15:docId w15:val="{C9D785F9-863C-40F6-A7FA-20E1F392B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7DB4"/>
    <w:pPr>
      <w:ind w:left="720"/>
      <w:contextualSpacing/>
    </w:pPr>
  </w:style>
  <w:style w:type="paragraph" w:styleId="Header">
    <w:name w:val="header"/>
    <w:basedOn w:val="Normal"/>
    <w:link w:val="HeaderChar"/>
    <w:uiPriority w:val="99"/>
    <w:unhideWhenUsed/>
    <w:rsid w:val="00970A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0A21"/>
  </w:style>
  <w:style w:type="paragraph" w:styleId="Footer">
    <w:name w:val="footer"/>
    <w:basedOn w:val="Normal"/>
    <w:link w:val="FooterChar"/>
    <w:uiPriority w:val="99"/>
    <w:unhideWhenUsed/>
    <w:rsid w:val="00970A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0A21"/>
  </w:style>
  <w:style w:type="paragraph" w:styleId="BalloonText">
    <w:name w:val="Balloon Text"/>
    <w:basedOn w:val="Normal"/>
    <w:link w:val="BalloonTextChar"/>
    <w:uiPriority w:val="99"/>
    <w:semiHidden/>
    <w:unhideWhenUsed/>
    <w:rsid w:val="00506CFC"/>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506CFC"/>
    <w:rPr>
      <w:rFonts w:ascii="Tahoma" w:hAnsi="Tahoma" w:cs="Tahoma"/>
      <w:sz w:val="18"/>
      <w:szCs w:val="18"/>
    </w:rPr>
  </w:style>
  <w:style w:type="character" w:styleId="Hyperlink">
    <w:name w:val="Hyperlink"/>
    <w:basedOn w:val="DefaultParagraphFont"/>
    <w:uiPriority w:val="99"/>
    <w:unhideWhenUsed/>
    <w:rsid w:val="00001CA8"/>
    <w:rPr>
      <w:color w:val="0563C1" w:themeColor="hyperlink"/>
      <w:u w:val="single"/>
    </w:rPr>
  </w:style>
  <w:style w:type="character" w:customStyle="1" w:styleId="UnresolvedMention1">
    <w:name w:val="Unresolved Mention1"/>
    <w:basedOn w:val="DefaultParagraphFont"/>
    <w:uiPriority w:val="99"/>
    <w:semiHidden/>
    <w:unhideWhenUsed/>
    <w:rsid w:val="00001CA8"/>
    <w:rPr>
      <w:color w:val="605E5C"/>
      <w:shd w:val="clear" w:color="auto" w:fill="E1DFDD"/>
    </w:rPr>
  </w:style>
  <w:style w:type="character" w:styleId="CommentReference">
    <w:name w:val="annotation reference"/>
    <w:basedOn w:val="DefaultParagraphFont"/>
    <w:uiPriority w:val="99"/>
    <w:semiHidden/>
    <w:unhideWhenUsed/>
    <w:rsid w:val="00EE344C"/>
    <w:rPr>
      <w:sz w:val="16"/>
      <w:szCs w:val="16"/>
    </w:rPr>
  </w:style>
  <w:style w:type="paragraph" w:styleId="CommentText">
    <w:name w:val="annotation text"/>
    <w:basedOn w:val="Normal"/>
    <w:link w:val="CommentTextChar"/>
    <w:uiPriority w:val="99"/>
    <w:semiHidden/>
    <w:unhideWhenUsed/>
    <w:rsid w:val="00EE344C"/>
    <w:pPr>
      <w:spacing w:line="240" w:lineRule="auto"/>
    </w:pPr>
    <w:rPr>
      <w:sz w:val="20"/>
      <w:szCs w:val="20"/>
    </w:rPr>
  </w:style>
  <w:style w:type="character" w:customStyle="1" w:styleId="CommentTextChar">
    <w:name w:val="Comment Text Char"/>
    <w:basedOn w:val="DefaultParagraphFont"/>
    <w:link w:val="CommentText"/>
    <w:uiPriority w:val="99"/>
    <w:semiHidden/>
    <w:rsid w:val="00EE344C"/>
    <w:rPr>
      <w:sz w:val="20"/>
      <w:szCs w:val="20"/>
    </w:rPr>
  </w:style>
  <w:style w:type="paragraph" w:styleId="CommentSubject">
    <w:name w:val="annotation subject"/>
    <w:basedOn w:val="CommentText"/>
    <w:next w:val="CommentText"/>
    <w:link w:val="CommentSubjectChar"/>
    <w:uiPriority w:val="99"/>
    <w:semiHidden/>
    <w:unhideWhenUsed/>
    <w:rsid w:val="00EE344C"/>
    <w:rPr>
      <w:b/>
      <w:bCs/>
    </w:rPr>
  </w:style>
  <w:style w:type="character" w:customStyle="1" w:styleId="CommentSubjectChar">
    <w:name w:val="Comment Subject Char"/>
    <w:basedOn w:val="CommentTextChar"/>
    <w:link w:val="CommentSubject"/>
    <w:uiPriority w:val="99"/>
    <w:semiHidden/>
    <w:rsid w:val="00EE344C"/>
    <w:rPr>
      <w:b/>
      <w:bCs/>
      <w:sz w:val="20"/>
      <w:szCs w:val="20"/>
    </w:rPr>
  </w:style>
  <w:style w:type="paragraph" w:styleId="Revision">
    <w:name w:val="Revision"/>
    <w:hidden/>
    <w:uiPriority w:val="99"/>
    <w:semiHidden/>
    <w:rsid w:val="003B43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cao.int/Security/Security-Culture/Pages/default.asp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Tahoma" panose="020F0302020204030204"/>
        <a:ea typeface="Tahoma"/>
        <a:cs typeface="Tahoma"/>
        <a:font script="Jpan" typeface="Tahoma"/>
        <a:font script="Hang" typeface="Tahoma"/>
        <a:font script="Hans" typeface="Tahoma"/>
        <a:font script="Hant" typeface="Tahoma"/>
        <a:font script="Arab" typeface="Tahoma"/>
        <a:font script="Hebr" typeface="Tahoma"/>
        <a:font script="Thai" typeface="Tahoma"/>
        <a:font script="Ethi" typeface="Tahoma"/>
        <a:font script="Beng" typeface="Tahoma"/>
        <a:font script="Gujr" typeface="Tahoma"/>
        <a:font script="Khmr" typeface="Tahoma"/>
        <a:font script="Knda" typeface="Tahoma"/>
        <a:font script="Guru" typeface="Tahoma"/>
        <a:font script="Cans" typeface="Tahoma"/>
        <a:font script="Cher" typeface="Tahoma"/>
        <a:font script="Yiii" typeface="Tahoma"/>
        <a:font script="Tibt" typeface="Tahoma"/>
        <a:font script="Thaa" typeface="Tahoma"/>
        <a:font script="Deva" typeface="Tahoma"/>
        <a:font script="Telu" typeface="Tahoma"/>
        <a:font script="Taml" typeface="Tahoma"/>
        <a:font script="Syrc" typeface="Tahoma"/>
        <a:font script="Orya" typeface="Tahoma"/>
        <a:font script="Mlym" typeface="Tahoma"/>
        <a:font script="Laoo" typeface="Tahoma"/>
        <a:font script="Sinh" typeface="Tahoma"/>
        <a:font script="Mong" typeface="Tahoma"/>
        <a:font script="Viet" typeface="Tahoma"/>
        <a:font script="Uigh" typeface="Tahoma"/>
        <a:font script="Geor" typeface="Tahoma"/>
      </a:majorFont>
      <a:minorFont>
        <a:latin typeface="Tahoma" panose="020F0502020204030204"/>
        <a:ea typeface="Tahoma"/>
        <a:cs typeface="Tahoma"/>
        <a:font script="Jpan" typeface="Tahoma"/>
        <a:font script="Hang" typeface="Tahoma"/>
        <a:font script="Hans" typeface="Tahoma"/>
        <a:font script="Hant" typeface="Tahoma"/>
        <a:font script="Arab" typeface="Tahoma"/>
        <a:font script="Hebr" typeface="Tahoma"/>
        <a:font script="Thai" typeface="Tahoma"/>
        <a:font script="Ethi" typeface="Tahoma"/>
        <a:font script="Beng" typeface="Tahoma"/>
        <a:font script="Gujr" typeface="Tahoma"/>
        <a:font script="Khmr" typeface="Tahoma"/>
        <a:font script="Knda" typeface="Tahoma"/>
        <a:font script="Guru" typeface="Tahoma"/>
        <a:font script="Cans" typeface="Tahoma"/>
        <a:font script="Cher" typeface="Tahoma"/>
        <a:font script="Yiii" typeface="Tahoma"/>
        <a:font script="Tibt" typeface="Tahoma"/>
        <a:font script="Thaa" typeface="Tahoma"/>
        <a:font script="Deva" typeface="Tahoma"/>
        <a:font script="Telu" typeface="Tahoma"/>
        <a:font script="Taml" typeface="Tahoma"/>
        <a:font script="Syrc" typeface="Tahoma"/>
        <a:font script="Orya" typeface="Tahoma"/>
        <a:font script="Mlym" typeface="Tahoma"/>
        <a:font script="Laoo" typeface="Tahoma"/>
        <a:font script="Sinh" typeface="Tahoma"/>
        <a:font script="Mong" typeface="Tahoma"/>
        <a:font script="Viet" typeface="Tahoma"/>
        <a:font script="Uigh" typeface="Tahoma"/>
        <a:font script="Geor" typeface="Taho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A7B7ADBBFB0B04282EDB3ABF99724D9" ma:contentTypeVersion="1" ma:contentTypeDescription="Create a new document." ma:contentTypeScope="" ma:versionID="797a4d017c1a568c9dc01fd3ece081ad">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E78108-1BB7-4BE3-A4DB-F68176AE28C4}">
  <ds:schemaRefs>
    <ds:schemaRef ds:uri="http://schemas.microsoft.com/office/2006/metadata/properties"/>
    <ds:schemaRef ds:uri="http://schemas.microsoft.com/office/infopath/2007/PartnerControls"/>
    <ds:schemaRef ds:uri="c0418d7b-fec6-423f-a3ca-1c375e10962b"/>
  </ds:schemaRefs>
</ds:datastoreItem>
</file>

<file path=customXml/itemProps2.xml><?xml version="1.0" encoding="utf-8"?>
<ds:datastoreItem xmlns:ds="http://schemas.openxmlformats.org/officeDocument/2006/customXml" ds:itemID="{D9A5800B-6A0A-4567-955C-C67DCE1858A3}">
  <ds:schemaRefs>
    <ds:schemaRef ds:uri="http://schemas.openxmlformats.org/officeDocument/2006/bibliography"/>
  </ds:schemaRefs>
</ds:datastoreItem>
</file>

<file path=customXml/itemProps3.xml><?xml version="1.0" encoding="utf-8"?>
<ds:datastoreItem xmlns:ds="http://schemas.openxmlformats.org/officeDocument/2006/customXml" ds:itemID="{B4E37459-BD34-4043-899B-65476D31CC78}"/>
</file>

<file path=customXml/itemProps4.xml><?xml version="1.0" encoding="utf-8"?>
<ds:datastoreItem xmlns:ds="http://schemas.openxmlformats.org/officeDocument/2006/customXml" ds:itemID="{E9CF47C7-F301-4970-B36A-5A66A51B7CDA}"/>
</file>

<file path=docProps/app.xml><?xml version="1.0" encoding="utf-8"?>
<Properties xmlns="http://schemas.openxmlformats.org/officeDocument/2006/extended-properties" xmlns:vt="http://schemas.openxmlformats.org/officeDocument/2006/docPropsVTypes">
  <Template>Normal</Template>
  <TotalTime>2</TotalTime>
  <Pages>1</Pages>
  <Words>238</Words>
  <Characters>1361</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SCC</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Smith</dc:creator>
  <cp:keywords/>
  <dc:description/>
  <cp:lastModifiedBy>Stuart Coates</cp:lastModifiedBy>
  <cp:revision>2</cp:revision>
  <dcterms:created xsi:type="dcterms:W3CDTF">2022-12-16T12:05:00Z</dcterms:created>
  <dcterms:modified xsi:type="dcterms:W3CDTF">2022-12-16T12:05:00Z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196a3aa-34a9-4b82-9eed-745e5fc3f53e_Enabled">
    <vt:lpwstr>true</vt:lpwstr>
  </property>
  <property fmtid="{D5CDD505-2E9C-101B-9397-08002B2CF9AE}" pid="3" name="MSIP_Label_3196a3aa-34a9-4b82-9eed-745e5fc3f53e_SetDate">
    <vt:lpwstr>2022-04-13T06:52:12Z</vt:lpwstr>
  </property>
  <property fmtid="{D5CDD505-2E9C-101B-9397-08002B2CF9AE}" pid="4" name="MSIP_Label_3196a3aa-34a9-4b82-9eed-745e5fc3f53e_Method">
    <vt:lpwstr>Standard</vt:lpwstr>
  </property>
  <property fmtid="{D5CDD505-2E9C-101B-9397-08002B2CF9AE}" pid="5" name="MSIP_Label_3196a3aa-34a9-4b82-9eed-745e5fc3f53e_Name">
    <vt:lpwstr>3196a3aa-34a9-4b82-9eed-745e5fc3f53e</vt:lpwstr>
  </property>
  <property fmtid="{D5CDD505-2E9C-101B-9397-08002B2CF9AE}" pid="6" name="MSIP_Label_3196a3aa-34a9-4b82-9eed-745e5fc3f53e_SiteId">
    <vt:lpwstr>c4edd5ba-10c3-4fe3-946a-7c9c446ab8c8</vt:lpwstr>
  </property>
  <property fmtid="{D5CDD505-2E9C-101B-9397-08002B2CF9AE}" pid="7" name="MSIP_Label_3196a3aa-34a9-4b82-9eed-745e5fc3f53e_ActionId">
    <vt:lpwstr>ce995d9d-6d00-4d5f-b747-9a66105b646c</vt:lpwstr>
  </property>
  <property fmtid="{D5CDD505-2E9C-101B-9397-08002B2CF9AE}" pid="8" name="MSIP_Label_3196a3aa-34a9-4b82-9eed-745e5fc3f53e_ContentBits">
    <vt:lpwstr>0</vt:lpwstr>
  </property>
  <property fmtid="{D5CDD505-2E9C-101B-9397-08002B2CF9AE}" pid="9" name="ContentTypeId">
    <vt:lpwstr>0x010100CA7B7ADBBFB0B04282EDB3ABF99724D9</vt:lpwstr>
  </property>
  <property fmtid="{D5CDD505-2E9C-101B-9397-08002B2CF9AE}" pid="10" name="CAACountryReq">
    <vt:lpwstr>271</vt:lpwstr>
  </property>
  <property fmtid="{D5CDD505-2E9C-101B-9397-08002B2CF9AE}" pid="11" name="CAACAAiAccount">
    <vt:lpwstr>270</vt:lpwstr>
  </property>
  <property fmtid="{D5CDD505-2E9C-101B-9397-08002B2CF9AE}" pid="12" name="CAAContentGroup">
    <vt:lpwstr/>
  </property>
  <property fmtid="{D5CDD505-2E9C-101B-9397-08002B2CF9AE}" pid="13" name="CAADepartments">
    <vt:lpwstr>2;#International Group|b724591f-554a-43d1-98f0-0acb2146aefd</vt:lpwstr>
  </property>
  <property fmtid="{D5CDD505-2E9C-101B-9397-08002B2CF9AE}" pid="14" name="CAABusinessFunctions">
    <vt:lpwstr>1;#Global Aviation Standards Improvement:International Strategy and Engagement|3f7d12aa-bf56-4a85-9277-b43574b9e734</vt:lpwstr>
  </property>
  <property fmtid="{D5CDD505-2E9C-101B-9397-08002B2CF9AE}" pid="15" name="_dlc_DocIdItemGuid">
    <vt:lpwstr>451139c4-4a56-4780-8a8f-f8397de16213</vt:lpwstr>
  </property>
  <property fmtid="{D5CDD505-2E9C-101B-9397-08002B2CF9AE}" pid="16" name="Order">
    <vt:r8>19400</vt:r8>
  </property>
  <property fmtid="{D5CDD505-2E9C-101B-9397-08002B2CF9AE}" pid="17" name="hafea2b6b68b4767a59120f76c904514">
    <vt:lpwstr>Canada|fde7ed27-c402-4877-82d0-75ef9fb0a8cd</vt:lpwstr>
  </property>
  <property fmtid="{D5CDD505-2E9C-101B-9397-08002B2CF9AE}" pid="18" name="xd_Signature">
    <vt:bool>false</vt:bool>
  </property>
  <property fmtid="{D5CDD505-2E9C-101B-9397-08002B2CF9AE}" pid="19" name="CAACAAiProjectID">
    <vt:lpwstr>IS2589</vt:lpwstr>
  </property>
  <property fmtid="{D5CDD505-2E9C-101B-9397-08002B2CF9AE}" pid="20" name="xd_ProgID">
    <vt:lpwstr/>
  </property>
  <property fmtid="{D5CDD505-2E9C-101B-9397-08002B2CF9AE}" pid="21" name="_dlc_DocId">
    <vt:lpwstr>SP736XM7THZU-90500141-396</vt:lpwstr>
  </property>
  <property fmtid="{D5CDD505-2E9C-101B-9397-08002B2CF9AE}" pid="22" name="jd542838c2044b67933de2aa177c5249">
    <vt:lpwstr>ICAO - Headquarters|9a9d2580-9ce1-4231-93e4-17dbc136400a</vt:lpwstr>
  </property>
  <property fmtid="{D5CDD505-2E9C-101B-9397-08002B2CF9AE}" pid="23" name="CAACAAiProjectStatus">
    <vt:lpwstr>Execute and Control</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y fmtid="{D5CDD505-2E9C-101B-9397-08002B2CF9AE}" pid="28" name="_dlc_DocIdUrl">
    <vt:lpwstr>https://caa.sharepoint.com/sites/caai-accounts/icao---headquarters/_layouts/15/DocIdRedir.aspx?ID=SP736XM7THZU-90500141-396, SP736XM7THZU-90500141-396</vt:lpwstr>
  </property>
  <property fmtid="{D5CDD505-2E9C-101B-9397-08002B2CF9AE}" pid="29" name="md537954de5d4799b31f8b38caab65fb0">
    <vt:lpwstr>Global Aviation Standards Improvement:International Strategy and Engagement|3f7d12aa-bf56-4a85-9277-b43574b9e734</vt:lpwstr>
  </property>
  <property fmtid="{D5CDD505-2E9C-101B-9397-08002B2CF9AE}" pid="30" name="obd7f88e7c304967bb7efaedae455aad0">
    <vt:lpwstr/>
  </property>
  <property fmtid="{D5CDD505-2E9C-101B-9397-08002B2CF9AE}" pid="31" name="c0579850fabd4de2a8282f228563db320">
    <vt:lpwstr>International Group|b724591f-554a-43d1-98f0-0acb2146aefd</vt:lpwstr>
  </property>
  <property fmtid="{D5CDD505-2E9C-101B-9397-08002B2CF9AE}" pid="32" name="_SourceUrl">
    <vt:lpwstr/>
  </property>
  <property fmtid="{D5CDD505-2E9C-101B-9397-08002B2CF9AE}" pid="33" name="_SharedFileIndex">
    <vt:lpwstr/>
  </property>
</Properties>
</file>