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64" w:rsidRPr="00F9499C" w:rsidRDefault="00C64D64" w:rsidP="00C64D64">
      <w:pPr>
        <w:pStyle w:val="Chapter"/>
      </w:pPr>
    </w:p>
    <w:p w:rsidR="00C64D64" w:rsidRDefault="00C64D64" w:rsidP="00C64D64">
      <w:pPr>
        <w:pStyle w:val="Chapter"/>
      </w:pPr>
      <w:r>
        <w:t xml:space="preserve">SAMPLE </w:t>
      </w:r>
      <w:r w:rsidRPr="00F9499C">
        <w:t>STATE ENFORCEMENT POLICY</w:t>
      </w:r>
    </w:p>
    <w:p w:rsidR="0005512D" w:rsidRPr="0048774D" w:rsidRDefault="0005512D" w:rsidP="0005512D">
      <w:pPr>
        <w:pStyle w:val="Chapter"/>
        <w:rPr>
          <w:b w:val="0"/>
          <w:bCs/>
          <w:sz w:val="18"/>
          <w:szCs w:val="16"/>
        </w:rPr>
      </w:pPr>
      <w:r w:rsidRPr="0048774D">
        <w:rPr>
          <w:b w:val="0"/>
          <w:bCs/>
          <w:sz w:val="18"/>
          <w:szCs w:val="16"/>
        </w:rPr>
        <w:t>Ref:  ICAO Safety Management Implementation Website (October 2017)</w:t>
      </w:r>
    </w:p>
    <w:p w:rsidR="00D55076" w:rsidRPr="00F9499C" w:rsidRDefault="00D55076" w:rsidP="00C64D64">
      <w:pPr>
        <w:pStyle w:val="Chapter"/>
      </w:pPr>
    </w:p>
    <w:p w:rsidR="00C64D64" w:rsidRPr="00F9499C" w:rsidRDefault="00C64D64" w:rsidP="00C64D64">
      <w:bookmarkStart w:id="0" w:name="_Guidance_on_State"/>
      <w:bookmarkEnd w:id="0"/>
    </w:p>
    <w:p w:rsidR="00C64D64" w:rsidRPr="00F9499C" w:rsidRDefault="00C64D64" w:rsidP="00C64D64"/>
    <w:p w:rsidR="00C64D64" w:rsidRPr="00F9499C" w:rsidRDefault="00C64D64" w:rsidP="00C64D64">
      <w:bookmarkStart w:id="1" w:name="_GoBack"/>
      <w:bookmarkEnd w:id="1"/>
    </w:p>
    <w:p w:rsidR="00C64D64" w:rsidRPr="00F9499C" w:rsidRDefault="00C64D64" w:rsidP="00C64D64">
      <w:pPr>
        <w:rPr>
          <w:b/>
          <w:bCs/>
        </w:rPr>
      </w:pPr>
      <w:r w:rsidRPr="00F9499C">
        <w:t>This enforcement policy is promulgated under the statutory authority in [State’s applicable civil aviation regulation(s), air navigation order(s) or regulatory standard(s)].</w:t>
      </w:r>
    </w:p>
    <w:p w:rsidR="00C64D64" w:rsidRPr="00F9499C" w:rsidRDefault="00C64D64" w:rsidP="00C64D64"/>
    <w:p w:rsidR="00C64D64" w:rsidRPr="00F9499C" w:rsidRDefault="00C64D64" w:rsidP="00C64D64"/>
    <w:p w:rsidR="00C64D64" w:rsidRPr="00F9499C" w:rsidRDefault="00C64D64" w:rsidP="00C64D64">
      <w:pPr>
        <w:spacing w:line="120" w:lineRule="exact"/>
      </w:pPr>
    </w:p>
    <w:p w:rsidR="00C64D64" w:rsidRPr="00F9499C" w:rsidRDefault="00C64D64" w:rsidP="00C64D64">
      <w:pPr>
        <w:pStyle w:val="BOLDCAPSCENTERED"/>
      </w:pPr>
      <w:bookmarkStart w:id="2" w:name="_Toc293652348"/>
      <w:r w:rsidRPr="00F9499C">
        <w:t>1.    Purpose</w:t>
      </w:r>
      <w:bookmarkEnd w:id="2"/>
    </w:p>
    <w:p w:rsidR="00C64D64" w:rsidRPr="00F9499C" w:rsidRDefault="00C64D64" w:rsidP="00C64D64"/>
    <w:p w:rsidR="00C64D64" w:rsidRPr="00F9499C" w:rsidRDefault="00C64D64" w:rsidP="00C64D64">
      <w:r w:rsidRPr="00F9499C">
        <w:t>1.1</w:t>
      </w:r>
      <w:r w:rsidRPr="00F9499C">
        <w:tab/>
        <w:t>The [State’s CAA] enforcement policy is aimed at promoting compliance with aviation safety regulations and requirements through enforcement functions in an equitable manner.</w:t>
      </w:r>
    </w:p>
    <w:p w:rsidR="00C64D64" w:rsidRPr="00F9499C" w:rsidRDefault="00C64D64" w:rsidP="00C64D64"/>
    <w:p w:rsidR="00C64D64" w:rsidRPr="00F9499C" w:rsidRDefault="00C64D64" w:rsidP="00C64D64">
      <w:r w:rsidRPr="00F9499C">
        <w:t>1.2</w:t>
      </w:r>
      <w:r w:rsidRPr="00F9499C">
        <w:tab/>
        <w:t>The implementation of safety management systems (SMS) requires the [State’s CAA] to have an equitable and discretionary enforcement approach in order to support the SSP-SMS framework.</w:t>
      </w:r>
    </w:p>
    <w:p w:rsidR="00C64D64" w:rsidRPr="00F9499C" w:rsidRDefault="00C64D64" w:rsidP="00C64D64"/>
    <w:p w:rsidR="00C64D64" w:rsidRPr="00F9499C" w:rsidRDefault="00C64D64" w:rsidP="00C64D64">
      <w:r w:rsidRPr="00F9499C">
        <w:t>1.3</w:t>
      </w:r>
      <w:r w:rsidRPr="00F9499C">
        <w:tab/>
      </w:r>
      <w:r>
        <w:t xml:space="preserve">The [State’s CAA] </w:t>
      </w:r>
      <w:r w:rsidRPr="00F9499C">
        <w:t xml:space="preserve">enforcement policies and procedures </w:t>
      </w:r>
      <w:r>
        <w:t>will</w:t>
      </w:r>
      <w:r w:rsidRPr="00F9499C">
        <w:t xml:space="preserve"> allow service providers to deal with, and resolve, certain events involving safety deviations, internally, within the context of the service provider’s SMS, and to the satisfaction of the authority. Intentional contraventions of the [State’s Civil Aviation Act] and the [State’s Civil Aviation Regulations] will be investigated and may be subject to conventional enforcement action where appropriate. There should be clear provisions in the enforcement framework for due consideration </w:t>
      </w:r>
      <w:r>
        <w:t>in order to distinguish be</w:t>
      </w:r>
      <w:r w:rsidRPr="00F9499C">
        <w:t xml:space="preserve">tween premeditated violations </w:t>
      </w:r>
      <w:r>
        <w:t>and</w:t>
      </w:r>
      <w:r w:rsidRPr="00F9499C">
        <w:t xml:space="preserve"> unintentional errors or deviations.</w:t>
      </w:r>
    </w:p>
    <w:p w:rsidR="00C64D64" w:rsidRPr="00F9499C" w:rsidRDefault="00C64D64" w:rsidP="00C64D64"/>
    <w:p w:rsidR="00C64D64" w:rsidRPr="00F9499C" w:rsidRDefault="00C64D64" w:rsidP="00C64D64">
      <w:r w:rsidRPr="00F9499C">
        <w:t>1.4</w:t>
      </w:r>
      <w:r w:rsidRPr="00F9499C">
        <w:tab/>
        <w:t xml:space="preserve">The enforcement policy statement and associated enforcement procedures apply to service providers operating in accordance with ICAO Annex 1 — </w:t>
      </w:r>
      <w:r w:rsidRPr="00F9499C">
        <w:rPr>
          <w:i/>
          <w:iCs/>
        </w:rPr>
        <w:t>Personnel Licensing;</w:t>
      </w:r>
      <w:r w:rsidRPr="00F9499C">
        <w:t xml:space="preserve"> Annex 6 — </w:t>
      </w:r>
      <w:r w:rsidRPr="00F9499C">
        <w:rPr>
          <w:i/>
          <w:iCs/>
        </w:rPr>
        <w:t>Operation of Aircraft</w:t>
      </w:r>
      <w:r w:rsidRPr="00F9499C">
        <w:t xml:space="preserve">, Part I — </w:t>
      </w:r>
      <w:r w:rsidRPr="00F9499C">
        <w:rPr>
          <w:i/>
          <w:iCs/>
        </w:rPr>
        <w:t>International Commercial Air Transport</w:t>
      </w:r>
      <w:r w:rsidRPr="00F9499C">
        <w:t xml:space="preserve"> </w:t>
      </w:r>
      <w:r w:rsidRPr="00F9499C">
        <w:rPr>
          <w:i/>
          <w:iCs/>
        </w:rPr>
        <w:t>— Aeroplanes</w:t>
      </w:r>
      <w:r w:rsidRPr="00F9499C">
        <w:t xml:space="preserve">, and Part III — </w:t>
      </w:r>
      <w:r w:rsidRPr="00F9499C">
        <w:rPr>
          <w:i/>
          <w:iCs/>
        </w:rPr>
        <w:t>International Operations — Helicopters;</w:t>
      </w:r>
      <w:r w:rsidRPr="00F9499C">
        <w:t xml:space="preserve"> Annex 8 — </w:t>
      </w:r>
      <w:r w:rsidRPr="00F9499C">
        <w:rPr>
          <w:i/>
          <w:iCs/>
        </w:rPr>
        <w:t>Airworthiness of Aircraft;</w:t>
      </w:r>
      <w:r w:rsidRPr="00F9499C">
        <w:t xml:space="preserve"> Annex 11 —</w:t>
      </w:r>
      <w:r w:rsidRPr="00F9499C">
        <w:rPr>
          <w:i/>
          <w:iCs/>
        </w:rPr>
        <w:t xml:space="preserve"> Air Traffic Services;</w:t>
      </w:r>
      <w:r w:rsidRPr="00F9499C">
        <w:t xml:space="preserve"> and Annex 14 — </w:t>
      </w:r>
      <w:r w:rsidRPr="00F9499C">
        <w:rPr>
          <w:i/>
          <w:iCs/>
        </w:rPr>
        <w:t>Aerodromes</w:t>
      </w:r>
      <w:r w:rsidRPr="00F9499C">
        <w:t xml:space="preserve">, Volume I — </w:t>
      </w:r>
      <w:r w:rsidRPr="00F9499C">
        <w:rPr>
          <w:i/>
          <w:iCs/>
        </w:rPr>
        <w:t>Aerodrome Design and Operations</w:t>
      </w:r>
      <w:r w:rsidRPr="00F9499C">
        <w:t>.</w:t>
      </w:r>
    </w:p>
    <w:p w:rsidR="00C64D64" w:rsidRPr="00F9499C" w:rsidRDefault="00C64D64" w:rsidP="00C64D64"/>
    <w:p w:rsidR="00C64D64" w:rsidRPr="00F9499C" w:rsidRDefault="00C64D64" w:rsidP="00C64D64"/>
    <w:p w:rsidR="00C64D64" w:rsidRPr="00F9499C" w:rsidRDefault="00C64D64" w:rsidP="00C64D64">
      <w:pPr>
        <w:spacing w:line="120" w:lineRule="exact"/>
      </w:pPr>
    </w:p>
    <w:p w:rsidR="00C64D64" w:rsidRPr="00F9499C" w:rsidRDefault="00C64D64" w:rsidP="00C64D64">
      <w:pPr>
        <w:pStyle w:val="BOLDCAPSCENTERED"/>
      </w:pPr>
      <w:bookmarkStart w:id="3" w:name="_Toc293652349"/>
      <w:r w:rsidRPr="00F9499C">
        <w:t>2.    Policy</w:t>
      </w:r>
      <w:bookmarkEnd w:id="3"/>
    </w:p>
    <w:p w:rsidR="00C64D64" w:rsidRPr="00F9499C" w:rsidRDefault="00C64D64" w:rsidP="00C64D64"/>
    <w:p w:rsidR="00C64D64" w:rsidRPr="00F9499C" w:rsidRDefault="00C64D64" w:rsidP="00C64D64">
      <w:r w:rsidRPr="00F9499C">
        <w:t>2.1</w:t>
      </w:r>
      <w:r w:rsidRPr="00F9499C">
        <w:tab/>
        <w:t>[</w:t>
      </w:r>
      <w:r>
        <w:t>All applicable s</w:t>
      </w:r>
      <w:r w:rsidRPr="00F9499C">
        <w:t>ervice provider</w:t>
      </w:r>
      <w:r>
        <w:t>s</w:t>
      </w:r>
      <w:r w:rsidRPr="00F9499C">
        <w:t>] will establish, maintain and adhere to an SMS that is commensurate with the size, nature and complexity of the operations authorized to be conducted under its approval/certificate.</w:t>
      </w:r>
    </w:p>
    <w:p w:rsidR="00C64D64" w:rsidRPr="00F9499C" w:rsidRDefault="00C64D64" w:rsidP="00C64D64"/>
    <w:p w:rsidR="00C64D64" w:rsidRPr="00F9499C" w:rsidRDefault="00C64D64" w:rsidP="00C64D64">
      <w:r w:rsidRPr="00F9499C">
        <w:t>2.2</w:t>
      </w:r>
      <w:r w:rsidRPr="00F9499C">
        <w:tab/>
        <w:t>To maintain this enforcement policy that supports the implementation of SMS, [State’s CAA] inspectors will maintain an open communication channel with service providers.</w:t>
      </w:r>
    </w:p>
    <w:p w:rsidR="00C64D64" w:rsidRPr="00F9499C" w:rsidRDefault="00C64D64" w:rsidP="00C64D64"/>
    <w:p w:rsidR="00C64D64" w:rsidRPr="00F9499C" w:rsidRDefault="00C64D64" w:rsidP="00C64D64">
      <w:r w:rsidRPr="00F9499C">
        <w:t>2.3</w:t>
      </w:r>
      <w:r w:rsidRPr="00F9499C">
        <w:tab/>
        <w:t>No information derived from safety data collection and processing systems (established under a</w:t>
      </w:r>
      <w:r>
        <w:t>n</w:t>
      </w:r>
      <w:r w:rsidRPr="00F9499C">
        <w:t xml:space="preserve"> SMS) relating to reports classified as confidential, voluntary or equivalent category shall be used as the basis for enforcement action.</w:t>
      </w:r>
    </w:p>
    <w:p w:rsidR="00C64D64" w:rsidRPr="00F9499C" w:rsidRDefault="00C64D64" w:rsidP="00C64D64"/>
    <w:p w:rsidR="00C64D64" w:rsidRPr="00F9499C" w:rsidRDefault="00C64D64" w:rsidP="00C64D64">
      <w:r w:rsidRPr="00F9499C">
        <w:t>2.4</w:t>
      </w:r>
      <w:r w:rsidRPr="00F9499C">
        <w:tab/>
        <w:t xml:space="preserve">When a service provider operating under an SMS unintentionally contravenes [Civil Aviation Act or Civil Aviation </w:t>
      </w:r>
      <w:r>
        <w:t>R</w:t>
      </w:r>
      <w:r w:rsidRPr="00F9499C">
        <w:t>egulations], specific review procedures will be used. These procedures will allow the [State’s CAA] inspector responsible for the oversight of the service provider the opportunity to engage in dialogue with the SMS</w:t>
      </w:r>
      <w:r>
        <w:t>-</w:t>
      </w:r>
      <w:r w:rsidRPr="00F9499C">
        <w:t xml:space="preserve">approved organization. The objective of this dialogue is to agree on proposed corrective measures and an action plan that adequately addresses the deficiencies that led to the contravention and to afford the service provider a reasonable time to implement them. This approach aims to nurture and sustain effective safety reporting, whereby </w:t>
      </w:r>
      <w:r w:rsidRPr="00F9499C">
        <w:lastRenderedPageBreak/>
        <w:t>service providers’ employees can report safety deficiencies and hazards without fear of punitive action. A service provider can therefore, without apportioning blame and without fear of enforcement action, analyse the event and the organizational or individual factors that may have led to it, in order to incorporate remedial measures that will best help prevent recurrence.</w:t>
      </w:r>
    </w:p>
    <w:p w:rsidR="00C64D64" w:rsidRPr="00F9499C" w:rsidRDefault="00C64D64" w:rsidP="00C64D64"/>
    <w:p w:rsidR="00C64D64" w:rsidRPr="00F9499C" w:rsidRDefault="00C64D64" w:rsidP="00C64D64">
      <w:r w:rsidRPr="00F9499C">
        <w:t>2.5</w:t>
      </w:r>
      <w:r w:rsidRPr="00F9499C">
        <w:tab/>
        <w:t>[State’s CAA], through the inspector responsible for the oversight of the service provider, will evaluate the corrective measures proposed by the service provider and/or the systems currently in place to address the event underlying the contravention. If the corrective measures proposed (including any appropriate internal disciplinary actions) are considered satisfactory and likely to prevent recurrence and foster future compliance, the review of the violation should then be concluded with no further punitive enforcement action by the regulator.</w:t>
      </w:r>
      <w:r>
        <w:t xml:space="preserve"> </w:t>
      </w:r>
      <w:r w:rsidRPr="00F9499C">
        <w:t>In cases where either the corrective measures or the systems in place are considered inappropriate, [State’s CAA] will continue to interact with the service provider to find a satisfactory resolution that would prevent enforcement action. However, in cases where the service provider refuses to address the event and provide effective corrective measures, [State’s CAA] will consider taking enforcement action or other administrative action deemed appropriate.</w:t>
      </w:r>
    </w:p>
    <w:p w:rsidR="00C64D64" w:rsidRPr="00F9499C" w:rsidRDefault="00C64D64" w:rsidP="00C64D64"/>
    <w:p w:rsidR="00C64D64" w:rsidRPr="00F9499C" w:rsidRDefault="00C64D64" w:rsidP="00C64D64">
      <w:r w:rsidRPr="00F9499C">
        <w:t>2.6</w:t>
      </w:r>
      <w:r w:rsidRPr="00F9499C">
        <w:tab/>
        <w:t>Breaches of aviation regulations may occur for many different reasons, from a genuine misunderstanding of the regulations, to disregard for aviation safety. [State’s CAA] has a range of enforcement procedures in order to effectively address safety obligations under the [applicable State Act] in light of different circumstances. These procedures may result in a variety of actions such as:</w:t>
      </w:r>
    </w:p>
    <w:p w:rsidR="00C64D64" w:rsidRPr="00F9499C" w:rsidRDefault="00C64D64" w:rsidP="00C64D64"/>
    <w:p w:rsidR="00C64D64" w:rsidRPr="00F9499C" w:rsidRDefault="00C64D64" w:rsidP="00C64D64">
      <w:pPr>
        <w:pStyle w:val="Indent-a"/>
      </w:pPr>
      <w:r w:rsidRPr="00F9499C">
        <w:tab/>
        <w:t>a)</w:t>
      </w:r>
      <w:r w:rsidRPr="00F9499C">
        <w:tab/>
        <w:t>counselling;</w:t>
      </w:r>
    </w:p>
    <w:p w:rsidR="00C64D64" w:rsidRPr="00F9499C" w:rsidRDefault="00C64D64" w:rsidP="00C64D64">
      <w:pPr>
        <w:pStyle w:val="Indent-a"/>
      </w:pPr>
    </w:p>
    <w:p w:rsidR="00C64D64" w:rsidRPr="00F9499C" w:rsidRDefault="00C64D64" w:rsidP="00C64D64">
      <w:pPr>
        <w:pStyle w:val="Indent-a"/>
      </w:pPr>
      <w:r w:rsidRPr="00F9499C">
        <w:tab/>
        <w:t>b)</w:t>
      </w:r>
      <w:r w:rsidRPr="00F9499C">
        <w:tab/>
        <w:t>remedial training; or</w:t>
      </w:r>
    </w:p>
    <w:p w:rsidR="00C64D64" w:rsidRPr="00F9499C" w:rsidRDefault="00C64D64" w:rsidP="00C64D64">
      <w:pPr>
        <w:pStyle w:val="Indent-a"/>
      </w:pPr>
    </w:p>
    <w:p w:rsidR="00C64D64" w:rsidRPr="00F9499C" w:rsidRDefault="00C64D64" w:rsidP="00C64D64">
      <w:pPr>
        <w:pStyle w:val="Indent-a"/>
      </w:pPr>
      <w:r w:rsidRPr="00F9499C">
        <w:tab/>
        <w:t>c)</w:t>
      </w:r>
      <w:r w:rsidRPr="00F9499C">
        <w:tab/>
        <w:t xml:space="preserve">variation, suspension </w:t>
      </w:r>
      <w:r>
        <w:t>or</w:t>
      </w:r>
      <w:r w:rsidRPr="00F9499C">
        <w:t xml:space="preserve"> cancellation of authorizations.</w:t>
      </w:r>
    </w:p>
    <w:p w:rsidR="00C64D64" w:rsidRPr="00F9499C" w:rsidRDefault="00C64D64" w:rsidP="00C64D64"/>
    <w:p w:rsidR="00C64D64" w:rsidRPr="00F9499C" w:rsidRDefault="00C64D64" w:rsidP="00C64D64">
      <w:r w:rsidRPr="00F9499C">
        <w:t>2.7</w:t>
      </w:r>
      <w:r w:rsidRPr="00F9499C">
        <w:tab/>
        <w:t>Enforcement decisions must not be influenced by:</w:t>
      </w:r>
    </w:p>
    <w:p w:rsidR="00C64D64" w:rsidRPr="00F9499C" w:rsidRDefault="00C64D64" w:rsidP="00C64D64"/>
    <w:p w:rsidR="00C64D64" w:rsidRPr="00F9499C" w:rsidRDefault="00C64D64" w:rsidP="00C64D64">
      <w:pPr>
        <w:pStyle w:val="Indent-a"/>
      </w:pPr>
      <w:r w:rsidRPr="00F9499C">
        <w:tab/>
        <w:t>a)</w:t>
      </w:r>
      <w:r w:rsidRPr="00F9499C">
        <w:tab/>
        <w:t xml:space="preserve">personal conflict; </w:t>
      </w:r>
    </w:p>
    <w:p w:rsidR="00C64D64" w:rsidRPr="00F9499C" w:rsidRDefault="00C64D64" w:rsidP="00C64D64">
      <w:pPr>
        <w:pStyle w:val="Indent-a"/>
      </w:pPr>
    </w:p>
    <w:p w:rsidR="00C64D64" w:rsidRPr="00F9499C" w:rsidRDefault="00C64D64" w:rsidP="00C64D64">
      <w:pPr>
        <w:pStyle w:val="Indent-a"/>
      </w:pPr>
      <w:r w:rsidRPr="00F9499C">
        <w:tab/>
        <w:t>b)</w:t>
      </w:r>
      <w:r w:rsidRPr="00F9499C">
        <w:tab/>
        <w:t>personal gain</w:t>
      </w:r>
      <w:r>
        <w:t>;</w:t>
      </w:r>
    </w:p>
    <w:p w:rsidR="00C64D64" w:rsidRPr="00F9499C" w:rsidRDefault="00C64D64" w:rsidP="00C64D64">
      <w:pPr>
        <w:pStyle w:val="Indent-a"/>
      </w:pPr>
    </w:p>
    <w:p w:rsidR="00C64D64" w:rsidRPr="00F9499C" w:rsidRDefault="00C64D64" w:rsidP="00C64D64">
      <w:pPr>
        <w:pStyle w:val="Indent-a"/>
      </w:pPr>
      <w:r w:rsidRPr="00F9499C">
        <w:tab/>
        <w:t>c)</w:t>
      </w:r>
      <w:r w:rsidRPr="00F9499C">
        <w:tab/>
        <w:t>considerations such as gender, race, religion, political views or affiliation; or</w:t>
      </w:r>
    </w:p>
    <w:p w:rsidR="00C64D64" w:rsidRPr="00F9499C" w:rsidRDefault="00C64D64" w:rsidP="00C64D64">
      <w:pPr>
        <w:pStyle w:val="Indent-a"/>
      </w:pPr>
    </w:p>
    <w:p w:rsidR="00C64D64" w:rsidRPr="00F9499C" w:rsidRDefault="00C64D64" w:rsidP="00C64D64">
      <w:pPr>
        <w:pStyle w:val="Indent-a"/>
      </w:pPr>
      <w:r w:rsidRPr="00F9499C">
        <w:tab/>
        <w:t>d)</w:t>
      </w:r>
      <w:r w:rsidRPr="00F9499C">
        <w:tab/>
        <w:t>personal, political or financial power of those involved.</w:t>
      </w:r>
    </w:p>
    <w:p w:rsidR="00C64D64" w:rsidRPr="00F9499C" w:rsidRDefault="00C64D64" w:rsidP="00C64D64"/>
    <w:p w:rsidR="00C64D64" w:rsidRPr="00F9499C" w:rsidRDefault="00C64D64" w:rsidP="00C64D64"/>
    <w:p w:rsidR="00C64D64" w:rsidRPr="00F9499C" w:rsidRDefault="00C64D64" w:rsidP="00C64D64"/>
    <w:p w:rsidR="00C64D64" w:rsidRPr="00F9499C" w:rsidRDefault="00C64D64" w:rsidP="00C64D64">
      <w:pPr>
        <w:pStyle w:val="BOLDCAPSCENTERED"/>
      </w:pPr>
      <w:bookmarkStart w:id="4" w:name="_Toc293652350"/>
      <w:bookmarkStart w:id="5" w:name="_Toc293660525"/>
      <w:bookmarkStart w:id="6" w:name="_Toc293662309"/>
      <w:r w:rsidRPr="00F9499C">
        <w:t>3.    Proportionality of responses</w:t>
      </w:r>
      <w:bookmarkEnd w:id="4"/>
      <w:bookmarkEnd w:id="5"/>
      <w:bookmarkEnd w:id="6"/>
    </w:p>
    <w:p w:rsidR="00C64D64" w:rsidRPr="00F9499C" w:rsidRDefault="00C64D64" w:rsidP="00C64D64"/>
    <w:p w:rsidR="00C64D64" w:rsidRPr="00F9499C" w:rsidRDefault="00C64D64" w:rsidP="00C64D64">
      <w:r w:rsidRPr="00F9499C">
        <w:t>Enforcement decisions must be proportional to the identified breaches and the safety risks they underlie, based on three principles:</w:t>
      </w:r>
    </w:p>
    <w:p w:rsidR="00C64D64" w:rsidRPr="00F9499C" w:rsidRDefault="00C64D64" w:rsidP="00C64D64"/>
    <w:p w:rsidR="00C64D64" w:rsidRPr="00F9499C" w:rsidRDefault="00C64D64" w:rsidP="00C64D64">
      <w:pPr>
        <w:pStyle w:val="Indent-a"/>
      </w:pPr>
      <w:r w:rsidRPr="00F9499C">
        <w:tab/>
        <w:t>a)</w:t>
      </w:r>
      <w:r w:rsidRPr="00F9499C">
        <w:tab/>
        <w:t xml:space="preserve">[State’s CAA] will take action against those who consistently and deliberately operate outside Civil Aviation Regulations; </w:t>
      </w:r>
    </w:p>
    <w:p w:rsidR="00C64D64" w:rsidRPr="00F9499C" w:rsidRDefault="00C64D64" w:rsidP="00C64D64">
      <w:pPr>
        <w:pStyle w:val="Indent-a"/>
      </w:pPr>
    </w:p>
    <w:p w:rsidR="00C64D64" w:rsidRPr="00F9499C" w:rsidRDefault="00C64D64" w:rsidP="00C64D64">
      <w:pPr>
        <w:pStyle w:val="Indent-a"/>
      </w:pPr>
      <w:r w:rsidRPr="00F9499C">
        <w:tab/>
        <w:t>b)</w:t>
      </w:r>
      <w:r w:rsidRPr="00F9499C">
        <w:tab/>
        <w:t>[State’s CAA] will seek to educate and promote training or supervision of those who show commitment to resolving safety deficiencies</w:t>
      </w:r>
      <w:r>
        <w:t>; and</w:t>
      </w:r>
    </w:p>
    <w:p w:rsidR="00C64D64" w:rsidRPr="00F9499C" w:rsidRDefault="00C64D64" w:rsidP="00C64D64">
      <w:pPr>
        <w:pStyle w:val="Indent-a"/>
      </w:pPr>
    </w:p>
    <w:p w:rsidR="00C64D64" w:rsidRDefault="00C64D64" w:rsidP="00C64D64">
      <w:pPr>
        <w:pStyle w:val="Indent-a"/>
      </w:pPr>
      <w:r w:rsidRPr="00F9499C">
        <w:tab/>
        <w:t>c)</w:t>
      </w:r>
      <w:r w:rsidRPr="00F9499C">
        <w:tab/>
        <w:t>[State’s CAA] will give due and equitable consideration to distinguish premeditated violations from unintentional errors or deviations.</w:t>
      </w:r>
    </w:p>
    <w:p w:rsidR="007A5F6F" w:rsidRDefault="007A5F6F" w:rsidP="00C64D64">
      <w:pPr>
        <w:pStyle w:val="Indent-a"/>
      </w:pPr>
    </w:p>
    <w:p w:rsidR="007A5F6F" w:rsidRDefault="007A5F6F" w:rsidP="00C64D64">
      <w:pPr>
        <w:pStyle w:val="Indent-a"/>
      </w:pPr>
    </w:p>
    <w:p w:rsidR="00D55076" w:rsidRPr="00F9499C" w:rsidRDefault="00D55076" w:rsidP="00C64D64">
      <w:pPr>
        <w:pStyle w:val="Indent-a"/>
      </w:pPr>
    </w:p>
    <w:p w:rsidR="00C64D64" w:rsidRPr="00F9499C" w:rsidRDefault="00C64D64" w:rsidP="00C64D64">
      <w:pPr>
        <w:pStyle w:val="BOLDCAPSCENTERED"/>
      </w:pPr>
      <w:bookmarkStart w:id="7" w:name="_Toc293652351"/>
      <w:bookmarkStart w:id="8" w:name="_Toc293660526"/>
      <w:bookmarkStart w:id="9" w:name="_Toc293662310"/>
      <w:r w:rsidRPr="00F9499C">
        <w:lastRenderedPageBreak/>
        <w:t>4.    Natural justice and accountability</w:t>
      </w:r>
      <w:bookmarkEnd w:id="7"/>
      <w:bookmarkEnd w:id="8"/>
      <w:bookmarkEnd w:id="9"/>
    </w:p>
    <w:p w:rsidR="00C64D64" w:rsidRPr="00F9499C" w:rsidRDefault="00C64D64" w:rsidP="00C64D64"/>
    <w:p w:rsidR="00C64D64" w:rsidRPr="00F9499C" w:rsidRDefault="00C64D64" w:rsidP="00C64D64">
      <w:r w:rsidRPr="00F9499C">
        <w:t>Enforcement decisions must:</w:t>
      </w:r>
    </w:p>
    <w:p w:rsidR="00C64D64" w:rsidRPr="00F9499C" w:rsidRDefault="00C64D64" w:rsidP="00C64D64"/>
    <w:p w:rsidR="00C64D64" w:rsidRPr="00F9499C" w:rsidRDefault="00C64D64" w:rsidP="00C64D64">
      <w:pPr>
        <w:pStyle w:val="Indent-a"/>
      </w:pPr>
      <w:r w:rsidRPr="00F9499C">
        <w:tab/>
        <w:t>a)</w:t>
      </w:r>
      <w:r w:rsidRPr="00F9499C">
        <w:tab/>
        <w:t>be fair and follow due process;</w:t>
      </w:r>
    </w:p>
    <w:p w:rsidR="00C64D64" w:rsidRPr="00F9499C" w:rsidRDefault="00C64D64" w:rsidP="00C64D64">
      <w:pPr>
        <w:pStyle w:val="Indent-a"/>
      </w:pPr>
    </w:p>
    <w:p w:rsidR="00C64D64" w:rsidRPr="00F9499C" w:rsidRDefault="00C64D64" w:rsidP="00C64D64">
      <w:pPr>
        <w:pStyle w:val="Indent-a"/>
      </w:pPr>
      <w:r w:rsidRPr="00F9499C">
        <w:tab/>
        <w:t>b)</w:t>
      </w:r>
      <w:r w:rsidRPr="00F9499C">
        <w:tab/>
        <w:t>be transparent to those involved;</w:t>
      </w:r>
    </w:p>
    <w:p w:rsidR="00C64D64" w:rsidRPr="00F9499C" w:rsidRDefault="00C64D64" w:rsidP="00C64D64">
      <w:pPr>
        <w:pStyle w:val="Indent-a"/>
      </w:pPr>
    </w:p>
    <w:p w:rsidR="00C64D64" w:rsidRPr="00F9499C" w:rsidRDefault="00C64D64" w:rsidP="00C64D64">
      <w:pPr>
        <w:pStyle w:val="Indent-a"/>
      </w:pPr>
      <w:r w:rsidRPr="00F9499C">
        <w:tab/>
        <w:t>c)</w:t>
      </w:r>
      <w:r w:rsidRPr="00F9499C">
        <w:tab/>
        <w:t>take into account the circumstances of the case and the attitude/actions of the service provider or individual when considering action;</w:t>
      </w:r>
    </w:p>
    <w:p w:rsidR="00C64D64" w:rsidRPr="00F9499C" w:rsidRDefault="00C64D64" w:rsidP="00C64D64">
      <w:pPr>
        <w:pStyle w:val="Indent-a"/>
      </w:pPr>
    </w:p>
    <w:p w:rsidR="00C64D64" w:rsidRPr="00F9499C" w:rsidRDefault="00C64D64" w:rsidP="00C64D64">
      <w:pPr>
        <w:pStyle w:val="Indent-a"/>
      </w:pPr>
      <w:r w:rsidRPr="00F9499C">
        <w:tab/>
        <w:t>d)</w:t>
      </w:r>
      <w:r w:rsidRPr="00F9499C">
        <w:tab/>
        <w:t>be consistent actions/decisions for like/similar circumstances; and</w:t>
      </w:r>
    </w:p>
    <w:p w:rsidR="00C64D64" w:rsidRPr="00F9499C" w:rsidRDefault="00C64D64" w:rsidP="00C64D64">
      <w:pPr>
        <w:pStyle w:val="Indent-a"/>
      </w:pPr>
    </w:p>
    <w:p w:rsidR="00C64D64" w:rsidRPr="00F9499C" w:rsidRDefault="00C64D64" w:rsidP="00C64D64">
      <w:pPr>
        <w:pStyle w:val="Indent-a"/>
      </w:pPr>
      <w:r w:rsidRPr="00F9499C">
        <w:tab/>
        <w:t>e)</w:t>
      </w:r>
      <w:r w:rsidRPr="00F9499C">
        <w:tab/>
        <w:t>be subject to appropriate internal and external review.</w:t>
      </w:r>
    </w:p>
    <w:p w:rsidR="00C64D64" w:rsidRPr="00F9499C" w:rsidRDefault="00C64D64" w:rsidP="00C64D64"/>
    <w:p w:rsidR="00C64D64" w:rsidRPr="00F9499C" w:rsidRDefault="00C64D64" w:rsidP="00C64D64"/>
    <w:p w:rsidR="00C64D64" w:rsidRPr="00F9499C" w:rsidRDefault="00C64D64" w:rsidP="00C64D64"/>
    <w:p w:rsidR="00C64D64" w:rsidRPr="00F9499C" w:rsidRDefault="00C64D64" w:rsidP="00C64D64">
      <w:pPr>
        <w:pStyle w:val="BOLDCAPSCENTERED"/>
      </w:pPr>
      <w:bookmarkStart w:id="10" w:name="_Toc293652352"/>
      <w:bookmarkStart w:id="11" w:name="_Toc293660527"/>
      <w:bookmarkStart w:id="12" w:name="_Toc293662311"/>
      <w:r w:rsidRPr="00F9499C">
        <w:t>5.    Exceptions</w:t>
      </w:r>
      <w:bookmarkEnd w:id="10"/>
      <w:bookmarkEnd w:id="11"/>
      <w:bookmarkEnd w:id="12"/>
    </w:p>
    <w:p w:rsidR="00C64D64" w:rsidRPr="00F9499C" w:rsidRDefault="00C64D64" w:rsidP="00C64D64"/>
    <w:p w:rsidR="00C64D64" w:rsidRPr="00F9499C" w:rsidRDefault="00C64D64" w:rsidP="00C64D64">
      <w:r>
        <w:t>5</w:t>
      </w:r>
      <w:r w:rsidRPr="00F9499C">
        <w:t>.1</w:t>
      </w:r>
      <w:r w:rsidRPr="00F9499C">
        <w:tab/>
        <w:t>This policy is not applicable if there is evidence of a deliberate effort to conceal non-compliance.</w:t>
      </w:r>
    </w:p>
    <w:p w:rsidR="00C64D64" w:rsidRPr="00F9499C" w:rsidRDefault="00C64D64" w:rsidP="00C64D64"/>
    <w:p w:rsidR="00C64D64" w:rsidRPr="00F9499C" w:rsidRDefault="00C64D64" w:rsidP="00C64D64">
      <w:r>
        <w:t>5</w:t>
      </w:r>
      <w:r w:rsidRPr="00F9499C">
        <w:t>.2</w:t>
      </w:r>
      <w:r w:rsidRPr="00F9499C">
        <w:tab/>
        <w:t>This policy is not applicable if the service provider fails to maintain an acceptable SMS or its agreed safety performance.</w:t>
      </w:r>
    </w:p>
    <w:p w:rsidR="00C64D64" w:rsidRPr="00F9499C" w:rsidRDefault="00C64D64" w:rsidP="00C64D64"/>
    <w:p w:rsidR="00C64D64" w:rsidRPr="00F9499C" w:rsidRDefault="00C64D64" w:rsidP="00C64D64">
      <w:r>
        <w:t>5</w:t>
      </w:r>
      <w:r w:rsidRPr="00F9499C">
        <w:t>.3</w:t>
      </w:r>
      <w:r w:rsidRPr="00F9499C">
        <w:tab/>
        <w:t>This policy is not applicable if the service provider is deemed by the Authority as a recurrent violator.</w:t>
      </w:r>
    </w:p>
    <w:p w:rsidR="00C64D64" w:rsidRPr="00F9499C" w:rsidRDefault="00C64D64" w:rsidP="00C64D64"/>
    <w:p w:rsidR="00C64D64" w:rsidRPr="00F9499C" w:rsidRDefault="00C64D64" w:rsidP="00C64D64">
      <w:r>
        <w:t>5.4</w:t>
      </w:r>
      <w:r>
        <w:tab/>
      </w:r>
      <w:r w:rsidRPr="00F9499C">
        <w:t>In the above circumstances, the Authority may deal with such non</w:t>
      </w:r>
      <w:r>
        <w:t>-</w:t>
      </w:r>
      <w:r w:rsidRPr="00F9499C">
        <w:t>compliance or violations according to established enforcement procedures as deemed appropriate.</w:t>
      </w:r>
    </w:p>
    <w:p w:rsidR="00C64D64" w:rsidRPr="00F9499C" w:rsidRDefault="00C64D64" w:rsidP="00C64D64"/>
    <w:p w:rsidR="00C64D64" w:rsidRPr="00F9499C" w:rsidRDefault="00C64D64" w:rsidP="00C64D64"/>
    <w:p w:rsidR="00C64D64" w:rsidRPr="00F9499C" w:rsidRDefault="00C64D64" w:rsidP="00C64D64"/>
    <w:p w:rsidR="00C64D64" w:rsidRPr="00F9499C" w:rsidRDefault="00C64D64" w:rsidP="00C64D64"/>
    <w:p w:rsidR="00C64D64" w:rsidRPr="00F9499C" w:rsidRDefault="00C64D64" w:rsidP="00C64D64"/>
    <w:tbl>
      <w:tblPr>
        <w:tblStyle w:val="TableGrid"/>
        <w:tblW w:w="0" w:type="auto"/>
        <w:jc w:val="right"/>
        <w:tblInd w:w="2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3360"/>
        <w:gridCol w:w="480"/>
      </w:tblGrid>
      <w:tr w:rsidR="00C64D64" w:rsidRPr="00F9499C" w:rsidTr="001F0408">
        <w:trPr>
          <w:jc w:val="right"/>
        </w:trPr>
        <w:tc>
          <w:tcPr>
            <w:tcW w:w="840" w:type="dxa"/>
            <w:tcMar>
              <w:top w:w="0" w:type="dxa"/>
              <w:left w:w="0" w:type="dxa"/>
              <w:bottom w:w="0" w:type="dxa"/>
              <w:right w:w="0" w:type="dxa"/>
            </w:tcMar>
          </w:tcPr>
          <w:p w:rsidR="00C64D64" w:rsidRPr="00F9499C" w:rsidRDefault="00C64D64" w:rsidP="001F0408">
            <w:pPr>
              <w:jc w:val="center"/>
            </w:pPr>
            <w:r w:rsidRPr="00F9499C">
              <w:t>(Signed)</w:t>
            </w:r>
          </w:p>
        </w:tc>
        <w:tc>
          <w:tcPr>
            <w:tcW w:w="3360" w:type="dxa"/>
            <w:tcBorders>
              <w:bottom w:val="single" w:sz="2" w:space="0" w:color="auto"/>
            </w:tcBorders>
            <w:tcMar>
              <w:top w:w="0" w:type="dxa"/>
              <w:left w:w="0" w:type="dxa"/>
              <w:bottom w:w="0" w:type="dxa"/>
              <w:right w:w="0" w:type="dxa"/>
            </w:tcMar>
          </w:tcPr>
          <w:p w:rsidR="00C64D64" w:rsidRPr="00F9499C" w:rsidRDefault="00C64D64" w:rsidP="001F0408"/>
        </w:tc>
        <w:tc>
          <w:tcPr>
            <w:tcW w:w="480" w:type="dxa"/>
            <w:tcMar>
              <w:top w:w="0" w:type="dxa"/>
              <w:left w:w="0" w:type="dxa"/>
              <w:bottom w:w="0" w:type="dxa"/>
              <w:right w:w="0" w:type="dxa"/>
            </w:tcMar>
          </w:tcPr>
          <w:p w:rsidR="00C64D64" w:rsidRPr="00F9499C" w:rsidRDefault="00C64D64" w:rsidP="001F0408"/>
        </w:tc>
      </w:tr>
      <w:tr w:rsidR="00C64D64" w:rsidRPr="00F9499C" w:rsidTr="001F0408">
        <w:trPr>
          <w:jc w:val="right"/>
        </w:trPr>
        <w:tc>
          <w:tcPr>
            <w:tcW w:w="840" w:type="dxa"/>
            <w:tcMar>
              <w:top w:w="0" w:type="dxa"/>
              <w:left w:w="0" w:type="dxa"/>
              <w:bottom w:w="0" w:type="dxa"/>
              <w:right w:w="0" w:type="dxa"/>
            </w:tcMar>
          </w:tcPr>
          <w:p w:rsidR="00C64D64" w:rsidRPr="00F9499C" w:rsidRDefault="00C64D64" w:rsidP="001F0408"/>
        </w:tc>
        <w:tc>
          <w:tcPr>
            <w:tcW w:w="3360" w:type="dxa"/>
            <w:tcBorders>
              <w:top w:val="single" w:sz="2" w:space="0" w:color="auto"/>
            </w:tcBorders>
            <w:tcMar>
              <w:top w:w="0" w:type="dxa"/>
              <w:left w:w="0" w:type="dxa"/>
              <w:bottom w:w="0" w:type="dxa"/>
              <w:right w:w="0" w:type="dxa"/>
            </w:tcMar>
          </w:tcPr>
          <w:p w:rsidR="00C64D64" w:rsidRPr="00F9499C" w:rsidRDefault="00C64D64" w:rsidP="00C60574">
            <w:pPr>
              <w:jc w:val="center"/>
            </w:pPr>
          </w:p>
        </w:tc>
        <w:tc>
          <w:tcPr>
            <w:tcW w:w="480" w:type="dxa"/>
            <w:tcMar>
              <w:top w:w="0" w:type="dxa"/>
              <w:left w:w="0" w:type="dxa"/>
              <w:bottom w:w="0" w:type="dxa"/>
              <w:right w:w="0" w:type="dxa"/>
            </w:tcMar>
          </w:tcPr>
          <w:p w:rsidR="00C64D64" w:rsidRPr="00F9499C" w:rsidRDefault="00C64D64" w:rsidP="001F0408"/>
        </w:tc>
      </w:tr>
    </w:tbl>
    <w:p w:rsidR="00C60574" w:rsidRPr="007A5F6F" w:rsidRDefault="00C60574" w:rsidP="00C60574">
      <w:pPr>
        <w:ind w:right="180"/>
        <w:jc w:val="right"/>
        <w:rPr>
          <w:bCs/>
        </w:rPr>
      </w:pPr>
      <w:r w:rsidRPr="007A5F6F">
        <w:rPr>
          <w:bCs/>
        </w:rPr>
        <w:t xml:space="preserve">Senior Manager from [State aviation authority A] </w:t>
      </w:r>
    </w:p>
    <w:p w:rsidR="00C64D64" w:rsidRPr="00F9499C" w:rsidRDefault="00C60574" w:rsidP="00C60574">
      <w:pPr>
        <w:jc w:val="center"/>
      </w:pPr>
      <w:r w:rsidRPr="007A5F6F">
        <w:rPr>
          <w:bCs/>
        </w:rPr>
        <w:t xml:space="preserve">                                                                                         responsible under the SSP</w:t>
      </w:r>
    </w:p>
    <w:p w:rsidR="00C64D64" w:rsidRPr="00F9499C" w:rsidRDefault="00C64D64" w:rsidP="00C64D64"/>
    <w:p w:rsidR="00C64D64" w:rsidRPr="00F9499C" w:rsidRDefault="00C64D64" w:rsidP="00C64D64"/>
    <w:p w:rsidR="00C64D64" w:rsidRPr="00F9499C" w:rsidRDefault="00C64D64" w:rsidP="00C64D64"/>
    <w:p w:rsidR="00C64D64" w:rsidRPr="00F9499C" w:rsidRDefault="00C64D64" w:rsidP="00C64D64">
      <w:pPr>
        <w:jc w:val="center"/>
      </w:pPr>
      <w:r w:rsidRPr="00F9499C">
        <w:t>______________________</w:t>
      </w:r>
    </w:p>
    <w:p w:rsidR="00410AD7" w:rsidRDefault="0048774D"/>
    <w:sectPr w:rsidR="00410A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24" w:rsidRDefault="00182224" w:rsidP="00182224">
      <w:pPr>
        <w:spacing w:line="240" w:lineRule="auto"/>
      </w:pPr>
      <w:r>
        <w:separator/>
      </w:r>
    </w:p>
  </w:endnote>
  <w:endnote w:type="continuationSeparator" w:id="0">
    <w:p w:rsidR="00182224" w:rsidRDefault="00182224" w:rsidP="00182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24" w:rsidRDefault="00182224" w:rsidP="00182224">
      <w:pPr>
        <w:spacing w:line="240" w:lineRule="auto"/>
      </w:pPr>
      <w:r>
        <w:separator/>
      </w:r>
    </w:p>
  </w:footnote>
  <w:footnote w:type="continuationSeparator" w:id="0">
    <w:p w:rsidR="00182224" w:rsidRDefault="00182224" w:rsidP="001822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4"/>
    <w:rsid w:val="0005512D"/>
    <w:rsid w:val="00182224"/>
    <w:rsid w:val="003A3271"/>
    <w:rsid w:val="0048774D"/>
    <w:rsid w:val="005D1FF8"/>
    <w:rsid w:val="007A5F6F"/>
    <w:rsid w:val="00C60574"/>
    <w:rsid w:val="00C64D64"/>
    <w:rsid w:val="00D3516A"/>
    <w:rsid w:val="00D55076"/>
    <w:rsid w:val="00D5626B"/>
    <w:rsid w:val="00F3315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64"/>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C64D64"/>
    <w:pPr>
      <w:jc w:val="center"/>
    </w:pPr>
    <w:rPr>
      <w:b/>
      <w:caps/>
    </w:rPr>
  </w:style>
  <w:style w:type="paragraph" w:customStyle="1" w:styleId="Chapter">
    <w:name w:val="Chapter"/>
    <w:rsid w:val="00C64D64"/>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a">
    <w:name w:val="Indent-a)"/>
    <w:basedOn w:val="Normal"/>
    <w:rsid w:val="00C64D64"/>
    <w:pPr>
      <w:ind w:left="1440" w:hanging="1440"/>
    </w:pPr>
    <w:rPr>
      <w:rFonts w:eastAsia="Times New Roman"/>
      <w:lang w:eastAsia="en-US"/>
    </w:rPr>
  </w:style>
  <w:style w:type="table" w:styleId="TableGrid">
    <w:name w:val="Table Grid"/>
    <w:basedOn w:val="TableNormal"/>
    <w:rsid w:val="00C64D64"/>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Header">
    <w:name w:val="header"/>
    <w:basedOn w:val="Normal"/>
    <w:link w:val="HeaderChar"/>
    <w:uiPriority w:val="99"/>
    <w:unhideWhenUsed/>
    <w:rsid w:val="00182224"/>
    <w:pPr>
      <w:tabs>
        <w:tab w:val="clear" w:pos="1080"/>
        <w:tab w:val="clear" w:pos="1440"/>
        <w:tab w:val="clear" w:pos="1800"/>
        <w:tab w:val="clear" w:pos="2160"/>
        <w:tab w:val="center" w:pos="4513"/>
        <w:tab w:val="right" w:pos="9026"/>
      </w:tabs>
      <w:spacing w:line="240" w:lineRule="auto"/>
    </w:pPr>
  </w:style>
  <w:style w:type="character" w:customStyle="1" w:styleId="HeaderChar">
    <w:name w:val="Header Char"/>
    <w:basedOn w:val="DefaultParagraphFont"/>
    <w:link w:val="Header"/>
    <w:uiPriority w:val="99"/>
    <w:rsid w:val="00182224"/>
    <w:rPr>
      <w:rFonts w:ascii="Arial" w:eastAsia="SimSun" w:hAnsi="Arial" w:cs="Times New Roman"/>
      <w:sz w:val="18"/>
      <w:szCs w:val="20"/>
      <w:lang w:val="en-GB"/>
    </w:rPr>
  </w:style>
  <w:style w:type="paragraph" w:styleId="Footer">
    <w:name w:val="footer"/>
    <w:basedOn w:val="Normal"/>
    <w:link w:val="FooterChar"/>
    <w:uiPriority w:val="99"/>
    <w:unhideWhenUsed/>
    <w:rsid w:val="00182224"/>
    <w:pPr>
      <w:tabs>
        <w:tab w:val="clear" w:pos="1080"/>
        <w:tab w:val="clear" w:pos="1440"/>
        <w:tab w:val="clear" w:pos="1800"/>
        <w:tab w:val="clear" w:pos="2160"/>
        <w:tab w:val="center" w:pos="4513"/>
        <w:tab w:val="right" w:pos="9026"/>
      </w:tabs>
      <w:spacing w:line="240" w:lineRule="auto"/>
    </w:pPr>
  </w:style>
  <w:style w:type="character" w:customStyle="1" w:styleId="FooterChar">
    <w:name w:val="Footer Char"/>
    <w:basedOn w:val="DefaultParagraphFont"/>
    <w:link w:val="Footer"/>
    <w:uiPriority w:val="99"/>
    <w:rsid w:val="00182224"/>
    <w:rPr>
      <w:rFonts w:ascii="Arial" w:eastAsia="SimSun" w:hAnsi="Arial"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64"/>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C64D64"/>
    <w:pPr>
      <w:jc w:val="center"/>
    </w:pPr>
    <w:rPr>
      <w:b/>
      <w:caps/>
    </w:rPr>
  </w:style>
  <w:style w:type="paragraph" w:customStyle="1" w:styleId="Chapter">
    <w:name w:val="Chapter"/>
    <w:rsid w:val="00C64D64"/>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a">
    <w:name w:val="Indent-a)"/>
    <w:basedOn w:val="Normal"/>
    <w:rsid w:val="00C64D64"/>
    <w:pPr>
      <w:ind w:left="1440" w:hanging="1440"/>
    </w:pPr>
    <w:rPr>
      <w:rFonts w:eastAsia="Times New Roman"/>
      <w:lang w:eastAsia="en-US"/>
    </w:rPr>
  </w:style>
  <w:style w:type="table" w:styleId="TableGrid">
    <w:name w:val="Table Grid"/>
    <w:basedOn w:val="TableNormal"/>
    <w:rsid w:val="00C64D64"/>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Header">
    <w:name w:val="header"/>
    <w:basedOn w:val="Normal"/>
    <w:link w:val="HeaderChar"/>
    <w:uiPriority w:val="99"/>
    <w:unhideWhenUsed/>
    <w:rsid w:val="00182224"/>
    <w:pPr>
      <w:tabs>
        <w:tab w:val="clear" w:pos="1080"/>
        <w:tab w:val="clear" w:pos="1440"/>
        <w:tab w:val="clear" w:pos="1800"/>
        <w:tab w:val="clear" w:pos="2160"/>
        <w:tab w:val="center" w:pos="4513"/>
        <w:tab w:val="right" w:pos="9026"/>
      </w:tabs>
      <w:spacing w:line="240" w:lineRule="auto"/>
    </w:pPr>
  </w:style>
  <w:style w:type="character" w:customStyle="1" w:styleId="HeaderChar">
    <w:name w:val="Header Char"/>
    <w:basedOn w:val="DefaultParagraphFont"/>
    <w:link w:val="Header"/>
    <w:uiPriority w:val="99"/>
    <w:rsid w:val="00182224"/>
    <w:rPr>
      <w:rFonts w:ascii="Arial" w:eastAsia="SimSun" w:hAnsi="Arial" w:cs="Times New Roman"/>
      <w:sz w:val="18"/>
      <w:szCs w:val="20"/>
      <w:lang w:val="en-GB"/>
    </w:rPr>
  </w:style>
  <w:style w:type="paragraph" w:styleId="Footer">
    <w:name w:val="footer"/>
    <w:basedOn w:val="Normal"/>
    <w:link w:val="FooterChar"/>
    <w:uiPriority w:val="99"/>
    <w:unhideWhenUsed/>
    <w:rsid w:val="00182224"/>
    <w:pPr>
      <w:tabs>
        <w:tab w:val="clear" w:pos="1080"/>
        <w:tab w:val="clear" w:pos="1440"/>
        <w:tab w:val="clear" w:pos="1800"/>
        <w:tab w:val="clear" w:pos="2160"/>
        <w:tab w:val="center" w:pos="4513"/>
        <w:tab w:val="right" w:pos="9026"/>
      </w:tabs>
      <w:spacing w:line="240" w:lineRule="auto"/>
    </w:pPr>
  </w:style>
  <w:style w:type="character" w:customStyle="1" w:styleId="FooterChar">
    <w:name w:val="Footer Char"/>
    <w:basedOn w:val="DefaultParagraphFont"/>
    <w:link w:val="Footer"/>
    <w:uiPriority w:val="99"/>
    <w:rsid w:val="00182224"/>
    <w:rPr>
      <w:rFonts w:ascii="Arial" w:eastAsia="SimSu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Gnehm, Elizabeth</dc:creator>
  <cp:lastModifiedBy>Li, Nan</cp:lastModifiedBy>
  <cp:revision>5</cp:revision>
  <dcterms:created xsi:type="dcterms:W3CDTF">2017-10-11T15:29:00Z</dcterms:created>
  <dcterms:modified xsi:type="dcterms:W3CDTF">2017-10-11T18:32:00Z</dcterms:modified>
</cp:coreProperties>
</file>