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FSMP.006.02</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Develop radio frequency and interference rejection characteristics for radio altimeters </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Recent ITU activities have threatened aeronautical systems operating in the 4200-4400 MHz band by considering the introduction of mobile broadband systems in adjacent frequency bands.  Existing ITU-R documentation, and related documentation such as RTCA DO-155 Minimum Performance Standard Airborne Low-Range Radar Altimeters, describe some performance characteristics for radio altimeters, however additional/refined details are necessary to enable a proper assessment of suitable protection requirements for systems operating on adjacent frequency bands.  Without standardized frequency and interference performance characteristics, there is no way to specify suitable protection from  interference from services operating in adjacent frequency bands. This creates safety risks to flying aircraft operating radio altimeters, especially noting that non-aeronautcial systems can now operate at the adjacent frequency bands.</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Radio frequency interference rejection characteristics and associated standards for radio altimeters are needed to ensure frequency sharing compatibility between aircraft radio altimeters and other aeronautical applications, namely Wireless Avionics Intra-Communications (WAIC), in the same band. Furthermore, out-of-band interference susceptibility and rejection characteristics are also required for protecting the operations of the radio altimeters from harmful interference caused by non-aeronautical systems operating in adjacent frequency bands.</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Protection of continued safe operations of radio altimeters from potentially harmful in-band and adjacent band radio frequency interference, and guidance for future radio altimeter design.</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Annex 10, Vol V</w:t>
              <w:br/>
              <w:t>ARINC 707-7B</w:t>
              <w:br/>
              <w:t>Eurocae ED-30 / ED-30A Minimum Performance Standard Low-Range Radar Altimeters</w:t>
              <w:br/>
              <w:t>RTCA DO-155 Minimum Performance Standard Low-Range Radar Altimeters</w:t>
              <w:br/>
              <w:t>Recommendation ITU-R M.2059 “Operational and technical characteristics and protection criteria of radio altimeters utilizing the band 4 200-4 400 MHz”, approved Feb. 2014</w:t>
              <w:br/>
              <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9661</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Annex 10 - Vol V</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Referencing material from Standard Making Organisations, develop technical provisions defining technical aspects relating to radio frequency and interference rejection characteristics of the radio altimeters. </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FLTOPSP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Re-scheduled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Q2 2025</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Jul 2027</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2027</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Approved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24 November 2016</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Update to indicate Annex 10 Volume V as the intended target for the deliverable, and to reflect the on-going work developing radio altimeter (RA) guidance within EUROCAE and RTCA,.Given the current progress of work within EUROCAE and RTCA it is envisioned that the RA SARPs deliverable out of FSMP will be finalized by 2025; Action 9662 has been superseded by the on-going RA/5G mitigations by Industry</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4769D5F2-6F50-4E05-88BA-078B7562F3BB}"/>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