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D4E3" w14:textId="77777777" w:rsidR="008A1122" w:rsidRDefault="008A1122" w:rsidP="008A1122">
      <w:pPr>
        <w:spacing w:line="240" w:lineRule="auto"/>
        <w:jc w:val="center"/>
        <w:rPr>
          <w:rFonts w:cs="Arial"/>
          <w:b/>
          <w:bCs/>
          <w:lang w:val="en-CA"/>
        </w:rPr>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421"/>
        <w:gridCol w:w="8155"/>
      </w:tblGrid>
      <w:tr w:rsidR="008A1122" w:rsidRPr="00B567F4" w14:paraId="67779353" w14:textId="77777777" w:rsidTr="005A73A7">
        <w:trPr>
          <w:trHeight w:val="1543"/>
        </w:trPr>
        <w:tc>
          <w:tcPr>
            <w:tcW w:w="1421" w:type="dxa"/>
            <w:shd w:val="clear" w:color="auto" w:fill="FFFFFF"/>
          </w:tcPr>
          <w:p w14:paraId="5C6AE96C" w14:textId="77777777" w:rsidR="008A1122" w:rsidRPr="00B567F4" w:rsidRDefault="008A1122" w:rsidP="005A73A7">
            <w:pPr>
              <w:spacing w:line="240" w:lineRule="auto"/>
              <w:rPr>
                <w:rFonts w:ascii="Times New Roman" w:hAnsi="Times New Roman"/>
                <w:sz w:val="20"/>
                <w:lang w:val="en-CA"/>
              </w:rPr>
            </w:pPr>
            <w:bookmarkStart w:id="0" w:name="logo"/>
            <w:r w:rsidRPr="00B567F4">
              <w:rPr>
                <w:rFonts w:ascii="Times New Roman" w:hAnsi="Times New Roman"/>
                <w:noProof/>
                <w:sz w:val="20"/>
                <w:lang w:val="en-CA"/>
              </w:rPr>
              <w:drawing>
                <wp:inline distT="0" distB="0" distL="0" distR="0" wp14:anchorId="1520CB0C" wp14:editId="261A57F0">
                  <wp:extent cx="767080" cy="614680"/>
                  <wp:effectExtent l="0" t="0" r="0" b="0"/>
                  <wp:docPr id="3" name="Picture 3" descr="Description: 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080" cy="614680"/>
                          </a:xfrm>
                          <a:prstGeom prst="rect">
                            <a:avLst/>
                          </a:prstGeom>
                          <a:noFill/>
                          <a:ln>
                            <a:noFill/>
                          </a:ln>
                        </pic:spPr>
                      </pic:pic>
                    </a:graphicData>
                  </a:graphic>
                </wp:inline>
              </w:drawing>
            </w:r>
            <w:bookmarkEnd w:id="0"/>
          </w:p>
        </w:tc>
        <w:tc>
          <w:tcPr>
            <w:tcW w:w="8155" w:type="dxa"/>
            <w:shd w:val="clear" w:color="auto" w:fill="FFFFFF"/>
            <w:tcMar>
              <w:right w:w="0" w:type="dxa"/>
            </w:tcMar>
          </w:tcPr>
          <w:p w14:paraId="0C89AFBA" w14:textId="77777777" w:rsidR="008A1122" w:rsidRPr="00B567F4" w:rsidRDefault="008A1122" w:rsidP="005A73A7">
            <w:pPr>
              <w:spacing w:line="240" w:lineRule="auto"/>
              <w:rPr>
                <w:rFonts w:ascii="Times New Roman" w:hAnsi="Times New Roman"/>
                <w:sz w:val="20"/>
                <w:lang w:val="en-CA"/>
              </w:rPr>
            </w:pPr>
            <w:r w:rsidRPr="00B567F4">
              <w:rPr>
                <w:rFonts w:ascii="Times New Roman" w:hAnsi="Times New Roman"/>
                <w:noProof/>
                <w:lang w:val="en-CA"/>
              </w:rPr>
              <mc:AlternateContent>
                <mc:Choice Requires="wps">
                  <w:drawing>
                    <wp:anchor distT="4294967295" distB="4294967295" distL="114300" distR="114300" simplePos="0" relativeHeight="251664384" behindDoc="0" locked="0" layoutInCell="1" allowOverlap="1" wp14:anchorId="5BAC5E17" wp14:editId="7EA27244">
                      <wp:simplePos x="0" y="0"/>
                      <wp:positionH relativeFrom="column">
                        <wp:posOffset>12700</wp:posOffset>
                      </wp:positionH>
                      <wp:positionV relativeFrom="paragraph">
                        <wp:posOffset>342899</wp:posOffset>
                      </wp:positionV>
                      <wp:extent cx="2400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D8F7"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9271DBB" w14:textId="77777777" w:rsidR="008A1122" w:rsidRPr="00B567F4" w:rsidRDefault="008A1122" w:rsidP="005A73A7">
            <w:pPr>
              <w:spacing w:line="240" w:lineRule="auto"/>
              <w:rPr>
                <w:rFonts w:asciiTheme="minorBidi" w:hAnsiTheme="minorBidi"/>
                <w:b/>
                <w:bCs/>
                <w:sz w:val="20"/>
                <w:lang w:val="en-CA"/>
              </w:rPr>
            </w:pPr>
            <w:r w:rsidRPr="00B567F4">
              <w:rPr>
                <w:rFonts w:asciiTheme="minorBidi" w:hAnsiTheme="minorBidi"/>
                <w:b/>
                <w:bCs/>
                <w:sz w:val="20"/>
                <w:lang w:val="en-CA"/>
              </w:rPr>
              <w:t>International Civil Aviation Organization</w:t>
            </w:r>
          </w:p>
          <w:p w14:paraId="0CAC5A64" w14:textId="77777777" w:rsidR="008A1122" w:rsidRPr="00B567F4" w:rsidRDefault="008A1122" w:rsidP="005A73A7">
            <w:pPr>
              <w:spacing w:line="240" w:lineRule="auto"/>
              <w:rPr>
                <w:rFonts w:asciiTheme="minorBidi" w:hAnsiTheme="minorBidi"/>
                <w:sz w:val="20"/>
                <w:lang w:val="en-CA"/>
              </w:rPr>
            </w:pPr>
          </w:p>
          <w:p w14:paraId="4B145E6F" w14:textId="77777777" w:rsidR="008A1122" w:rsidRPr="00B567F4" w:rsidRDefault="008A1122" w:rsidP="005A73A7">
            <w:pPr>
              <w:spacing w:line="240" w:lineRule="auto"/>
              <w:rPr>
                <w:rFonts w:ascii="Times New Roman" w:hAnsi="Times New Roman"/>
                <w:b/>
                <w:sz w:val="20"/>
                <w:lang w:val="en-CA"/>
              </w:rPr>
            </w:pPr>
            <w:r w:rsidRPr="00B567F4">
              <w:rPr>
                <w:rFonts w:asciiTheme="minorBidi" w:hAnsiTheme="minorBidi"/>
                <w:b/>
                <w:sz w:val="20"/>
                <w:lang w:val="en-CA"/>
              </w:rPr>
              <w:t>ICAO Global Aviation Safety Plan</w:t>
            </w:r>
          </w:p>
        </w:tc>
      </w:tr>
    </w:tbl>
    <w:p w14:paraId="715BD089" w14:textId="77777777" w:rsidR="008A1122" w:rsidRDefault="008A1122" w:rsidP="008A1122">
      <w:pPr>
        <w:spacing w:line="240" w:lineRule="auto"/>
        <w:jc w:val="center"/>
        <w:rPr>
          <w:rFonts w:cs="Arial"/>
          <w:b/>
          <w:bCs/>
          <w:lang w:val="en-CA"/>
        </w:rPr>
      </w:pPr>
    </w:p>
    <w:p w14:paraId="6A5BFB7F" w14:textId="77777777" w:rsidR="008A1122" w:rsidRDefault="008A1122" w:rsidP="008A1122">
      <w:pPr>
        <w:spacing w:line="240" w:lineRule="auto"/>
        <w:jc w:val="center"/>
        <w:rPr>
          <w:rFonts w:cs="Arial"/>
          <w:b/>
          <w:bCs/>
          <w:lang w:val="en-CA"/>
        </w:rPr>
      </w:pPr>
    </w:p>
    <w:p w14:paraId="65CC2E58" w14:textId="77777777" w:rsidR="008A1122" w:rsidRDefault="008A1122" w:rsidP="008A1122">
      <w:pPr>
        <w:spacing w:line="240" w:lineRule="auto"/>
        <w:jc w:val="center"/>
        <w:rPr>
          <w:rFonts w:cs="Arial"/>
          <w:b/>
          <w:bCs/>
          <w:lang w:val="en-CA"/>
        </w:rPr>
      </w:pPr>
    </w:p>
    <w:p w14:paraId="651AE5CB" w14:textId="77777777" w:rsidR="008A1122" w:rsidRDefault="008A1122" w:rsidP="008A1122">
      <w:pPr>
        <w:spacing w:line="240" w:lineRule="auto"/>
        <w:jc w:val="center"/>
        <w:rPr>
          <w:rFonts w:cs="Arial"/>
          <w:b/>
          <w:bCs/>
          <w:lang w:val="en-CA"/>
        </w:rPr>
      </w:pPr>
    </w:p>
    <w:p w14:paraId="53EE984D" w14:textId="77777777" w:rsidR="008A1122" w:rsidRDefault="008A1122" w:rsidP="008A1122">
      <w:pPr>
        <w:spacing w:line="240" w:lineRule="auto"/>
        <w:jc w:val="center"/>
        <w:rPr>
          <w:rFonts w:cs="Arial"/>
          <w:b/>
          <w:bCs/>
          <w:lang w:val="en-CA"/>
        </w:rPr>
      </w:pPr>
    </w:p>
    <w:p w14:paraId="0355AFF9" w14:textId="77777777" w:rsidR="008A1122" w:rsidRDefault="008A1122" w:rsidP="008A1122">
      <w:pPr>
        <w:spacing w:line="240" w:lineRule="auto"/>
        <w:jc w:val="center"/>
        <w:rPr>
          <w:rFonts w:cs="Arial"/>
          <w:b/>
          <w:bCs/>
          <w:lang w:val="en-CA"/>
        </w:rPr>
      </w:pPr>
    </w:p>
    <w:p w14:paraId="094C8973" w14:textId="77777777" w:rsidR="008A1122" w:rsidRDefault="008A1122" w:rsidP="008A1122">
      <w:pPr>
        <w:spacing w:line="240" w:lineRule="auto"/>
        <w:jc w:val="center"/>
        <w:rPr>
          <w:rFonts w:cs="Arial"/>
          <w:b/>
          <w:bCs/>
          <w:lang w:val="en-CA"/>
        </w:rPr>
      </w:pPr>
    </w:p>
    <w:p w14:paraId="2283D9C9" w14:textId="1A6691B6" w:rsidR="008A1122" w:rsidRPr="007A46E6" w:rsidRDefault="007A46E6" w:rsidP="008A1122">
      <w:pPr>
        <w:spacing w:line="240" w:lineRule="auto"/>
        <w:jc w:val="center"/>
        <w:rPr>
          <w:rFonts w:asciiTheme="minorBidi" w:hAnsiTheme="minorBidi" w:cstheme="minorBidi"/>
          <w:b/>
          <w:bCs/>
          <w:sz w:val="28"/>
          <w:szCs w:val="28"/>
        </w:rPr>
      </w:pPr>
      <w:r w:rsidRPr="007A46E6">
        <w:rPr>
          <w:rFonts w:cs="Arial"/>
          <w:b/>
          <w:bCs/>
          <w:sz w:val="28"/>
          <w:szCs w:val="28"/>
          <w:lang w:val="en-CA"/>
        </w:rPr>
        <w:t>NATIONAL AVIATION SAFETY PLAN TEMPLATE</w:t>
      </w:r>
    </w:p>
    <w:p w14:paraId="3746B9DB" w14:textId="77777777" w:rsidR="008A1122" w:rsidRDefault="008A1122">
      <w:pPr>
        <w:widowControl/>
        <w:tabs>
          <w:tab w:val="clear" w:pos="1080"/>
          <w:tab w:val="clear" w:pos="1440"/>
          <w:tab w:val="clear" w:pos="1800"/>
          <w:tab w:val="clear" w:pos="2160"/>
        </w:tabs>
        <w:rPr>
          <w:rFonts w:cs="Times New Roman Bold"/>
          <w:b/>
          <w:sz w:val="28"/>
          <w:szCs w:val="24"/>
          <w:lang w:eastAsia="en-US"/>
        </w:rPr>
      </w:pPr>
      <w:r>
        <w:br w:type="page"/>
      </w:r>
    </w:p>
    <w:p w14:paraId="2F54C520" w14:textId="77777777" w:rsidR="004A6279" w:rsidRPr="00151C7A" w:rsidRDefault="005F6770" w:rsidP="004A6279">
      <w:pPr>
        <w:pStyle w:val="Chapter"/>
      </w:pPr>
      <w:r w:rsidRPr="005F6770">
        <w:lastRenderedPageBreak/>
        <w:t xml:space="preserve">NATIONAL AVIATION SAFETY PLAN </w:t>
      </w:r>
      <w:r w:rsidR="008A1122">
        <w:t xml:space="preserve">OF </w:t>
      </w:r>
      <w:r w:rsidR="008A1122" w:rsidRPr="008A1122">
        <w:t>[</w:t>
      </w:r>
      <w:r w:rsidR="008A1122" w:rsidRPr="008A1122">
        <w:rPr>
          <w:shd w:val="pct15" w:color="auto" w:fill="FFFFFF"/>
        </w:rPr>
        <w:t>STATE</w:t>
      </w:r>
      <w:r w:rsidR="008A1122" w:rsidRPr="008A1122">
        <w:t>]</w:t>
      </w:r>
    </w:p>
    <w:p w14:paraId="621B29CD" w14:textId="77777777" w:rsidR="004A6279" w:rsidRPr="00151C7A" w:rsidRDefault="004A6279" w:rsidP="004A6279">
      <w:pPr>
        <w:jc w:val="center"/>
      </w:pPr>
    </w:p>
    <w:p w14:paraId="471F7AC2" w14:textId="77777777" w:rsidR="004A6279" w:rsidRPr="00151C7A" w:rsidRDefault="004A6279" w:rsidP="004A6279">
      <w:pPr>
        <w:jc w:val="center"/>
      </w:pPr>
    </w:p>
    <w:p w14:paraId="1DB543CA" w14:textId="77777777" w:rsidR="004A6279" w:rsidRPr="00151C7A" w:rsidRDefault="004A6279" w:rsidP="004A6279">
      <w:pPr>
        <w:jc w:val="center"/>
      </w:pPr>
    </w:p>
    <w:p w14:paraId="4DF651A8" w14:textId="77777777" w:rsidR="004A6279" w:rsidRPr="00151C7A" w:rsidRDefault="004A6279" w:rsidP="004A6279">
      <w:pPr>
        <w:pStyle w:val="BOLDCAPSCENTERED"/>
      </w:pPr>
      <w:bookmarkStart w:id="1" w:name="_Toc41037091"/>
      <w:r w:rsidRPr="00151C7A">
        <w:t>SECTION 1.    INTRODUCTION</w:t>
      </w:r>
      <w:bookmarkEnd w:id="1"/>
    </w:p>
    <w:p w14:paraId="7DA7797D" w14:textId="77777777" w:rsidR="004A6279" w:rsidRPr="00151C7A" w:rsidRDefault="004A6279" w:rsidP="004A6279"/>
    <w:p w14:paraId="1CEC99FD" w14:textId="77777777" w:rsidR="004A6279" w:rsidRPr="00151C7A" w:rsidRDefault="004A6279" w:rsidP="004A6279"/>
    <w:p w14:paraId="3BDC2FD7" w14:textId="77777777" w:rsidR="004A6279" w:rsidRPr="00151C7A" w:rsidRDefault="004A6279" w:rsidP="004A6279">
      <w:pPr>
        <w:pStyle w:val="BoldCentered"/>
      </w:pPr>
      <w:r w:rsidRPr="00151C7A">
        <w:t>1.1    Overview of the NASP</w:t>
      </w:r>
      <w:r w:rsidRPr="00151C7A">
        <w:rPr>
          <w:vertAlign w:val="superscript"/>
        </w:rPr>
        <w:footnoteReference w:id="2"/>
      </w:r>
    </w:p>
    <w:p w14:paraId="0924160A" w14:textId="77777777" w:rsidR="004A6279" w:rsidRPr="00151C7A" w:rsidRDefault="004A6279" w:rsidP="004A6279"/>
    <w:p w14:paraId="486E2352" w14:textId="77777777" w:rsidR="004A6279" w:rsidRPr="00151C7A" w:rsidRDefault="004A6279" w:rsidP="004A6279">
      <w:r w:rsidRPr="00151C7A">
        <w:t>[</w:t>
      </w:r>
      <w:r w:rsidRPr="00151C7A">
        <w:rPr>
          <w:shd w:val="pct15" w:color="auto" w:fill="FFFFFF"/>
        </w:rPr>
        <w:t>State</w:t>
      </w:r>
      <w:r w:rsidRPr="00151C7A">
        <w:t>] is committed to enhancing aviation safety and to the resourcing of supporting activities. The purpose of this national aviation safety plan (NASP) is to continually reduce fatalities, and the risk of fatalities, through the development and implementation of a national aviation safety strategy. A safe, resilient and sustainable aviation system contributes to the economic development of [</w:t>
      </w:r>
      <w:r w:rsidRPr="00151C7A">
        <w:rPr>
          <w:shd w:val="pct15" w:color="auto" w:fill="FFFFFF"/>
        </w:rPr>
        <w:t>State</w:t>
      </w:r>
      <w:r w:rsidRPr="00151C7A">
        <w:t>] and its industries. The NASP promotes the effective implementation of [</w:t>
      </w:r>
      <w:r w:rsidRPr="00151C7A">
        <w:rPr>
          <w:shd w:val="pct15" w:color="auto" w:fill="FFFFFF"/>
        </w:rPr>
        <w:t>State’s</w:t>
      </w:r>
      <w:r w:rsidRPr="00151C7A">
        <w:t>] safety oversight system, a risk-based approach to managing safety, as well as a coordinated approach to collaboration between [</w:t>
      </w:r>
      <w:r w:rsidRPr="00151C7A">
        <w:rPr>
          <w:shd w:val="pct15" w:color="auto" w:fill="FFFFFF"/>
        </w:rPr>
        <w:t>State</w:t>
      </w:r>
      <w:r w:rsidRPr="00151C7A">
        <w:t>] and other States, regions and industry. All stakeholders are encouraged to support and implement the NASP as the strategy for the continuous improvement of aviation safety.</w:t>
      </w:r>
    </w:p>
    <w:p w14:paraId="444DE8A4" w14:textId="77777777" w:rsidR="004A6279" w:rsidRPr="00151C7A" w:rsidRDefault="004A6279" w:rsidP="004A6279"/>
    <w:p w14:paraId="7BE2ABF9" w14:textId="77777777" w:rsidR="004A6279" w:rsidRPr="00151C7A" w:rsidRDefault="004A6279" w:rsidP="004A6279">
      <w:r w:rsidRPr="00151C7A">
        <w:t>The NASP of [</w:t>
      </w:r>
      <w:r w:rsidRPr="00151C7A">
        <w:rPr>
          <w:shd w:val="pct15" w:color="auto" w:fill="FFFFFF"/>
        </w:rPr>
        <w:t>State</w:t>
      </w:r>
      <w:r w:rsidRPr="00151C7A">
        <w:t xml:space="preserve">] is in alignment with the International Civil Aviation Organization (ICAO) </w:t>
      </w:r>
      <w:r w:rsidRPr="00151C7A">
        <w:rPr>
          <w:i/>
          <w:iCs/>
        </w:rPr>
        <w:t xml:space="preserve">Global Aviation Safety Plan </w:t>
      </w:r>
      <w:r w:rsidRPr="00151C7A">
        <w:t>(GASP, Doc 10004) and the [</w:t>
      </w:r>
      <w:r w:rsidRPr="00151C7A">
        <w:rPr>
          <w:shd w:val="pct15" w:color="auto" w:fill="FFFFFF"/>
        </w:rPr>
        <w:t>name of the regional aviation safety plan (RASP)</w:t>
      </w:r>
      <w:r w:rsidRPr="00151C7A">
        <w:t>].</w:t>
      </w:r>
    </w:p>
    <w:p w14:paraId="41EC6BD7" w14:textId="77777777" w:rsidR="004A6279" w:rsidRPr="00151C7A" w:rsidRDefault="004A6279" w:rsidP="004A6279"/>
    <w:p w14:paraId="25F1DEAA" w14:textId="77777777" w:rsidR="004A6279" w:rsidRPr="00151C7A" w:rsidRDefault="004A6279" w:rsidP="004A6279"/>
    <w:p w14:paraId="4AF7E524" w14:textId="77777777" w:rsidR="004A6279" w:rsidRPr="00151C7A" w:rsidRDefault="004A6279" w:rsidP="004A6279">
      <w:pPr>
        <w:jc w:val="right"/>
      </w:pPr>
      <w:r w:rsidRPr="00151C7A">
        <w:t>[</w:t>
      </w:r>
      <w:r w:rsidRPr="00151C7A">
        <w:rPr>
          <w:shd w:val="pct15" w:color="auto" w:fill="FFFFFF"/>
        </w:rPr>
        <w:t>Signature</w:t>
      </w:r>
      <w:r w:rsidRPr="00151C7A">
        <w:t>]</w:t>
      </w:r>
    </w:p>
    <w:p w14:paraId="231E7790" w14:textId="77777777" w:rsidR="004A6279" w:rsidRPr="00151C7A" w:rsidRDefault="004A6279" w:rsidP="004A6279">
      <w:pPr>
        <w:jc w:val="right"/>
      </w:pPr>
      <w:r w:rsidRPr="00151C7A">
        <w:t>[</w:t>
      </w:r>
      <w:r w:rsidRPr="00151C7A">
        <w:rPr>
          <w:shd w:val="pct15" w:color="auto" w:fill="FFFFFF"/>
        </w:rPr>
        <w:t>Name</w:t>
      </w:r>
      <w:r w:rsidRPr="00151C7A">
        <w:t>]</w:t>
      </w:r>
    </w:p>
    <w:p w14:paraId="62DD8EDA" w14:textId="77777777" w:rsidR="004A6279" w:rsidRPr="00151C7A" w:rsidRDefault="004A6279" w:rsidP="004A6279">
      <w:pPr>
        <w:jc w:val="right"/>
        <w:rPr>
          <w:b/>
          <w:bCs/>
        </w:rPr>
      </w:pPr>
      <w:r w:rsidRPr="00151C7A">
        <w:rPr>
          <w:b/>
          <w:bCs/>
        </w:rPr>
        <w:t>[</w:t>
      </w:r>
      <w:r w:rsidRPr="00151C7A">
        <w:rPr>
          <w:b/>
          <w:bCs/>
          <w:shd w:val="pct15" w:color="auto" w:fill="FFFFFF"/>
        </w:rPr>
        <w:t xml:space="preserve">Title </w:t>
      </w:r>
      <w:r w:rsidRPr="00151C7A">
        <w:rPr>
          <w:rFonts w:ascii="Calibri" w:hAnsi="Calibri"/>
          <w:b/>
          <w:bCs/>
          <w:shd w:val="pct15" w:color="auto" w:fill="FFFFFF"/>
        </w:rPr>
        <w:t>—</w:t>
      </w:r>
      <w:r w:rsidRPr="00151C7A">
        <w:rPr>
          <w:b/>
          <w:bCs/>
          <w:shd w:val="pct15" w:color="auto" w:fill="FFFFFF"/>
        </w:rPr>
        <w:t xml:space="preserve"> </w:t>
      </w:r>
      <w:r w:rsidRPr="00151C7A">
        <w:rPr>
          <w:b/>
          <w:bCs/>
          <w:i/>
          <w:iCs/>
          <w:shd w:val="pct15" w:color="auto" w:fill="FFFFFF"/>
        </w:rPr>
        <w:t>Example,</w:t>
      </w:r>
      <w:r w:rsidRPr="00151C7A">
        <w:rPr>
          <w:b/>
          <w:bCs/>
          <w:shd w:val="pct15" w:color="auto" w:fill="FFFFFF"/>
        </w:rPr>
        <w:t xml:space="preserve"> </w:t>
      </w:r>
      <w:r w:rsidRPr="00151C7A">
        <w:rPr>
          <w:b/>
          <w:bCs/>
          <w:i/>
          <w:iCs/>
          <w:shd w:val="pct15" w:color="auto" w:fill="FFFFFF"/>
        </w:rPr>
        <w:t>Director General of Civil Aviation or Minister of Transport</w:t>
      </w:r>
      <w:r w:rsidRPr="00151C7A">
        <w:rPr>
          <w:b/>
          <w:bCs/>
        </w:rPr>
        <w:t>]</w:t>
      </w:r>
    </w:p>
    <w:p w14:paraId="68BE1C3B" w14:textId="77777777" w:rsidR="004A6279" w:rsidRPr="00151C7A" w:rsidRDefault="004A6279" w:rsidP="004A6279"/>
    <w:p w14:paraId="604DF7DF" w14:textId="77777777" w:rsidR="004A6279" w:rsidRPr="00151C7A" w:rsidRDefault="004A6279" w:rsidP="004A6279"/>
    <w:p w14:paraId="2A2B0A31" w14:textId="77777777" w:rsidR="004A6279" w:rsidRPr="00151C7A" w:rsidRDefault="004A6279" w:rsidP="004A6279">
      <w:pPr>
        <w:pStyle w:val="BoldCentered"/>
      </w:pPr>
      <w:r w:rsidRPr="00151C7A">
        <w:t>1.2    Structure of the NASP</w:t>
      </w:r>
    </w:p>
    <w:p w14:paraId="5032CE05" w14:textId="77777777" w:rsidR="004A6279" w:rsidRPr="00151C7A" w:rsidRDefault="004A6279" w:rsidP="004A6279"/>
    <w:p w14:paraId="481675F3" w14:textId="77777777" w:rsidR="004A6279" w:rsidRPr="00151C7A" w:rsidRDefault="004A6279" w:rsidP="004A6279">
      <w:r w:rsidRPr="00151C7A">
        <w:t>This NASP presents the strategic direction for the management of aviation safety at the national level, for a period of [</w:t>
      </w:r>
      <w:r w:rsidRPr="00151C7A">
        <w:rPr>
          <w:shd w:val="pct15" w:color="auto" w:fill="FFFFFF"/>
        </w:rPr>
        <w:t>number</w:t>
      </w:r>
      <w:r w:rsidRPr="00151C7A">
        <w:t>] years. It comprises six sections. In addition to the introduction, sections include: the purpose of the NASP, [</w:t>
      </w:r>
      <w:r w:rsidRPr="00151C7A">
        <w:rPr>
          <w:shd w:val="pct15" w:color="auto" w:fill="FFFFFF"/>
        </w:rPr>
        <w:t>State’s</w:t>
      </w:r>
      <w:r w:rsidRPr="00151C7A">
        <w:t>] strategic direction for the management of aviation safety, the national operational safety risks identified for the [</w:t>
      </w:r>
      <w:r w:rsidRPr="00151C7A">
        <w:rPr>
          <w:shd w:val="pct15" w:color="auto" w:fill="FFFFFF"/>
        </w:rPr>
        <w:t xml:space="preserve">date interval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2023-2025</w:t>
      </w:r>
      <w:r w:rsidRPr="00151C7A">
        <w:t>] NASP, organizational challenges addressed in the NASP, and a description of how the implementation of the safety enhancement initiatives (SEIs) listed in the NASP is going to be monitored.</w:t>
      </w:r>
    </w:p>
    <w:p w14:paraId="20B7C6D8" w14:textId="77777777" w:rsidR="004A6279" w:rsidRPr="00151C7A" w:rsidRDefault="004A6279" w:rsidP="004A6279"/>
    <w:p w14:paraId="4553FE99" w14:textId="77777777" w:rsidR="004A6279" w:rsidRPr="00151C7A" w:rsidRDefault="004A6279" w:rsidP="004A6279"/>
    <w:p w14:paraId="425AFAEA" w14:textId="77777777" w:rsidR="004A6279" w:rsidRPr="00151C7A" w:rsidRDefault="004A6279" w:rsidP="004A6279">
      <w:pPr>
        <w:pStyle w:val="BoldCentered"/>
      </w:pPr>
      <w:r w:rsidRPr="00151C7A">
        <w:t>1.3    Relationship between the NASP and the State safety programme (SSP)</w:t>
      </w:r>
    </w:p>
    <w:p w14:paraId="3758B9DA" w14:textId="77777777" w:rsidR="004A6279" w:rsidRPr="00151C7A" w:rsidRDefault="004A6279" w:rsidP="004A6279"/>
    <w:p w14:paraId="61DEA7AD" w14:textId="77777777" w:rsidR="004A6279" w:rsidRPr="00151C7A" w:rsidRDefault="004A6279" w:rsidP="004A6279">
      <w:pPr>
        <w:rPr>
          <w:b/>
          <w:bCs/>
          <w:i/>
          <w:iCs/>
        </w:rPr>
      </w:pPr>
      <w:r w:rsidRPr="00151C7A">
        <w:rPr>
          <w:b/>
          <w:bCs/>
          <w:i/>
          <w:iCs/>
        </w:rPr>
        <w:t>[Paragraph below only applies to States without mature safety data analysis (SDA) aspects of the SSPIA]</w:t>
      </w:r>
    </w:p>
    <w:p w14:paraId="35D37CA1" w14:textId="77777777" w:rsidR="004A6279" w:rsidRPr="00151C7A" w:rsidRDefault="004A6279" w:rsidP="004A6279">
      <w:pPr>
        <w:pStyle w:val="TOC1"/>
      </w:pPr>
    </w:p>
    <w:p w14:paraId="0D60EBBB" w14:textId="77777777" w:rsidR="004A6279" w:rsidRPr="00151C7A" w:rsidRDefault="004A6279" w:rsidP="004A6279">
      <w:r w:rsidRPr="00151C7A">
        <w:t>This NASP addresses operational safety risks presented in the ICAO GASP and the [</w:t>
      </w:r>
      <w:r w:rsidRPr="00151C7A">
        <w:rPr>
          <w:shd w:val="pct15" w:color="auto" w:fill="FFFFFF"/>
        </w:rPr>
        <w:t>name of the RASP</w:t>
      </w:r>
      <w:r w:rsidRPr="00151C7A">
        <w:t>], in the absence of mature safety data analysis (SDA) aspects, as described in the ICAO State</w:t>
      </w:r>
      <w:r>
        <w:t xml:space="preserve"> S</w:t>
      </w:r>
      <w:r w:rsidRPr="00151C7A">
        <w:t xml:space="preserve">afety </w:t>
      </w:r>
      <w:r>
        <w:t>Programme</w:t>
      </w:r>
      <w:r w:rsidRPr="00151C7A">
        <w:t xml:space="preserve"> Implementation Assessment (SSPIA), in [</w:t>
      </w:r>
      <w:r w:rsidRPr="00151C7A">
        <w:rPr>
          <w:shd w:val="pct15" w:color="auto" w:fill="FFFFFF"/>
        </w:rPr>
        <w:t>State</w:t>
      </w:r>
      <w:r w:rsidRPr="00151C7A">
        <w:t>]. Initiatives listed in this NASP address organizational challenges and aim to enhance organizational capabilities related to effective safety oversight.</w:t>
      </w:r>
    </w:p>
    <w:p w14:paraId="5A402419" w14:textId="77777777" w:rsidR="004A6279" w:rsidRPr="00151C7A" w:rsidRDefault="004A6279" w:rsidP="004A6279">
      <w:pPr>
        <w:jc w:val="center"/>
        <w:rPr>
          <w:i/>
          <w:iCs/>
        </w:rPr>
      </w:pPr>
    </w:p>
    <w:p w14:paraId="69B5B1A4" w14:textId="77777777" w:rsidR="004A6279" w:rsidRPr="00151C7A" w:rsidRDefault="004A6279" w:rsidP="004A6279">
      <w:pPr>
        <w:jc w:val="center"/>
      </w:pPr>
      <w:r w:rsidRPr="00151C7A">
        <w:rPr>
          <w:i/>
          <w:iCs/>
        </w:rPr>
        <w:t>or</w:t>
      </w:r>
    </w:p>
    <w:p w14:paraId="7A6CC341" w14:textId="77777777" w:rsidR="004A6279" w:rsidRPr="00151C7A" w:rsidRDefault="004A6279" w:rsidP="004A6279">
      <w:pPr>
        <w:rPr>
          <w:b/>
          <w:bCs/>
          <w:i/>
          <w:iCs/>
        </w:rPr>
      </w:pPr>
      <w:r w:rsidRPr="00151C7A">
        <w:rPr>
          <w:b/>
          <w:bCs/>
          <w:i/>
          <w:iCs/>
        </w:rPr>
        <w:t>[Paragraph below only applies to States with mature SDA aspects of the SSPIA]</w:t>
      </w:r>
    </w:p>
    <w:p w14:paraId="398B9D48" w14:textId="77777777" w:rsidR="004A6279" w:rsidRPr="00151C7A" w:rsidRDefault="004A6279" w:rsidP="004A6279">
      <w:pPr>
        <w:spacing w:line="200" w:lineRule="exact"/>
        <w:rPr>
          <w:b/>
          <w:bCs/>
        </w:rPr>
      </w:pPr>
    </w:p>
    <w:p w14:paraId="3C1DB8FC" w14:textId="77777777" w:rsidR="004A6279" w:rsidRPr="00151C7A" w:rsidRDefault="004A6279" w:rsidP="004A6279">
      <w:r w:rsidRPr="00151C7A">
        <w:t xml:space="preserve">Through the safety data analysis (SDA) aspects of the State safety programme (SSP), as described in the ICAO SSP </w:t>
      </w:r>
      <w:r w:rsidRPr="00151C7A">
        <w:lastRenderedPageBreak/>
        <w:t>Implementation Assessment (SSPIA), [</w:t>
      </w:r>
      <w:r w:rsidRPr="00151C7A">
        <w:rPr>
          <w:shd w:val="pct15" w:color="auto" w:fill="FFFFFF"/>
        </w:rPr>
        <w:t>State</w:t>
      </w:r>
      <w:r w:rsidRPr="00151C7A">
        <w:t>] has the ability to use its hazard identification and safety risk management process as a source of safety intelligence to identify hazards and safety deficiencies</w:t>
      </w:r>
      <w:r>
        <w:t>,</w:t>
      </w:r>
      <w:r w:rsidRPr="00151C7A">
        <w:t xml:space="preserve"> and determine national operational safety risks and organizational challenges for inclusion in the NASP. The SSP provides safety information to the NASP. The SSP allows [</w:t>
      </w:r>
      <w:r w:rsidRPr="00151C7A">
        <w:rPr>
          <w:shd w:val="pct15" w:color="auto" w:fill="FFFFFF"/>
        </w:rPr>
        <w:t>State</w:t>
      </w:r>
      <w:r w:rsidRPr="00151C7A">
        <w:t>] to manage its aviation activities in a coherent and proactive manner, measure the safety performance of its civil aviation system, monitor the implementation of the NASP’s SEIs and address national safety issues. The NASP is one of the key documents produced as part of [</w:t>
      </w:r>
      <w:r w:rsidRPr="00151C7A">
        <w:rPr>
          <w:shd w:val="pct15" w:color="auto" w:fill="FFFFFF"/>
        </w:rPr>
        <w:t>State</w:t>
      </w:r>
      <w:r w:rsidRPr="00151C7A">
        <w:t>]’s SSP documentation. It is the means by which [</w:t>
      </w:r>
      <w:r w:rsidRPr="00151C7A">
        <w:rPr>
          <w:shd w:val="pct15" w:color="auto" w:fill="FFFFFF"/>
        </w:rPr>
        <w:t>State</w:t>
      </w:r>
      <w:r w:rsidRPr="00151C7A">
        <w:t xml:space="preserve">] defines and drives the implementation of SEIs determined through SSP processes and drawn from the ICAO </w:t>
      </w:r>
      <w:r w:rsidRPr="00151C7A">
        <w:rPr>
          <w:i/>
          <w:iCs/>
        </w:rPr>
        <w:t>Global Aviation Safety Roadmap</w:t>
      </w:r>
      <w:r w:rsidRPr="00151C7A">
        <w:t xml:space="preserve"> (Doc 10161) and the [</w:t>
      </w:r>
      <w:r w:rsidRPr="00151C7A">
        <w:rPr>
          <w:shd w:val="pct15" w:color="auto" w:fill="FFFFFF"/>
        </w:rPr>
        <w:t>name of the RASP</w:t>
      </w:r>
      <w:r w:rsidRPr="00151C7A">
        <w:t>]. It also allows [</w:t>
      </w:r>
      <w:r w:rsidRPr="00151C7A">
        <w:rPr>
          <w:shd w:val="pct15" w:color="auto" w:fill="FFFFFF"/>
        </w:rPr>
        <w:t>State</w:t>
      </w:r>
      <w:r w:rsidRPr="00151C7A">
        <w:t>] to determine initiatives to strengthen the SSP or otherwise needed to achieve its safety objectives. Safety intelligence gathered through the SSP also contributes to other national plans. Further information on [</w:t>
      </w:r>
      <w:r w:rsidRPr="00151C7A">
        <w:rPr>
          <w:shd w:val="pct15" w:color="auto" w:fill="FFFFFF"/>
        </w:rPr>
        <w:t>State</w:t>
      </w:r>
      <w:r w:rsidRPr="00151C7A">
        <w:t>]’s SSP can be found at [</w:t>
      </w:r>
      <w:r w:rsidRPr="00151C7A">
        <w:rPr>
          <w:shd w:val="pct15" w:color="auto" w:fill="FFFFFF"/>
        </w:rPr>
        <w:t>insert link to website</w:t>
      </w:r>
      <w:r w:rsidRPr="00151C7A">
        <w:t>].</w:t>
      </w:r>
    </w:p>
    <w:p w14:paraId="5B4E6F9D" w14:textId="77777777" w:rsidR="004A6279" w:rsidRPr="00151C7A" w:rsidRDefault="004A6279" w:rsidP="004A6279">
      <w:pPr>
        <w:spacing w:line="200" w:lineRule="exact"/>
      </w:pPr>
    </w:p>
    <w:p w14:paraId="6B1CD298" w14:textId="77777777" w:rsidR="004A6279" w:rsidRPr="00151C7A" w:rsidRDefault="004A6279" w:rsidP="004A6279">
      <w:pPr>
        <w:spacing w:line="200" w:lineRule="exact"/>
      </w:pPr>
    </w:p>
    <w:p w14:paraId="4BC7F506" w14:textId="77777777" w:rsidR="004A6279" w:rsidRPr="00151C7A" w:rsidRDefault="004A6279" w:rsidP="004A6279">
      <w:pPr>
        <w:pStyle w:val="BoldCentered"/>
      </w:pPr>
      <w:r w:rsidRPr="00151C7A">
        <w:t>1.4    Responsibility for the NASP development, implementation and monitoring</w:t>
      </w:r>
    </w:p>
    <w:p w14:paraId="510FBEEC" w14:textId="77777777" w:rsidR="004A6279" w:rsidRPr="00151C7A" w:rsidRDefault="004A6279" w:rsidP="004A6279">
      <w:pPr>
        <w:spacing w:line="200" w:lineRule="exact"/>
      </w:pPr>
    </w:p>
    <w:p w14:paraId="641C321C" w14:textId="77777777" w:rsidR="004A6279" w:rsidRPr="00151C7A" w:rsidRDefault="004A6279" w:rsidP="004A6279">
      <w:r w:rsidRPr="00151C7A">
        <w:t>The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CAA</w:t>
      </w:r>
      <w:r w:rsidRPr="00151C7A">
        <w:t>] is responsible for the development, implementation and monitoring of the NASP, in collaboration with [</w:t>
      </w:r>
      <w:r w:rsidRPr="00151C7A">
        <w:rPr>
          <w:shd w:val="pct15" w:color="auto" w:fill="FFFFFF"/>
        </w:rPr>
        <w:t>list names of entities</w:t>
      </w:r>
      <w:r w:rsidRPr="00151C7A">
        <w:t>] and with the national aviation industry. The NASP was developed in consultation with national operators and other key aviation stakeholders, and in alignment with the [</w:t>
      </w:r>
      <w:r w:rsidRPr="00151C7A">
        <w:rPr>
          <w:shd w:val="pct15" w:color="auto" w:fill="FFFFFF"/>
        </w:rPr>
        <w:t>current edition</w:t>
      </w:r>
      <w:r w:rsidRPr="00151C7A">
        <w:t>] of the GASP and the [</w:t>
      </w:r>
      <w:r w:rsidRPr="00151C7A">
        <w:rPr>
          <w:shd w:val="pct15" w:color="auto" w:fill="FFFFFF"/>
        </w:rPr>
        <w:t>name of the RASP</w:t>
      </w:r>
      <w:r w:rsidRPr="00151C7A">
        <w:t>].</w:t>
      </w:r>
    </w:p>
    <w:p w14:paraId="28BB35DD" w14:textId="77777777" w:rsidR="004A6279" w:rsidRPr="00151C7A" w:rsidRDefault="004A6279" w:rsidP="004A6279">
      <w:pPr>
        <w:spacing w:line="200" w:lineRule="exact"/>
      </w:pPr>
    </w:p>
    <w:p w14:paraId="310E2306" w14:textId="77777777" w:rsidR="004A6279" w:rsidRPr="00151C7A" w:rsidRDefault="004A6279" w:rsidP="004A6279">
      <w:pPr>
        <w:spacing w:line="200" w:lineRule="exact"/>
      </w:pPr>
    </w:p>
    <w:p w14:paraId="06625874" w14:textId="77777777" w:rsidR="004A6279" w:rsidRPr="00151C7A" w:rsidRDefault="004A6279" w:rsidP="004A6279">
      <w:pPr>
        <w:pStyle w:val="BoldCentered"/>
      </w:pPr>
      <w:r w:rsidRPr="00151C7A">
        <w:t>1.5    National safety issues, goals and targets</w:t>
      </w:r>
    </w:p>
    <w:p w14:paraId="05E80142" w14:textId="77777777" w:rsidR="004A6279" w:rsidRPr="00151C7A" w:rsidRDefault="004A6279" w:rsidP="004A6279">
      <w:pPr>
        <w:spacing w:line="220" w:lineRule="exact"/>
      </w:pPr>
    </w:p>
    <w:p w14:paraId="3084ED69" w14:textId="77777777" w:rsidR="004A6279" w:rsidRPr="00151C7A" w:rsidRDefault="004A6279" w:rsidP="004A6279">
      <w:r w:rsidRPr="00151C7A">
        <w:t>The NASP addresses the following national safety issues:</w:t>
      </w:r>
    </w:p>
    <w:p w14:paraId="7694A3F7" w14:textId="77777777" w:rsidR="004A6279" w:rsidRPr="00151C7A" w:rsidRDefault="004A6279" w:rsidP="004A6279">
      <w:pPr>
        <w:pStyle w:val="Indent-a"/>
        <w:spacing w:line="220" w:lineRule="exact"/>
      </w:pPr>
    </w:p>
    <w:p w14:paraId="3F633E3B" w14:textId="77777777" w:rsidR="004A6279" w:rsidRPr="00151C7A" w:rsidRDefault="004A6279" w:rsidP="004A6279">
      <w:pPr>
        <w:pStyle w:val="Indent-a"/>
      </w:pPr>
      <w:r w:rsidRPr="00151C7A">
        <w:tab/>
        <w:t>1)</w:t>
      </w:r>
      <w:r w:rsidRPr="00151C7A">
        <w:tab/>
        <w:t>[</w:t>
      </w:r>
      <w:r w:rsidRPr="00151C7A">
        <w:rPr>
          <w:shd w:val="pct15" w:color="auto" w:fill="FFFFFF"/>
        </w:rPr>
        <w:t xml:space="preserve">list operational safety risks and organizational challenges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Pr>
          <w:i/>
          <w:iCs/>
          <w:shd w:val="pct15" w:color="auto" w:fill="FFFFFF"/>
        </w:rPr>
        <w:t>LOC-I</w:t>
      </w:r>
      <w:r w:rsidRPr="00151C7A">
        <w:rPr>
          <w:i/>
          <w:iCs/>
          <w:shd w:val="pct15" w:color="auto" w:fill="FFFFFF"/>
        </w:rPr>
        <w:t xml:space="preserve"> occurrences, the lack of aircraft accident and incident investigation capabilities at the national level</w:t>
      </w:r>
      <w:r w:rsidRPr="00151C7A">
        <w:t>];</w:t>
      </w:r>
    </w:p>
    <w:p w14:paraId="5D572EE1" w14:textId="77777777" w:rsidR="004A6279" w:rsidRPr="00151C7A" w:rsidRDefault="004A6279" w:rsidP="004A6279">
      <w:pPr>
        <w:pStyle w:val="Indent-a"/>
        <w:spacing w:line="220" w:lineRule="exact"/>
      </w:pPr>
    </w:p>
    <w:p w14:paraId="74AE5895"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5F894D14" w14:textId="77777777" w:rsidR="004A6279" w:rsidRPr="00151C7A" w:rsidRDefault="004A6279" w:rsidP="004A6279">
      <w:pPr>
        <w:pStyle w:val="Indent-a"/>
        <w:spacing w:line="220" w:lineRule="exact"/>
      </w:pPr>
    </w:p>
    <w:p w14:paraId="315EE955"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212A3F64" w14:textId="77777777" w:rsidR="004A6279" w:rsidRPr="00151C7A" w:rsidRDefault="004A6279" w:rsidP="004A6279">
      <w:pPr>
        <w:spacing w:line="220" w:lineRule="exact"/>
      </w:pPr>
    </w:p>
    <w:p w14:paraId="6CCEAD2D" w14:textId="77777777" w:rsidR="004A6279" w:rsidRPr="00151C7A" w:rsidRDefault="004A6279" w:rsidP="004A6279">
      <w:r w:rsidRPr="00151C7A">
        <w:t>To address the issues listed above and enhance aviation safety at the national level, the [</w:t>
      </w:r>
      <w:r w:rsidRPr="00151C7A">
        <w:rPr>
          <w:shd w:val="pct15" w:color="auto" w:fill="FFFFFF"/>
          <w:lang w:eastAsia="en-US"/>
        </w:rPr>
        <w:t>date interval</w:t>
      </w:r>
      <w:r w:rsidRPr="00151C7A">
        <w:t>] NASP contains the following goals and targets:</w:t>
      </w:r>
    </w:p>
    <w:p w14:paraId="4FD68CFC" w14:textId="77777777" w:rsidR="004A6279" w:rsidRPr="00151C7A" w:rsidRDefault="004A6279" w:rsidP="004A6279">
      <w:pPr>
        <w:pStyle w:val="Indent-a"/>
        <w:spacing w:line="220" w:lineRule="exact"/>
      </w:pPr>
    </w:p>
    <w:p w14:paraId="74EB8047" w14:textId="77777777" w:rsidR="004A6279" w:rsidRPr="00151C7A" w:rsidRDefault="004A6279" w:rsidP="004A6279">
      <w:pPr>
        <w:pStyle w:val="Indent-a"/>
      </w:pPr>
      <w:r w:rsidRPr="00151C7A">
        <w:tab/>
        <w:t>1)</w:t>
      </w:r>
      <w:r w:rsidRPr="00151C7A">
        <w:tab/>
        <w:t>[</w:t>
      </w:r>
      <w:r w:rsidRPr="00151C7A">
        <w:rPr>
          <w:shd w:val="pct15" w:color="auto" w:fill="FFFFFF"/>
        </w:rPr>
        <w:t xml:space="preserve">list goals and targets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Goal 1: Achieve a continuous reduction of operational safety risks and</w:t>
      </w:r>
      <w:r w:rsidRPr="00151C7A">
        <w:rPr>
          <w:shd w:val="pct15" w:color="auto" w:fill="FFFFFF"/>
        </w:rPr>
        <w:t xml:space="preserve"> </w:t>
      </w:r>
      <w:r w:rsidRPr="00151C7A">
        <w:rPr>
          <w:i/>
          <w:iCs/>
          <w:shd w:val="pct15" w:color="auto" w:fill="FFFFFF"/>
        </w:rPr>
        <w:t>Target 1.1: Maintain a decreasing trend of the national accident rate</w:t>
      </w:r>
      <w:r w:rsidRPr="00151C7A">
        <w:t>];</w:t>
      </w:r>
    </w:p>
    <w:p w14:paraId="09A510BE" w14:textId="77777777" w:rsidR="004A6279" w:rsidRPr="00151C7A" w:rsidRDefault="004A6279" w:rsidP="004A6279">
      <w:pPr>
        <w:pStyle w:val="Indent-a"/>
        <w:spacing w:line="220" w:lineRule="exact"/>
      </w:pPr>
    </w:p>
    <w:p w14:paraId="1C8000B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75A784ED" w14:textId="77777777" w:rsidR="004A6279" w:rsidRPr="00151C7A" w:rsidRDefault="004A6279" w:rsidP="004A6279">
      <w:pPr>
        <w:pStyle w:val="Indent-a"/>
        <w:spacing w:line="220" w:lineRule="exact"/>
      </w:pPr>
    </w:p>
    <w:p w14:paraId="36A37740"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3822B588" w14:textId="77777777" w:rsidR="004A6279" w:rsidRPr="00151C7A" w:rsidRDefault="004A6279" w:rsidP="004A6279">
      <w:pPr>
        <w:spacing w:line="220" w:lineRule="exact"/>
      </w:pPr>
    </w:p>
    <w:p w14:paraId="269AEFBC" w14:textId="77777777" w:rsidR="004A6279" w:rsidRPr="00151C7A" w:rsidRDefault="004A6279" w:rsidP="004A6279">
      <w:pPr>
        <w:spacing w:line="220" w:lineRule="exact"/>
      </w:pPr>
    </w:p>
    <w:p w14:paraId="20EBC428" w14:textId="77777777" w:rsidR="004A6279" w:rsidRPr="00151C7A" w:rsidRDefault="004A6279" w:rsidP="004A6279">
      <w:pPr>
        <w:pStyle w:val="BoldCentered"/>
      </w:pPr>
      <w:r w:rsidRPr="00151C7A">
        <w:t>1.6    Operational Context</w:t>
      </w:r>
    </w:p>
    <w:p w14:paraId="0FD1099A" w14:textId="77777777" w:rsidR="004A6279" w:rsidRPr="00151C7A" w:rsidRDefault="004A6279" w:rsidP="004A6279">
      <w:pPr>
        <w:spacing w:line="220" w:lineRule="exact"/>
      </w:pPr>
    </w:p>
    <w:p w14:paraId="616A0EF8" w14:textId="77777777" w:rsidR="004A6279" w:rsidRPr="00151C7A" w:rsidRDefault="004A6279" w:rsidP="004A6279">
      <w:r w:rsidRPr="00151C7A">
        <w:t>There are [</w:t>
      </w:r>
      <w:r w:rsidRPr="00151C7A">
        <w:rPr>
          <w:shd w:val="pct15" w:color="auto" w:fill="FFFFFF"/>
        </w:rPr>
        <w:t>number</w:t>
      </w:r>
      <w:r w:rsidRPr="00151C7A">
        <w:t>] certified aerodromes in [</w:t>
      </w:r>
      <w:r w:rsidRPr="00151C7A">
        <w:rPr>
          <w:shd w:val="pct15" w:color="auto" w:fill="FFFFFF"/>
        </w:rPr>
        <w:t>State</w:t>
      </w:r>
      <w:r w:rsidRPr="00151C7A">
        <w:t>], including [</w:t>
      </w:r>
      <w:r w:rsidRPr="00151C7A">
        <w:rPr>
          <w:shd w:val="pct15" w:color="auto" w:fill="FFFFFF"/>
        </w:rPr>
        <w:t>number</w:t>
      </w:r>
      <w:r w:rsidRPr="00151C7A">
        <w:t>] international aerodromes. The airspace of [</w:t>
      </w:r>
      <w:r w:rsidRPr="00151C7A">
        <w:rPr>
          <w:shd w:val="pct15" w:color="auto" w:fill="FFFFFF"/>
        </w:rPr>
        <w:t>State</w:t>
      </w:r>
      <w:r w:rsidRPr="00151C7A">
        <w:t>] is classified into Class [</w:t>
      </w:r>
      <w:r w:rsidRPr="00151C7A">
        <w:rPr>
          <w:shd w:val="pct15" w:color="auto" w:fill="FFFFFF"/>
        </w:rPr>
        <w:t>list all airspace classes</w:t>
      </w:r>
      <w:r w:rsidRPr="00151C7A">
        <w:t>]. There were [</w:t>
      </w:r>
      <w:r w:rsidRPr="00151C7A">
        <w:rPr>
          <w:shd w:val="pct15" w:color="auto" w:fill="FFFFFF"/>
        </w:rPr>
        <w:t>number</w:t>
      </w:r>
      <w:r w:rsidRPr="00151C7A">
        <w:t>] movements in [</w:t>
      </w:r>
      <w:r w:rsidRPr="00151C7A">
        <w:rPr>
          <w:shd w:val="pct15" w:color="auto" w:fill="FFFFFF"/>
        </w:rPr>
        <w:t>State</w:t>
      </w:r>
      <w:r w:rsidRPr="00151C7A">
        <w:t>] over the period of [</w:t>
      </w:r>
      <w:r w:rsidRPr="00151C7A">
        <w:rPr>
          <w:shd w:val="pct15" w:color="auto" w:fill="FFFFFF"/>
        </w:rPr>
        <w:t>year</w:t>
      </w:r>
      <w:r w:rsidRPr="00151C7A">
        <w:t>] to [</w:t>
      </w:r>
      <w:r w:rsidRPr="00151C7A">
        <w:rPr>
          <w:shd w:val="pct15" w:color="auto" w:fill="FFFFFF"/>
        </w:rPr>
        <w:t>year</w:t>
      </w:r>
      <w:r w:rsidRPr="00151C7A">
        <w:t>]. There are currently [</w:t>
      </w:r>
      <w:r w:rsidRPr="00151C7A">
        <w:rPr>
          <w:shd w:val="pct15" w:color="auto" w:fill="FFFFFF"/>
        </w:rPr>
        <w:t>number</w:t>
      </w:r>
      <w:r w:rsidRPr="00151C7A">
        <w:t>] air operator certificates (AOCs) issued by [</w:t>
      </w:r>
      <w:r w:rsidRPr="00151C7A">
        <w:rPr>
          <w:shd w:val="pct15" w:color="auto" w:fill="FFFFFF"/>
        </w:rPr>
        <w:t>State</w:t>
      </w:r>
      <w:r w:rsidRPr="00151C7A">
        <w:t>], and of those there are [</w:t>
      </w:r>
      <w:r w:rsidRPr="00151C7A">
        <w:rPr>
          <w:shd w:val="pct15" w:color="auto" w:fill="FFFFFF"/>
        </w:rPr>
        <w:t>number</w:t>
      </w:r>
      <w:r w:rsidRPr="00151C7A">
        <w:t>] issued to operators conducting international commercial air transport operations. [</w:t>
      </w:r>
      <w:r w:rsidRPr="00151C7A">
        <w:rPr>
          <w:shd w:val="pct15" w:color="auto" w:fill="FFFFFF"/>
        </w:rPr>
        <w:t>State</w:t>
      </w:r>
      <w:r w:rsidRPr="00151C7A">
        <w:t>] also has [</w:t>
      </w:r>
      <w:r w:rsidRPr="00151C7A">
        <w:rPr>
          <w:shd w:val="pct15" w:color="auto" w:fill="FFFFFF"/>
        </w:rPr>
        <w:t>number</w:t>
      </w:r>
      <w:r w:rsidRPr="00151C7A">
        <w:t>] operators, which operate domestic air taxi services, primarily on turboprop aircraft, as well as [</w:t>
      </w:r>
      <w:r w:rsidRPr="00151C7A">
        <w:rPr>
          <w:shd w:val="pct15" w:color="auto" w:fill="FFFFFF"/>
        </w:rPr>
        <w:t>number</w:t>
      </w:r>
      <w:r w:rsidRPr="00151C7A">
        <w:t>] helicopter operators. There are [</w:t>
      </w:r>
      <w:r w:rsidRPr="00151C7A">
        <w:rPr>
          <w:shd w:val="pct15" w:color="auto" w:fill="FFFFFF"/>
        </w:rPr>
        <w:t>number</w:t>
      </w:r>
      <w:r w:rsidRPr="00151C7A">
        <w:t>] heliports in [</w:t>
      </w:r>
      <w:r w:rsidRPr="00151C7A">
        <w:rPr>
          <w:shd w:val="pct15" w:color="auto" w:fill="FFFFFF"/>
        </w:rPr>
        <w:t>State</w:t>
      </w:r>
      <w:r w:rsidRPr="00151C7A">
        <w:t>]. Common hazards and safety deficiencies in [</w:t>
      </w:r>
      <w:r w:rsidRPr="00151C7A">
        <w:rPr>
          <w:shd w:val="pct15" w:color="auto" w:fill="FFFFFF"/>
        </w:rPr>
        <w:t>State</w:t>
      </w:r>
      <w:r w:rsidRPr="00151C7A">
        <w:t>] include: [</w:t>
      </w:r>
      <w:r w:rsidRPr="00151C7A">
        <w:rPr>
          <w:shd w:val="pct15" w:color="auto" w:fill="FFFFFF"/>
        </w:rPr>
        <w:t xml:space="preserve">list hazards and safety deficiencies </w:t>
      </w:r>
      <w:r w:rsidRPr="00151C7A">
        <w:rPr>
          <w:rFonts w:cs="Arial"/>
          <w:szCs w:val="18"/>
          <w:shd w:val="pct15" w:color="auto" w:fill="FFFFFF"/>
        </w:rPr>
        <w:t xml:space="preserve">— </w:t>
      </w:r>
      <w:r w:rsidRPr="00151C7A">
        <w:rPr>
          <w:rFonts w:cs="Arial"/>
          <w:i/>
          <w:iCs/>
          <w:szCs w:val="18"/>
          <w:shd w:val="pct15" w:color="auto" w:fill="FFFFFF"/>
        </w:rPr>
        <w:t>Example</w:t>
      </w:r>
      <w:r>
        <w:rPr>
          <w:rFonts w:cs="Arial"/>
          <w:i/>
          <w:iCs/>
          <w:szCs w:val="18"/>
          <w:shd w:val="pct15" w:color="auto" w:fill="FFFFFF"/>
        </w:rPr>
        <w:t>,</w:t>
      </w:r>
      <w:r w:rsidRPr="00151C7A" w:rsidDel="004718BD">
        <w:rPr>
          <w:shd w:val="pct15" w:color="auto" w:fill="FFFFFF"/>
        </w:rPr>
        <w:t xml:space="preserve"> </w:t>
      </w:r>
      <w:r>
        <w:rPr>
          <w:shd w:val="pct15" w:color="auto" w:fill="FFFFFF"/>
        </w:rPr>
        <w:t>t</w:t>
      </w:r>
      <w:r w:rsidRPr="00151C7A">
        <w:rPr>
          <w:i/>
          <w:iCs/>
          <w:shd w:val="pct15" w:color="auto" w:fill="FFFFFF"/>
        </w:rPr>
        <w:t>opography, meteorology, infrastructure, and socio-political issues</w:t>
      </w:r>
      <w:r w:rsidRPr="00151C7A">
        <w:t>].</w:t>
      </w:r>
    </w:p>
    <w:p w14:paraId="3CCD1882" w14:textId="77777777" w:rsidR="004A6279" w:rsidRDefault="004A6279">
      <w:pPr>
        <w:widowControl/>
        <w:tabs>
          <w:tab w:val="clear" w:pos="1080"/>
          <w:tab w:val="clear" w:pos="1440"/>
          <w:tab w:val="clear" w:pos="1800"/>
          <w:tab w:val="clear" w:pos="2160"/>
        </w:tabs>
        <w:rPr>
          <w:b/>
          <w:caps/>
        </w:rPr>
      </w:pPr>
      <w:bookmarkStart w:id="2" w:name="_Toc41037092"/>
      <w:r>
        <w:br w:type="page"/>
      </w:r>
    </w:p>
    <w:p w14:paraId="233219F5" w14:textId="77777777" w:rsidR="004A6279" w:rsidRPr="00151C7A" w:rsidRDefault="004A6279" w:rsidP="004A6279">
      <w:pPr>
        <w:pStyle w:val="BOLDCAPSCENTERED"/>
      </w:pPr>
      <w:r w:rsidRPr="00151C7A">
        <w:lastRenderedPageBreak/>
        <w:t>SECTION 2.    PURPOSE OF [</w:t>
      </w:r>
      <w:r w:rsidRPr="00151C7A">
        <w:rPr>
          <w:shd w:val="pct15" w:color="auto" w:fill="FFFFFF"/>
        </w:rPr>
        <w:t>STATE</w:t>
      </w:r>
      <w:r w:rsidRPr="00151C7A">
        <w:t>]’S NATIONAL AVIATION SAFETY PLAN</w:t>
      </w:r>
      <w:bookmarkEnd w:id="2"/>
    </w:p>
    <w:p w14:paraId="541A809A" w14:textId="77777777" w:rsidR="004A6279" w:rsidRPr="00151C7A" w:rsidRDefault="004A6279" w:rsidP="004A6279"/>
    <w:p w14:paraId="17C4816B" w14:textId="77777777" w:rsidR="004A6279" w:rsidRPr="00151C7A" w:rsidRDefault="004A6279" w:rsidP="004A6279">
      <w:r w:rsidRPr="00151C7A">
        <w:t>The NASP is the master planning document containing the strategic direction of [</w:t>
      </w:r>
      <w:r w:rsidRPr="00151C7A">
        <w:rPr>
          <w:shd w:val="pct15" w:color="auto" w:fill="FFFFFF"/>
        </w:rPr>
        <w:t>State</w:t>
      </w:r>
      <w:r w:rsidRPr="00151C7A">
        <w:t>] for the management of aviation safety for a period of [</w:t>
      </w:r>
      <w:r w:rsidRPr="00151C7A">
        <w:rPr>
          <w:shd w:val="pct15" w:color="auto" w:fill="FFFFFF"/>
        </w:rPr>
        <w:t>number</w:t>
      </w:r>
      <w:r w:rsidRPr="00151C7A">
        <w:t>] years ([</w:t>
      </w:r>
      <w:r w:rsidRPr="00151C7A">
        <w:rPr>
          <w:shd w:val="pct15" w:color="auto" w:fill="FFFFFF"/>
        </w:rPr>
        <w:t>year</w:t>
      </w:r>
      <w:r w:rsidRPr="00151C7A">
        <w:t>] to [</w:t>
      </w:r>
      <w:r w:rsidRPr="00151C7A">
        <w:rPr>
          <w:shd w:val="pct15" w:color="auto" w:fill="FFFFFF"/>
        </w:rPr>
        <w:t>year</w:t>
      </w:r>
      <w:r w:rsidRPr="00151C7A">
        <w:t>]). This plan lists national safety issues, sets national safety goals and targets, and presents a series of safety enhancement initiatives (SEIs) to achieve those goals.</w:t>
      </w:r>
    </w:p>
    <w:p w14:paraId="68A5A7CE" w14:textId="77777777" w:rsidR="004A6279" w:rsidRPr="00151C7A" w:rsidRDefault="004A6279" w:rsidP="004A6279"/>
    <w:p w14:paraId="3623840B" w14:textId="77777777" w:rsidR="004A6279" w:rsidRPr="00151C7A" w:rsidRDefault="004A6279" w:rsidP="004A6279">
      <w:pPr>
        <w:pStyle w:val="CommentText"/>
        <w:rPr>
          <w:sz w:val="18"/>
          <w:szCs w:val="18"/>
        </w:rPr>
      </w:pPr>
      <w:r w:rsidRPr="00151C7A">
        <w:rPr>
          <w:sz w:val="18"/>
          <w:szCs w:val="18"/>
        </w:rPr>
        <w:t>Other national plans were considered in the development of the NASP, including the following: [</w:t>
      </w:r>
      <w:r w:rsidRPr="00151C7A">
        <w:rPr>
          <w:sz w:val="18"/>
          <w:szCs w:val="18"/>
          <w:shd w:val="pct15" w:color="auto" w:fill="FFFFFF"/>
        </w:rPr>
        <w:t>name of plans, where applicable</w:t>
      </w:r>
      <w:r w:rsidRPr="00151C7A">
        <w:rPr>
          <w:sz w:val="18"/>
          <w:szCs w:val="18"/>
        </w:rPr>
        <w:t xml:space="preserve">]. </w:t>
      </w:r>
    </w:p>
    <w:p w14:paraId="0B8D7DA7" w14:textId="77777777" w:rsidR="004A6279" w:rsidRPr="00151C7A" w:rsidRDefault="004A6279" w:rsidP="004A6279">
      <w:pPr>
        <w:rPr>
          <w:szCs w:val="18"/>
        </w:rPr>
      </w:pPr>
    </w:p>
    <w:p w14:paraId="4E1A3979" w14:textId="77777777" w:rsidR="004A6279" w:rsidRPr="00151C7A" w:rsidRDefault="004A6279" w:rsidP="004A6279">
      <w:r w:rsidRPr="00151C7A">
        <w:t>The NASP has been developed using the safety goals and targets and high-risk categories of occurrences (HRCs) from both the GASP (</w:t>
      </w:r>
      <w:hyperlink r:id="rId13" w:history="1">
        <w:r w:rsidRPr="00151C7A">
          <w:rPr>
            <w:rStyle w:val="Hyperlink"/>
          </w:rPr>
          <w:t>www.icao.int/gasp</w:t>
        </w:r>
      </w:hyperlink>
      <w:r w:rsidRPr="00151C7A">
        <w:t>) and the [</w:t>
      </w:r>
      <w:r w:rsidRPr="00151C7A">
        <w:rPr>
          <w:shd w:val="pct15" w:color="auto" w:fill="FFFFFF"/>
        </w:rPr>
        <w:t>name of the RASP</w:t>
      </w:r>
      <w:r w:rsidRPr="00151C7A">
        <w:t>]. These are highlighted in the text, where applicable. The SEIs listed in the NASP support the improvement of safety at the wider regional and international levels. The NASP includes several actions to address specific safety issues and recommended SEIs for individual States set out in the [</w:t>
      </w:r>
      <w:r w:rsidRPr="00151C7A">
        <w:rPr>
          <w:shd w:val="pct15" w:color="auto" w:fill="FFFFFF"/>
        </w:rPr>
        <w:t>name of the RASP (insert link to website, if available)</w:t>
      </w:r>
      <w:r w:rsidRPr="00151C7A">
        <w:t>]. [</w:t>
      </w:r>
      <w:r w:rsidRPr="00151C7A">
        <w:rPr>
          <w:shd w:val="pct15" w:color="auto" w:fill="FFFFFF"/>
        </w:rPr>
        <w:t>State</w:t>
      </w:r>
      <w:r w:rsidRPr="00151C7A">
        <w:t>] has adopted these SEIs and has included them in this plan. Cross-references are provided to the [</w:t>
      </w:r>
      <w:r w:rsidRPr="00151C7A">
        <w:rPr>
          <w:shd w:val="pct15" w:color="auto" w:fill="FFFFFF"/>
        </w:rPr>
        <w:t>name of the RASP</w:t>
      </w:r>
      <w:r w:rsidRPr="00151C7A">
        <w:t>] for individual SEIs where relevant.</w:t>
      </w:r>
    </w:p>
    <w:p w14:paraId="5F1BAD93" w14:textId="77777777" w:rsidR="004A6279" w:rsidRDefault="004A6279" w:rsidP="004A6279"/>
    <w:p w14:paraId="43DEB958" w14:textId="77777777" w:rsidR="004A6279" w:rsidRDefault="004A6279" w:rsidP="004A6279"/>
    <w:p w14:paraId="52792FBF" w14:textId="77777777" w:rsidR="004A6279" w:rsidRPr="00151C7A" w:rsidRDefault="004A6279" w:rsidP="004A6279"/>
    <w:p w14:paraId="0E2996DE" w14:textId="77777777" w:rsidR="004A6279" w:rsidRPr="00151C7A" w:rsidRDefault="004A6279" w:rsidP="004A6279">
      <w:pPr>
        <w:pStyle w:val="BOLDCAPSCENTERED"/>
      </w:pPr>
      <w:bookmarkStart w:id="3" w:name="_Toc41037093"/>
      <w:r w:rsidRPr="00151C7A">
        <w:t>SECTION 3.    [</w:t>
      </w:r>
      <w:r w:rsidRPr="00151C7A">
        <w:rPr>
          <w:shd w:val="pct15" w:color="auto" w:fill="FFFFFF"/>
        </w:rPr>
        <w:t>STATE</w:t>
      </w:r>
      <w:r w:rsidRPr="00151C7A">
        <w:t>]’S STRATEGIC DIRECTION for the MANAGement of AVIATION SAFETY</w:t>
      </w:r>
      <w:bookmarkEnd w:id="3"/>
    </w:p>
    <w:p w14:paraId="6C8D8C60" w14:textId="77777777" w:rsidR="004A6279" w:rsidRPr="00151C7A" w:rsidRDefault="004A6279" w:rsidP="004A6279"/>
    <w:p w14:paraId="0D4F34E4" w14:textId="77777777" w:rsidR="004A6279" w:rsidRPr="00151C7A" w:rsidRDefault="004A6279" w:rsidP="004A6279">
      <w:pPr>
        <w:rPr>
          <w:b/>
          <w:bCs/>
          <w:i/>
          <w:iCs/>
        </w:rPr>
      </w:pPr>
      <w:r w:rsidRPr="00151C7A">
        <w:rPr>
          <w:b/>
          <w:bCs/>
          <w:i/>
          <w:iCs/>
        </w:rPr>
        <w:t>[Paragraph below only applies to States without mature SDA aspects of the SSPIA]</w:t>
      </w:r>
    </w:p>
    <w:p w14:paraId="32ACC59A" w14:textId="77777777" w:rsidR="004A6279" w:rsidRPr="00151C7A" w:rsidRDefault="004A6279" w:rsidP="004A6279"/>
    <w:p w14:paraId="29257652" w14:textId="77777777" w:rsidR="004A6279" w:rsidRPr="00151C7A" w:rsidRDefault="004A6279" w:rsidP="004A6279">
      <w:r w:rsidRPr="00151C7A">
        <w:t xml:space="preserve">The NASP presents the SEIs that were developed based on the </w:t>
      </w:r>
      <w:r w:rsidRPr="00831EB0">
        <w:t>organizational challenges</w:t>
      </w:r>
      <w:r w:rsidRPr="00151C7A">
        <w:t xml:space="preserve"> (ORG) and </w:t>
      </w:r>
      <w:r w:rsidRPr="00831EB0">
        <w:t>operational safety risks</w:t>
      </w:r>
      <w:r w:rsidRPr="00151C7A">
        <w:t xml:space="preserve"> (OPS)</w:t>
      </w:r>
      <w:r>
        <w:t xml:space="preserve"> r</w:t>
      </w:r>
      <w:r w:rsidRPr="00151C7A">
        <w:t xml:space="preserve">oadmaps, as presented in the ICAO </w:t>
      </w:r>
      <w:r w:rsidRPr="00151C7A">
        <w:rPr>
          <w:i/>
          <w:iCs/>
        </w:rPr>
        <w:t>Global Aviation Safety Roadmap</w:t>
      </w:r>
      <w:r w:rsidRPr="00151C7A">
        <w:t xml:space="preserve"> (Doc 10161), as well as State-specific issues identified by [</w:t>
      </w:r>
      <w:r w:rsidRPr="00151C7A">
        <w:rPr>
          <w:shd w:val="pct15" w:color="auto" w:fill="FFFFFF"/>
        </w:rPr>
        <w:t xml:space="preserve">list methods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sidRPr="00151C7A">
        <w:rPr>
          <w:i/>
          <w:iCs/>
          <w:shd w:val="pct15" w:color="auto" w:fill="FFFFFF"/>
        </w:rPr>
        <w:t>legislation, directive, etc.</w:t>
      </w:r>
      <w:r w:rsidRPr="00151C7A">
        <w:t>]. This plan is developed and maintained by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CAA</w:t>
      </w:r>
      <w:r w:rsidRPr="00151C7A">
        <w:t>], in coordination with key aviation stakeholders and is updated at least every [</w:t>
      </w:r>
      <w:r w:rsidRPr="00151C7A">
        <w:rPr>
          <w:shd w:val="pct15" w:color="auto" w:fill="FFFFFF"/>
        </w:rPr>
        <w:t>number</w:t>
      </w:r>
      <w:r w:rsidRPr="00151C7A">
        <w:t>] years.</w:t>
      </w:r>
    </w:p>
    <w:p w14:paraId="1D38E54F" w14:textId="77777777" w:rsidR="004A6279" w:rsidRPr="00151C7A" w:rsidRDefault="004A6279" w:rsidP="004A6279"/>
    <w:p w14:paraId="2AC1C00C" w14:textId="77777777" w:rsidR="004A6279" w:rsidRPr="00151C7A" w:rsidRDefault="004A6279" w:rsidP="004A6279">
      <w:pPr>
        <w:jc w:val="center"/>
        <w:rPr>
          <w:i/>
          <w:iCs/>
        </w:rPr>
      </w:pPr>
      <w:r w:rsidRPr="00151C7A">
        <w:rPr>
          <w:i/>
          <w:iCs/>
        </w:rPr>
        <w:t>or</w:t>
      </w:r>
    </w:p>
    <w:p w14:paraId="65F1569C" w14:textId="77777777" w:rsidR="004A6279" w:rsidRPr="00151C7A" w:rsidRDefault="004A6279" w:rsidP="004A6279"/>
    <w:p w14:paraId="76949F19" w14:textId="77777777" w:rsidR="004A6279" w:rsidRPr="00151C7A" w:rsidRDefault="004A6279" w:rsidP="004A6279">
      <w:pPr>
        <w:rPr>
          <w:b/>
          <w:bCs/>
          <w:i/>
          <w:iCs/>
        </w:rPr>
      </w:pPr>
      <w:r w:rsidRPr="00151C7A">
        <w:rPr>
          <w:b/>
          <w:bCs/>
          <w:i/>
          <w:iCs/>
        </w:rPr>
        <w:t>[Paragraph below only applies to States with mature SDA aspects of the SSPIA]</w:t>
      </w:r>
    </w:p>
    <w:p w14:paraId="3EA868A9" w14:textId="77777777" w:rsidR="004A6279" w:rsidRPr="00151C7A" w:rsidRDefault="004A6279" w:rsidP="004A6279"/>
    <w:p w14:paraId="5DC3E87F" w14:textId="77777777" w:rsidR="004A6279" w:rsidRPr="00151C7A" w:rsidRDefault="004A6279" w:rsidP="004A6279">
      <w:r w:rsidRPr="00151C7A">
        <w:t>The NASP presents the SEIs mainly determined through SSP processes, including [</w:t>
      </w:r>
      <w:r w:rsidRPr="00151C7A">
        <w:rPr>
          <w:shd w:val="pct15" w:color="auto" w:fill="FFFFFF"/>
        </w:rPr>
        <w:t>State</w:t>
      </w:r>
      <w:r w:rsidRPr="00151C7A">
        <w:t>]’s hazard identification and safety risk management process and its SDCPS, as well as the work undertaken by service providers in the development and implementation of their safety management systems (SMS). This plan is developed and maintained by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CAA</w:t>
      </w:r>
      <w:r w:rsidRPr="00151C7A">
        <w:t>], in coordination with key aviation stakeholders and is updated at least every [</w:t>
      </w:r>
      <w:r w:rsidRPr="00151C7A">
        <w:rPr>
          <w:shd w:val="pct15" w:color="auto" w:fill="FFFFFF"/>
        </w:rPr>
        <w:t>number</w:t>
      </w:r>
      <w:r w:rsidRPr="00151C7A">
        <w:t>] years.</w:t>
      </w:r>
    </w:p>
    <w:p w14:paraId="3FBB2674" w14:textId="77777777" w:rsidR="004A6279" w:rsidRPr="00151C7A" w:rsidRDefault="004A6279" w:rsidP="004A6279"/>
    <w:p w14:paraId="09BF1393" w14:textId="77777777" w:rsidR="004A6279" w:rsidRPr="00151C7A" w:rsidRDefault="004A6279" w:rsidP="004A6279">
      <w:r w:rsidRPr="00151C7A">
        <w:t>The NASP includes the following national safety goals and targets, for the management of aviation safety, as well as a series of indicators to monitor the progress made towards their achievement. They are tied to the goals, targets and indicators listed in the GASP and the [</w:t>
      </w:r>
      <w:r w:rsidRPr="00151C7A">
        <w:rPr>
          <w:shd w:val="pct15" w:color="auto" w:fill="FFFFFF"/>
        </w:rPr>
        <w:t>name of the RASP</w:t>
      </w:r>
      <w:r w:rsidRPr="00151C7A">
        <w:t>] and include additional national safety goals, targets and indicators.</w:t>
      </w:r>
    </w:p>
    <w:p w14:paraId="025EA34E" w14:textId="77777777" w:rsidR="004A6279" w:rsidRDefault="004A6279" w:rsidP="004A6279">
      <w:pPr>
        <w:widowControl/>
        <w:tabs>
          <w:tab w:val="clear" w:pos="1080"/>
          <w:tab w:val="clear" w:pos="1440"/>
          <w:tab w:val="clear" w:pos="1800"/>
          <w:tab w:val="clear" w:pos="2160"/>
        </w:tabs>
        <w:spacing w:after="160" w:line="259" w:lineRule="auto"/>
        <w:jc w:val="left"/>
      </w:pPr>
      <w: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87"/>
        <w:gridCol w:w="2399"/>
        <w:gridCol w:w="2410"/>
        <w:gridCol w:w="2404"/>
      </w:tblGrid>
      <w:tr w:rsidR="004A6279" w:rsidRPr="00151C7A" w14:paraId="460520C6" w14:textId="77777777" w:rsidTr="006F4DEC">
        <w:trPr>
          <w:jc w:val="center"/>
        </w:trPr>
        <w:tc>
          <w:tcPr>
            <w:tcW w:w="2387" w:type="dxa"/>
            <w:shd w:val="clear" w:color="auto" w:fill="auto"/>
            <w:tcMar>
              <w:top w:w="120" w:type="dxa"/>
              <w:left w:w="120" w:type="dxa"/>
              <w:bottom w:w="120" w:type="dxa"/>
              <w:right w:w="120" w:type="dxa"/>
            </w:tcMar>
            <w:vAlign w:val="bottom"/>
            <w:hideMark/>
          </w:tcPr>
          <w:p w14:paraId="03ABA3F5" w14:textId="77777777" w:rsidR="004A6279" w:rsidRPr="00151C7A" w:rsidRDefault="004A6279" w:rsidP="006F4DEC">
            <w:pPr>
              <w:jc w:val="center"/>
              <w:rPr>
                <w:i/>
                <w:iCs/>
              </w:rPr>
            </w:pPr>
            <w:r w:rsidRPr="00151C7A">
              <w:rPr>
                <w:i/>
                <w:iCs/>
              </w:rPr>
              <w:lastRenderedPageBreak/>
              <w:t>Goal</w:t>
            </w:r>
          </w:p>
        </w:tc>
        <w:tc>
          <w:tcPr>
            <w:tcW w:w="2399" w:type="dxa"/>
            <w:shd w:val="clear" w:color="auto" w:fill="auto"/>
            <w:tcMar>
              <w:top w:w="120" w:type="dxa"/>
              <w:left w:w="120" w:type="dxa"/>
              <w:bottom w:w="120" w:type="dxa"/>
              <w:right w:w="120" w:type="dxa"/>
            </w:tcMar>
            <w:vAlign w:val="bottom"/>
            <w:hideMark/>
          </w:tcPr>
          <w:p w14:paraId="6ABD9F75" w14:textId="77777777" w:rsidR="004A6279" w:rsidRPr="00151C7A" w:rsidRDefault="004A6279" w:rsidP="006F4DEC">
            <w:pPr>
              <w:jc w:val="center"/>
              <w:rPr>
                <w:i/>
                <w:iCs/>
              </w:rPr>
            </w:pPr>
            <w:r w:rsidRPr="00151C7A">
              <w:rPr>
                <w:i/>
                <w:iCs/>
              </w:rPr>
              <w:t>Target</w:t>
            </w:r>
          </w:p>
        </w:tc>
        <w:tc>
          <w:tcPr>
            <w:tcW w:w="2410" w:type="dxa"/>
            <w:shd w:val="clear" w:color="auto" w:fill="auto"/>
            <w:tcMar>
              <w:top w:w="120" w:type="dxa"/>
              <w:left w:w="120" w:type="dxa"/>
              <w:bottom w:w="120" w:type="dxa"/>
              <w:right w:w="120" w:type="dxa"/>
            </w:tcMar>
            <w:vAlign w:val="bottom"/>
            <w:hideMark/>
          </w:tcPr>
          <w:p w14:paraId="079B37D8" w14:textId="77777777" w:rsidR="004A6279" w:rsidRPr="00151C7A" w:rsidRDefault="004A6279" w:rsidP="006F4DEC">
            <w:pPr>
              <w:jc w:val="center"/>
              <w:rPr>
                <w:i/>
                <w:iCs/>
              </w:rPr>
            </w:pPr>
            <w:r w:rsidRPr="00151C7A">
              <w:rPr>
                <w:i/>
                <w:iCs/>
              </w:rPr>
              <w:t>Indicators</w:t>
            </w:r>
          </w:p>
        </w:tc>
        <w:tc>
          <w:tcPr>
            <w:tcW w:w="2404" w:type="dxa"/>
            <w:shd w:val="clear" w:color="auto" w:fill="auto"/>
            <w:tcMar>
              <w:top w:w="120" w:type="dxa"/>
              <w:left w:w="120" w:type="dxa"/>
              <w:bottom w:w="120" w:type="dxa"/>
              <w:right w:w="120" w:type="dxa"/>
            </w:tcMar>
            <w:vAlign w:val="bottom"/>
            <w:hideMark/>
          </w:tcPr>
          <w:p w14:paraId="68BA16AF" w14:textId="77777777" w:rsidR="004A6279" w:rsidRPr="00151C7A" w:rsidRDefault="004A6279" w:rsidP="006F4DEC">
            <w:pPr>
              <w:jc w:val="center"/>
              <w:rPr>
                <w:i/>
                <w:iCs/>
              </w:rPr>
            </w:pPr>
            <w:r w:rsidRPr="00151C7A">
              <w:rPr>
                <w:i/>
                <w:iCs/>
              </w:rPr>
              <w:t>Link to GASP and RASP</w:t>
            </w:r>
          </w:p>
        </w:tc>
      </w:tr>
      <w:tr w:rsidR="004A6279" w:rsidRPr="00151C7A" w14:paraId="22C95FD5" w14:textId="77777777" w:rsidTr="006F4DEC">
        <w:trPr>
          <w:jc w:val="center"/>
        </w:trPr>
        <w:tc>
          <w:tcPr>
            <w:tcW w:w="2387" w:type="dxa"/>
            <w:shd w:val="clear" w:color="auto" w:fill="auto"/>
            <w:tcMar>
              <w:top w:w="120" w:type="dxa"/>
              <w:left w:w="120" w:type="dxa"/>
              <w:bottom w:w="120" w:type="dxa"/>
              <w:right w:w="120" w:type="dxa"/>
            </w:tcMar>
            <w:hideMark/>
          </w:tcPr>
          <w:p w14:paraId="4DC726AB" w14:textId="77777777" w:rsidR="004A6279" w:rsidRPr="00151C7A" w:rsidRDefault="004A6279" w:rsidP="006F4DEC">
            <w:pPr>
              <w:jc w:val="center"/>
            </w:pPr>
            <w:r w:rsidRPr="00151C7A">
              <w:t>[</w:t>
            </w:r>
            <w:r w:rsidRPr="00151C7A">
              <w:rPr>
                <w:shd w:val="pct15" w:color="auto" w:fill="FFFFFF"/>
              </w:rPr>
              <w:t>list goals</w:t>
            </w:r>
            <w:r w:rsidRPr="00151C7A">
              <w:t>]</w:t>
            </w:r>
          </w:p>
        </w:tc>
        <w:tc>
          <w:tcPr>
            <w:tcW w:w="2399" w:type="dxa"/>
            <w:shd w:val="clear" w:color="auto" w:fill="auto"/>
            <w:tcMar>
              <w:top w:w="120" w:type="dxa"/>
              <w:left w:w="120" w:type="dxa"/>
              <w:bottom w:w="120" w:type="dxa"/>
              <w:right w:w="120" w:type="dxa"/>
            </w:tcMar>
            <w:hideMark/>
          </w:tcPr>
          <w:p w14:paraId="6C2346AF" w14:textId="77777777" w:rsidR="004A6279" w:rsidRPr="00151C7A" w:rsidRDefault="004A6279" w:rsidP="006F4DEC">
            <w:pPr>
              <w:jc w:val="center"/>
            </w:pPr>
            <w:r w:rsidRPr="00151C7A">
              <w:t>[</w:t>
            </w:r>
            <w:r w:rsidRPr="00151C7A">
              <w:rPr>
                <w:shd w:val="pct15" w:color="auto" w:fill="FFFFFF"/>
              </w:rPr>
              <w:t>list targets</w:t>
            </w:r>
            <w:r w:rsidRPr="00151C7A">
              <w:t>]</w:t>
            </w:r>
          </w:p>
        </w:tc>
        <w:tc>
          <w:tcPr>
            <w:tcW w:w="2410" w:type="dxa"/>
            <w:shd w:val="clear" w:color="auto" w:fill="auto"/>
            <w:tcMar>
              <w:top w:w="120" w:type="dxa"/>
              <w:left w:w="120" w:type="dxa"/>
              <w:bottom w:w="120" w:type="dxa"/>
              <w:right w:w="120" w:type="dxa"/>
            </w:tcMar>
            <w:hideMark/>
          </w:tcPr>
          <w:p w14:paraId="205B9C3D" w14:textId="77777777" w:rsidR="004A6279" w:rsidRPr="00151C7A" w:rsidRDefault="004A6279" w:rsidP="006F4DEC">
            <w:pPr>
              <w:jc w:val="center"/>
            </w:pPr>
            <w:r w:rsidRPr="00151C7A">
              <w:t>[</w:t>
            </w:r>
            <w:r w:rsidRPr="00151C7A">
              <w:rPr>
                <w:shd w:val="pct15" w:color="auto" w:fill="FFFFFF"/>
              </w:rPr>
              <w:t>list indicators</w:t>
            </w:r>
            <w:r w:rsidRPr="00151C7A">
              <w:t>]</w:t>
            </w:r>
          </w:p>
        </w:tc>
        <w:tc>
          <w:tcPr>
            <w:tcW w:w="2404" w:type="dxa"/>
            <w:shd w:val="clear" w:color="auto" w:fill="auto"/>
            <w:tcMar>
              <w:top w:w="120" w:type="dxa"/>
              <w:left w:w="120" w:type="dxa"/>
              <w:bottom w:w="120" w:type="dxa"/>
              <w:right w:w="120" w:type="dxa"/>
            </w:tcMar>
            <w:hideMark/>
          </w:tcPr>
          <w:p w14:paraId="7585A2F4" w14:textId="77777777" w:rsidR="004A6279" w:rsidRPr="00151C7A" w:rsidRDefault="004A6279" w:rsidP="006F4DEC">
            <w:pPr>
              <w:jc w:val="center"/>
            </w:pPr>
            <w:r w:rsidRPr="00151C7A">
              <w:t>[</w:t>
            </w:r>
            <w:r w:rsidRPr="00151C7A">
              <w:rPr>
                <w:shd w:val="pct15" w:color="auto" w:fill="FFFFFF"/>
              </w:rPr>
              <w:t>describe link</w:t>
            </w:r>
            <w:r w:rsidRPr="00151C7A">
              <w:t>]</w:t>
            </w:r>
          </w:p>
        </w:tc>
      </w:tr>
      <w:tr w:rsidR="004A6279" w:rsidRPr="00151C7A" w14:paraId="34DD07DB" w14:textId="77777777" w:rsidTr="006F4DEC">
        <w:trPr>
          <w:jc w:val="center"/>
        </w:trPr>
        <w:tc>
          <w:tcPr>
            <w:tcW w:w="2387" w:type="dxa"/>
            <w:shd w:val="clear" w:color="auto" w:fill="auto"/>
            <w:tcMar>
              <w:top w:w="120" w:type="dxa"/>
              <w:left w:w="120" w:type="dxa"/>
              <w:bottom w:w="120" w:type="dxa"/>
              <w:right w:w="120" w:type="dxa"/>
            </w:tcMar>
            <w:hideMark/>
          </w:tcPr>
          <w:p w14:paraId="226E2527" w14:textId="77777777" w:rsidR="004A6279" w:rsidRPr="00151C7A" w:rsidRDefault="004A6279" w:rsidP="006F4DEC">
            <w:pPr>
              <w:jc w:val="left"/>
            </w:pPr>
            <w:r w:rsidRPr="00151C7A">
              <w:t>1.  </w:t>
            </w:r>
            <w:r w:rsidRPr="00151C7A">
              <w:rPr>
                <w:i/>
                <w:iCs/>
              </w:rPr>
              <w:t>Example,</w:t>
            </w:r>
            <w:r w:rsidRPr="00151C7A">
              <w:t xml:space="preserve"> </w:t>
            </w:r>
            <w:r w:rsidRPr="00151C7A">
              <w:rPr>
                <w:i/>
                <w:iCs/>
              </w:rPr>
              <w:t>Achieve a continuous reduction of operational safety risks</w:t>
            </w:r>
          </w:p>
        </w:tc>
        <w:tc>
          <w:tcPr>
            <w:tcW w:w="2399" w:type="dxa"/>
            <w:shd w:val="clear" w:color="auto" w:fill="auto"/>
            <w:tcMar>
              <w:top w:w="120" w:type="dxa"/>
              <w:left w:w="120" w:type="dxa"/>
              <w:bottom w:w="120" w:type="dxa"/>
              <w:right w:w="120" w:type="dxa"/>
            </w:tcMar>
          </w:tcPr>
          <w:p w14:paraId="76941A89" w14:textId="77777777" w:rsidR="004A6279" w:rsidRPr="00151C7A" w:rsidRDefault="004A6279" w:rsidP="006F4DEC">
            <w:pPr>
              <w:jc w:val="left"/>
              <w:rPr>
                <w:i/>
                <w:iCs/>
              </w:rPr>
            </w:pPr>
            <w:r w:rsidRPr="00151C7A">
              <w:t xml:space="preserve">1.1 </w:t>
            </w:r>
            <w:r w:rsidRPr="00151C7A">
              <w:rPr>
                <w:i/>
                <w:iCs/>
              </w:rPr>
              <w:t>Maintain a decreasing trend of the national accident rate.</w:t>
            </w:r>
          </w:p>
          <w:p w14:paraId="2ACB0404" w14:textId="77777777" w:rsidR="004A6279" w:rsidRPr="00151C7A" w:rsidRDefault="004A6279" w:rsidP="006F4DEC">
            <w:pPr>
              <w:jc w:val="left"/>
            </w:pPr>
          </w:p>
          <w:p w14:paraId="4965C5E0" w14:textId="77777777" w:rsidR="004A6279" w:rsidRPr="00151C7A" w:rsidRDefault="004A6279" w:rsidP="006F4DEC">
            <w:pPr>
              <w:jc w:val="left"/>
            </w:pPr>
            <w:r w:rsidRPr="00151C7A">
              <w:t>1.</w:t>
            </w:r>
            <w:r w:rsidRPr="00151C7A">
              <w:rPr>
                <w:i/>
                <w:iCs/>
              </w:rPr>
              <w:t xml:space="preserve"> n</w:t>
            </w:r>
          </w:p>
        </w:tc>
        <w:tc>
          <w:tcPr>
            <w:tcW w:w="2410" w:type="dxa"/>
            <w:shd w:val="clear" w:color="auto" w:fill="auto"/>
            <w:tcMar>
              <w:top w:w="120" w:type="dxa"/>
              <w:left w:w="120" w:type="dxa"/>
              <w:bottom w:w="120" w:type="dxa"/>
              <w:right w:w="120" w:type="dxa"/>
            </w:tcMar>
          </w:tcPr>
          <w:p w14:paraId="6064F398" w14:textId="77777777" w:rsidR="004A6279" w:rsidRPr="00151C7A" w:rsidRDefault="004A6279" w:rsidP="006F4DEC">
            <w:pPr>
              <w:jc w:val="left"/>
              <w:rPr>
                <w:i/>
                <w:iCs/>
              </w:rPr>
            </w:pPr>
            <w:r w:rsidRPr="00151C7A">
              <w:t>1.1.1  </w:t>
            </w:r>
            <w:r w:rsidRPr="00151C7A">
              <w:rPr>
                <w:i/>
                <w:iCs/>
              </w:rPr>
              <w:t>Number of accidents occurring in the State per 10 000 departures.</w:t>
            </w:r>
          </w:p>
          <w:p w14:paraId="1BE20A87" w14:textId="77777777" w:rsidR="004A6279" w:rsidRPr="00151C7A" w:rsidRDefault="004A6279" w:rsidP="006F4DEC">
            <w:pPr>
              <w:jc w:val="left"/>
              <w:rPr>
                <w:i/>
                <w:iCs/>
              </w:rPr>
            </w:pPr>
          </w:p>
          <w:p w14:paraId="49BA9DA2" w14:textId="77777777" w:rsidR="004A6279" w:rsidRPr="00151C7A" w:rsidRDefault="004A6279" w:rsidP="006F4DEC">
            <w:pPr>
              <w:jc w:val="left"/>
              <w:rPr>
                <w:i/>
                <w:iCs/>
              </w:rPr>
            </w:pPr>
            <w:r w:rsidRPr="00151C7A">
              <w:t>1.1.2  </w:t>
            </w:r>
            <w:r w:rsidRPr="00151C7A">
              <w:rPr>
                <w:i/>
                <w:iCs/>
              </w:rPr>
              <w:t>Number of accidents occurring in the State to aircraft over 5 700 kg involved in scheduled commercial operations.</w:t>
            </w:r>
          </w:p>
          <w:p w14:paraId="173E195C" w14:textId="77777777" w:rsidR="004A6279" w:rsidRPr="00151C7A" w:rsidRDefault="004A6279" w:rsidP="006F4DEC">
            <w:pPr>
              <w:jc w:val="left"/>
            </w:pPr>
          </w:p>
          <w:p w14:paraId="445F992A" w14:textId="77777777" w:rsidR="004A6279" w:rsidRPr="00151C7A" w:rsidRDefault="004A6279" w:rsidP="006F4DEC">
            <w:pPr>
              <w:jc w:val="left"/>
            </w:pPr>
            <w:r w:rsidRPr="00151C7A">
              <w:t>1.2.</w:t>
            </w:r>
            <w:r w:rsidRPr="00151C7A">
              <w:rPr>
                <w:i/>
                <w:iCs/>
              </w:rPr>
              <w:t xml:space="preserve"> n</w:t>
            </w:r>
          </w:p>
        </w:tc>
        <w:tc>
          <w:tcPr>
            <w:tcW w:w="2404" w:type="dxa"/>
            <w:shd w:val="clear" w:color="auto" w:fill="auto"/>
            <w:tcMar>
              <w:top w:w="120" w:type="dxa"/>
              <w:left w:w="120" w:type="dxa"/>
              <w:bottom w:w="120" w:type="dxa"/>
              <w:right w:w="120" w:type="dxa"/>
            </w:tcMar>
            <w:hideMark/>
          </w:tcPr>
          <w:p w14:paraId="2283C9AF" w14:textId="77777777" w:rsidR="004A6279" w:rsidRPr="00151C7A" w:rsidRDefault="004A6279" w:rsidP="006F4DEC">
            <w:pPr>
              <w:jc w:val="left"/>
              <w:rPr>
                <w:i/>
                <w:iCs/>
              </w:rPr>
            </w:pPr>
            <w:r w:rsidRPr="00151C7A">
              <w:rPr>
                <w:i/>
                <w:iCs/>
              </w:rPr>
              <w:t>This goal is directly linked to Goal 1 and Target 1.1 of the GASP and linked to Goal 1 and Target 1.1 of the RASP.</w:t>
            </w:r>
          </w:p>
        </w:tc>
      </w:tr>
      <w:tr w:rsidR="004A6279" w:rsidRPr="00151C7A" w14:paraId="16AA5167" w14:textId="77777777" w:rsidTr="006F4DEC">
        <w:trPr>
          <w:jc w:val="center"/>
        </w:trPr>
        <w:tc>
          <w:tcPr>
            <w:tcW w:w="2387" w:type="dxa"/>
            <w:shd w:val="clear" w:color="auto" w:fill="auto"/>
            <w:tcMar>
              <w:top w:w="120" w:type="dxa"/>
              <w:left w:w="120" w:type="dxa"/>
              <w:bottom w:w="120" w:type="dxa"/>
              <w:right w:w="120" w:type="dxa"/>
            </w:tcMar>
            <w:hideMark/>
          </w:tcPr>
          <w:p w14:paraId="1E8328C3" w14:textId="77777777" w:rsidR="004A6279" w:rsidRPr="00151C7A" w:rsidRDefault="004A6279" w:rsidP="006F4DEC">
            <w:pPr>
              <w:jc w:val="left"/>
            </w:pPr>
            <w:r w:rsidRPr="00151C7A">
              <w:t>2.  </w:t>
            </w:r>
            <w:r w:rsidRPr="00151C7A">
              <w:rPr>
                <w:i/>
                <w:iCs/>
              </w:rPr>
              <w:t>Example,</w:t>
            </w:r>
            <w:r w:rsidRPr="00151C7A">
              <w:t xml:space="preserve"> </w:t>
            </w:r>
            <w:r w:rsidRPr="00151C7A">
              <w:rPr>
                <w:i/>
                <w:iCs/>
              </w:rPr>
              <w:t>Strengthen the State’s safety oversight capabilities</w:t>
            </w:r>
          </w:p>
        </w:tc>
        <w:tc>
          <w:tcPr>
            <w:tcW w:w="2399" w:type="dxa"/>
            <w:shd w:val="clear" w:color="auto" w:fill="auto"/>
            <w:tcMar>
              <w:top w:w="120" w:type="dxa"/>
              <w:left w:w="120" w:type="dxa"/>
              <w:bottom w:w="120" w:type="dxa"/>
              <w:right w:w="120" w:type="dxa"/>
            </w:tcMar>
          </w:tcPr>
          <w:p w14:paraId="28BF9044" w14:textId="77777777" w:rsidR="004A6279" w:rsidRPr="00151C7A" w:rsidRDefault="004A6279" w:rsidP="006F4DEC">
            <w:pPr>
              <w:jc w:val="left"/>
              <w:rPr>
                <w:i/>
                <w:iCs/>
              </w:rPr>
            </w:pPr>
            <w:r w:rsidRPr="00151C7A">
              <w:t>2.1  </w:t>
            </w:r>
            <w:r w:rsidRPr="00151C7A">
              <w:rPr>
                <w:i/>
                <w:iCs/>
              </w:rPr>
              <w:t>By 2026, reach an effective implementation score of 85%.</w:t>
            </w:r>
          </w:p>
          <w:p w14:paraId="580E48DC" w14:textId="77777777" w:rsidR="004A6279" w:rsidRPr="00151C7A" w:rsidRDefault="004A6279" w:rsidP="006F4DEC">
            <w:pPr>
              <w:jc w:val="left"/>
              <w:rPr>
                <w:i/>
                <w:iCs/>
              </w:rPr>
            </w:pPr>
          </w:p>
          <w:p w14:paraId="370DF6B1" w14:textId="77777777" w:rsidR="004A6279" w:rsidRPr="00151C7A" w:rsidRDefault="004A6279" w:rsidP="006F4DEC">
            <w:pPr>
              <w:jc w:val="left"/>
            </w:pPr>
            <w:r w:rsidRPr="00151C7A">
              <w:t>2.</w:t>
            </w:r>
            <w:r w:rsidRPr="00151C7A">
              <w:rPr>
                <w:i/>
                <w:iCs/>
              </w:rPr>
              <w:t xml:space="preserve"> n</w:t>
            </w:r>
          </w:p>
        </w:tc>
        <w:tc>
          <w:tcPr>
            <w:tcW w:w="2410" w:type="dxa"/>
            <w:shd w:val="clear" w:color="auto" w:fill="auto"/>
            <w:tcMar>
              <w:top w:w="120" w:type="dxa"/>
              <w:left w:w="120" w:type="dxa"/>
              <w:bottom w:w="120" w:type="dxa"/>
              <w:right w:w="120" w:type="dxa"/>
            </w:tcMar>
          </w:tcPr>
          <w:p w14:paraId="2DBDA4D1" w14:textId="77777777" w:rsidR="004A6279" w:rsidRPr="00151C7A" w:rsidRDefault="004A6279" w:rsidP="006F4DEC">
            <w:pPr>
              <w:jc w:val="left"/>
              <w:rPr>
                <w:i/>
                <w:iCs/>
              </w:rPr>
            </w:pPr>
            <w:r w:rsidRPr="00151C7A">
              <w:t>2.1.1  </w:t>
            </w:r>
            <w:r w:rsidRPr="00151C7A">
              <w:rPr>
                <w:i/>
                <w:iCs/>
              </w:rPr>
              <w:t>Overall EI score for the State.</w:t>
            </w:r>
          </w:p>
          <w:p w14:paraId="5F68A876" w14:textId="77777777" w:rsidR="004A6279" w:rsidRPr="00151C7A" w:rsidRDefault="004A6279" w:rsidP="006F4DEC">
            <w:pPr>
              <w:jc w:val="left"/>
              <w:rPr>
                <w:i/>
                <w:iCs/>
              </w:rPr>
            </w:pPr>
          </w:p>
          <w:p w14:paraId="4D139C18" w14:textId="77777777" w:rsidR="004A6279" w:rsidRPr="00151C7A" w:rsidRDefault="004A6279" w:rsidP="006F4DEC">
            <w:pPr>
              <w:jc w:val="left"/>
              <w:rPr>
                <w:i/>
                <w:iCs/>
              </w:rPr>
            </w:pPr>
            <w:r w:rsidRPr="00151C7A">
              <w:t>2.1.2  </w:t>
            </w:r>
            <w:r w:rsidRPr="00151C7A">
              <w:rPr>
                <w:i/>
                <w:iCs/>
              </w:rPr>
              <w:t>Number of priority PQs implemented.</w:t>
            </w:r>
          </w:p>
          <w:p w14:paraId="04582DC6" w14:textId="77777777" w:rsidR="004A6279" w:rsidRPr="00151C7A" w:rsidRDefault="004A6279" w:rsidP="006F4DEC">
            <w:pPr>
              <w:jc w:val="left"/>
            </w:pPr>
          </w:p>
          <w:p w14:paraId="45E0AB5E" w14:textId="77777777" w:rsidR="004A6279" w:rsidRPr="00151C7A" w:rsidRDefault="004A6279" w:rsidP="006F4DEC">
            <w:pPr>
              <w:jc w:val="left"/>
              <w:rPr>
                <w:i/>
                <w:iCs/>
              </w:rPr>
            </w:pPr>
            <w:r w:rsidRPr="00151C7A">
              <w:t>2.1.3  </w:t>
            </w:r>
            <w:r w:rsidRPr="00151C7A">
              <w:rPr>
                <w:i/>
                <w:iCs/>
              </w:rPr>
              <w:t>Percentage of completed corrective action plans (CAPs) completed.</w:t>
            </w:r>
          </w:p>
          <w:p w14:paraId="571B15F4" w14:textId="77777777" w:rsidR="004A6279" w:rsidRPr="00151C7A" w:rsidRDefault="004A6279" w:rsidP="006F4DEC">
            <w:pPr>
              <w:jc w:val="left"/>
            </w:pPr>
          </w:p>
          <w:p w14:paraId="4526258E" w14:textId="77777777" w:rsidR="004A6279" w:rsidRPr="00151C7A" w:rsidRDefault="004A6279" w:rsidP="006F4DEC">
            <w:pPr>
              <w:jc w:val="left"/>
            </w:pPr>
            <w:r w:rsidRPr="00151C7A">
              <w:t>2.2.</w:t>
            </w:r>
            <w:r w:rsidRPr="00151C7A">
              <w:rPr>
                <w:i/>
                <w:iCs/>
              </w:rPr>
              <w:t xml:space="preserve"> n</w:t>
            </w:r>
          </w:p>
        </w:tc>
        <w:tc>
          <w:tcPr>
            <w:tcW w:w="2404" w:type="dxa"/>
            <w:shd w:val="clear" w:color="auto" w:fill="auto"/>
            <w:tcMar>
              <w:top w:w="120" w:type="dxa"/>
              <w:left w:w="120" w:type="dxa"/>
              <w:bottom w:w="120" w:type="dxa"/>
              <w:right w:w="120" w:type="dxa"/>
            </w:tcMar>
            <w:hideMark/>
          </w:tcPr>
          <w:p w14:paraId="637B9259" w14:textId="77777777" w:rsidR="004A6279" w:rsidRPr="00151C7A" w:rsidRDefault="004A6279" w:rsidP="006F4DEC">
            <w:pPr>
              <w:jc w:val="left"/>
            </w:pPr>
            <w:r w:rsidRPr="00151C7A">
              <w:rPr>
                <w:i/>
                <w:iCs/>
              </w:rPr>
              <w:t>This goal is directly linked to Goal 2 and Target 2.1 of the GASP and linked to Goal 2 and Target 2.1 of the RASP.</w:t>
            </w:r>
          </w:p>
        </w:tc>
      </w:tr>
      <w:tr w:rsidR="004A6279" w:rsidRPr="00151C7A" w14:paraId="44D5ED2D" w14:textId="77777777" w:rsidTr="006F4DEC">
        <w:trPr>
          <w:jc w:val="center"/>
        </w:trPr>
        <w:tc>
          <w:tcPr>
            <w:tcW w:w="2387" w:type="dxa"/>
            <w:shd w:val="clear" w:color="auto" w:fill="auto"/>
            <w:tcMar>
              <w:top w:w="120" w:type="dxa"/>
              <w:left w:w="120" w:type="dxa"/>
              <w:bottom w:w="120" w:type="dxa"/>
              <w:right w:w="120" w:type="dxa"/>
            </w:tcMar>
            <w:hideMark/>
          </w:tcPr>
          <w:p w14:paraId="1F019391" w14:textId="77777777" w:rsidR="004A6279" w:rsidRPr="00151C7A" w:rsidRDefault="004A6279" w:rsidP="006F4DEC">
            <w:pPr>
              <w:jc w:val="left"/>
            </w:pPr>
            <w:r w:rsidRPr="00151C7A">
              <w:t>3.</w:t>
            </w:r>
          </w:p>
        </w:tc>
        <w:tc>
          <w:tcPr>
            <w:tcW w:w="2399" w:type="dxa"/>
            <w:shd w:val="clear" w:color="auto" w:fill="auto"/>
            <w:tcMar>
              <w:top w:w="120" w:type="dxa"/>
              <w:left w:w="120" w:type="dxa"/>
              <w:bottom w:w="120" w:type="dxa"/>
              <w:right w:w="120" w:type="dxa"/>
            </w:tcMar>
          </w:tcPr>
          <w:p w14:paraId="1A86EF87" w14:textId="77777777" w:rsidR="004A6279" w:rsidRPr="00151C7A" w:rsidRDefault="004A6279" w:rsidP="006F4DEC">
            <w:pPr>
              <w:jc w:val="left"/>
            </w:pPr>
            <w:r w:rsidRPr="00151C7A">
              <w:t>3.1</w:t>
            </w:r>
          </w:p>
          <w:p w14:paraId="459FDD51" w14:textId="77777777" w:rsidR="004A6279" w:rsidRPr="00151C7A" w:rsidRDefault="004A6279" w:rsidP="006F4DEC">
            <w:pPr>
              <w:jc w:val="left"/>
            </w:pPr>
          </w:p>
          <w:p w14:paraId="20FA4D03" w14:textId="77777777" w:rsidR="004A6279" w:rsidRPr="00151C7A" w:rsidRDefault="004A6279" w:rsidP="006F4DEC">
            <w:pPr>
              <w:jc w:val="left"/>
            </w:pPr>
            <w:r w:rsidRPr="00151C7A">
              <w:t>3.</w:t>
            </w:r>
            <w:r w:rsidRPr="00151C7A">
              <w:rPr>
                <w:i/>
                <w:iCs/>
              </w:rPr>
              <w:t xml:space="preserve"> n</w:t>
            </w:r>
          </w:p>
        </w:tc>
        <w:tc>
          <w:tcPr>
            <w:tcW w:w="2410" w:type="dxa"/>
            <w:shd w:val="clear" w:color="auto" w:fill="auto"/>
            <w:tcMar>
              <w:top w:w="120" w:type="dxa"/>
              <w:left w:w="120" w:type="dxa"/>
              <w:bottom w:w="120" w:type="dxa"/>
              <w:right w:w="120" w:type="dxa"/>
            </w:tcMar>
          </w:tcPr>
          <w:p w14:paraId="3D6924BC"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05B3266E" w14:textId="77777777" w:rsidR="004A6279" w:rsidRPr="00151C7A" w:rsidRDefault="004A6279" w:rsidP="006F4DEC">
            <w:pPr>
              <w:jc w:val="left"/>
            </w:pPr>
          </w:p>
        </w:tc>
      </w:tr>
      <w:tr w:rsidR="004A6279" w:rsidRPr="00151C7A" w14:paraId="1069F348" w14:textId="77777777" w:rsidTr="006F4DEC">
        <w:trPr>
          <w:jc w:val="center"/>
        </w:trPr>
        <w:tc>
          <w:tcPr>
            <w:tcW w:w="2387" w:type="dxa"/>
            <w:shd w:val="clear" w:color="auto" w:fill="auto"/>
            <w:tcMar>
              <w:top w:w="120" w:type="dxa"/>
              <w:left w:w="120" w:type="dxa"/>
              <w:bottom w:w="120" w:type="dxa"/>
              <w:right w:w="120" w:type="dxa"/>
            </w:tcMar>
            <w:hideMark/>
          </w:tcPr>
          <w:p w14:paraId="5DF8BF6C" w14:textId="77777777" w:rsidR="004A6279" w:rsidRPr="00151C7A" w:rsidRDefault="004A6279" w:rsidP="006F4DEC">
            <w:pPr>
              <w:jc w:val="left"/>
            </w:pPr>
            <w:r w:rsidRPr="00151C7A">
              <w:t>4.</w:t>
            </w:r>
          </w:p>
        </w:tc>
        <w:tc>
          <w:tcPr>
            <w:tcW w:w="2399" w:type="dxa"/>
            <w:shd w:val="clear" w:color="auto" w:fill="auto"/>
            <w:tcMar>
              <w:top w:w="120" w:type="dxa"/>
              <w:left w:w="120" w:type="dxa"/>
              <w:bottom w:w="120" w:type="dxa"/>
              <w:right w:w="120" w:type="dxa"/>
            </w:tcMar>
          </w:tcPr>
          <w:p w14:paraId="2AD4778A" w14:textId="77777777" w:rsidR="004A6279" w:rsidRPr="00151C7A" w:rsidRDefault="004A6279" w:rsidP="006F4DEC">
            <w:pPr>
              <w:jc w:val="left"/>
            </w:pPr>
            <w:r w:rsidRPr="00151C7A">
              <w:t>4.1</w:t>
            </w:r>
          </w:p>
          <w:p w14:paraId="33FAB2CA" w14:textId="77777777" w:rsidR="004A6279" w:rsidRPr="00151C7A" w:rsidRDefault="004A6279" w:rsidP="006F4DEC">
            <w:pPr>
              <w:jc w:val="left"/>
            </w:pPr>
          </w:p>
          <w:p w14:paraId="33A9B810" w14:textId="77777777" w:rsidR="004A6279" w:rsidRPr="00151C7A" w:rsidRDefault="004A6279" w:rsidP="006F4DEC">
            <w:pPr>
              <w:jc w:val="left"/>
            </w:pPr>
            <w:r w:rsidRPr="00151C7A">
              <w:t>4.</w:t>
            </w:r>
            <w:r w:rsidRPr="00151C7A">
              <w:rPr>
                <w:i/>
                <w:iCs/>
              </w:rPr>
              <w:t xml:space="preserve"> n</w:t>
            </w:r>
          </w:p>
        </w:tc>
        <w:tc>
          <w:tcPr>
            <w:tcW w:w="2410" w:type="dxa"/>
            <w:shd w:val="clear" w:color="auto" w:fill="auto"/>
            <w:tcMar>
              <w:top w:w="120" w:type="dxa"/>
              <w:left w:w="120" w:type="dxa"/>
              <w:bottom w:w="120" w:type="dxa"/>
              <w:right w:w="120" w:type="dxa"/>
            </w:tcMar>
          </w:tcPr>
          <w:p w14:paraId="11071EFF"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593CE6AA" w14:textId="77777777" w:rsidR="004A6279" w:rsidRPr="00151C7A" w:rsidRDefault="004A6279" w:rsidP="006F4DEC">
            <w:pPr>
              <w:jc w:val="left"/>
            </w:pPr>
          </w:p>
        </w:tc>
      </w:tr>
      <w:tr w:rsidR="004A6279" w:rsidRPr="00151C7A" w14:paraId="5F314FCF" w14:textId="77777777" w:rsidTr="006F4DEC">
        <w:trPr>
          <w:jc w:val="center"/>
        </w:trPr>
        <w:tc>
          <w:tcPr>
            <w:tcW w:w="2387" w:type="dxa"/>
            <w:shd w:val="clear" w:color="auto" w:fill="auto"/>
            <w:tcMar>
              <w:top w:w="120" w:type="dxa"/>
              <w:left w:w="120" w:type="dxa"/>
              <w:bottom w:w="120" w:type="dxa"/>
              <w:right w:w="120" w:type="dxa"/>
            </w:tcMar>
            <w:hideMark/>
          </w:tcPr>
          <w:p w14:paraId="4BA6DDBC" w14:textId="77777777" w:rsidR="004A6279" w:rsidRPr="00151C7A" w:rsidRDefault="004A6279" w:rsidP="006F4DEC">
            <w:pPr>
              <w:jc w:val="left"/>
            </w:pPr>
            <w:r w:rsidRPr="00151C7A">
              <w:t>5.</w:t>
            </w:r>
          </w:p>
        </w:tc>
        <w:tc>
          <w:tcPr>
            <w:tcW w:w="2399" w:type="dxa"/>
            <w:shd w:val="clear" w:color="auto" w:fill="auto"/>
            <w:tcMar>
              <w:top w:w="120" w:type="dxa"/>
              <w:left w:w="120" w:type="dxa"/>
              <w:bottom w:w="120" w:type="dxa"/>
              <w:right w:w="120" w:type="dxa"/>
            </w:tcMar>
          </w:tcPr>
          <w:p w14:paraId="5B954133" w14:textId="77777777" w:rsidR="004A6279" w:rsidRPr="00151C7A" w:rsidRDefault="004A6279" w:rsidP="006F4DEC">
            <w:pPr>
              <w:jc w:val="left"/>
            </w:pPr>
            <w:r w:rsidRPr="00151C7A">
              <w:t>5.1</w:t>
            </w:r>
          </w:p>
          <w:p w14:paraId="07F31B72" w14:textId="77777777" w:rsidR="004A6279" w:rsidRPr="00151C7A" w:rsidRDefault="004A6279" w:rsidP="006F4DEC">
            <w:pPr>
              <w:jc w:val="left"/>
            </w:pPr>
          </w:p>
          <w:p w14:paraId="147096B2" w14:textId="77777777" w:rsidR="004A6279" w:rsidRPr="00151C7A" w:rsidRDefault="004A6279" w:rsidP="006F4DEC">
            <w:pPr>
              <w:jc w:val="left"/>
            </w:pPr>
            <w:r w:rsidRPr="00151C7A">
              <w:t>5.</w:t>
            </w:r>
            <w:r w:rsidRPr="00151C7A">
              <w:rPr>
                <w:i/>
                <w:iCs/>
              </w:rPr>
              <w:t xml:space="preserve"> n</w:t>
            </w:r>
          </w:p>
        </w:tc>
        <w:tc>
          <w:tcPr>
            <w:tcW w:w="2410" w:type="dxa"/>
            <w:shd w:val="clear" w:color="auto" w:fill="auto"/>
            <w:tcMar>
              <w:top w:w="120" w:type="dxa"/>
              <w:left w:w="120" w:type="dxa"/>
              <w:bottom w:w="120" w:type="dxa"/>
              <w:right w:w="120" w:type="dxa"/>
            </w:tcMar>
          </w:tcPr>
          <w:p w14:paraId="3E51D992"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651484A3" w14:textId="77777777" w:rsidR="004A6279" w:rsidRPr="00151C7A" w:rsidRDefault="004A6279" w:rsidP="006F4DEC">
            <w:pPr>
              <w:jc w:val="left"/>
            </w:pPr>
          </w:p>
        </w:tc>
      </w:tr>
      <w:tr w:rsidR="004A6279" w:rsidRPr="00151C7A" w14:paraId="4BADA181" w14:textId="77777777" w:rsidTr="006F4DEC">
        <w:trPr>
          <w:jc w:val="center"/>
        </w:trPr>
        <w:tc>
          <w:tcPr>
            <w:tcW w:w="2387" w:type="dxa"/>
            <w:shd w:val="clear" w:color="auto" w:fill="auto"/>
            <w:tcMar>
              <w:top w:w="120" w:type="dxa"/>
              <w:left w:w="120" w:type="dxa"/>
              <w:bottom w:w="120" w:type="dxa"/>
              <w:right w:w="120" w:type="dxa"/>
            </w:tcMar>
            <w:hideMark/>
          </w:tcPr>
          <w:p w14:paraId="01CF95F0" w14:textId="77777777" w:rsidR="004A6279" w:rsidRPr="00151C7A" w:rsidRDefault="004A6279" w:rsidP="006F4DEC">
            <w:pPr>
              <w:jc w:val="left"/>
            </w:pPr>
            <w:r w:rsidRPr="00151C7A">
              <w:t>6.</w:t>
            </w:r>
          </w:p>
        </w:tc>
        <w:tc>
          <w:tcPr>
            <w:tcW w:w="2399" w:type="dxa"/>
            <w:shd w:val="clear" w:color="auto" w:fill="auto"/>
            <w:tcMar>
              <w:top w:w="120" w:type="dxa"/>
              <w:left w:w="120" w:type="dxa"/>
              <w:bottom w:w="120" w:type="dxa"/>
              <w:right w:w="120" w:type="dxa"/>
            </w:tcMar>
          </w:tcPr>
          <w:p w14:paraId="13B7D495" w14:textId="77777777" w:rsidR="004A6279" w:rsidRPr="00151C7A" w:rsidRDefault="004A6279" w:rsidP="006F4DEC">
            <w:pPr>
              <w:jc w:val="left"/>
            </w:pPr>
            <w:r w:rsidRPr="00151C7A">
              <w:t>6.1</w:t>
            </w:r>
          </w:p>
          <w:p w14:paraId="0E631B0C" w14:textId="77777777" w:rsidR="004A6279" w:rsidRPr="00151C7A" w:rsidRDefault="004A6279" w:rsidP="006F4DEC">
            <w:pPr>
              <w:jc w:val="left"/>
            </w:pPr>
          </w:p>
          <w:p w14:paraId="0B114759" w14:textId="77777777" w:rsidR="004A6279" w:rsidRPr="00151C7A" w:rsidRDefault="004A6279" w:rsidP="006F4DEC">
            <w:pPr>
              <w:jc w:val="left"/>
            </w:pPr>
            <w:r w:rsidRPr="00151C7A">
              <w:t>6.</w:t>
            </w:r>
            <w:r w:rsidRPr="00151C7A">
              <w:rPr>
                <w:i/>
                <w:iCs/>
              </w:rPr>
              <w:t xml:space="preserve"> n</w:t>
            </w:r>
          </w:p>
        </w:tc>
        <w:tc>
          <w:tcPr>
            <w:tcW w:w="2410" w:type="dxa"/>
            <w:shd w:val="clear" w:color="auto" w:fill="auto"/>
            <w:tcMar>
              <w:top w:w="120" w:type="dxa"/>
              <w:left w:w="120" w:type="dxa"/>
              <w:bottom w:w="120" w:type="dxa"/>
              <w:right w:w="120" w:type="dxa"/>
            </w:tcMar>
          </w:tcPr>
          <w:p w14:paraId="30EAC659"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39C813D5" w14:textId="77777777" w:rsidR="004A6279" w:rsidRPr="00151C7A" w:rsidRDefault="004A6279" w:rsidP="006F4DEC">
            <w:pPr>
              <w:jc w:val="left"/>
            </w:pPr>
          </w:p>
        </w:tc>
      </w:tr>
    </w:tbl>
    <w:p w14:paraId="5F19A482" w14:textId="77777777" w:rsidR="004A6279" w:rsidRPr="00151C7A" w:rsidRDefault="004A6279" w:rsidP="004A6279"/>
    <w:p w14:paraId="75C8F67A" w14:textId="77777777" w:rsidR="004A6279" w:rsidRDefault="004A6279" w:rsidP="004A6279"/>
    <w:p w14:paraId="39A48BB3" w14:textId="77777777" w:rsidR="004A6279" w:rsidRPr="00151C7A" w:rsidRDefault="004A6279" w:rsidP="004A6279">
      <w:r w:rsidRPr="00151C7A">
        <w:t>The SEIs in this plan are implemented through [</w:t>
      </w:r>
      <w:r w:rsidRPr="00151C7A">
        <w:rPr>
          <w:shd w:val="pct15" w:color="auto" w:fill="FFFFFF"/>
        </w:rPr>
        <w:t>State</w:t>
      </w:r>
      <w:r w:rsidRPr="00151C7A">
        <w:t xml:space="preserve">]’s existing safety oversight capabilities and the service providers’ SMS. SEIs derived from the ICAO </w:t>
      </w:r>
      <w:r w:rsidRPr="00151C7A">
        <w:rPr>
          <w:i/>
          <w:iCs/>
        </w:rPr>
        <w:t>Global Aviation Safety Roadmap</w:t>
      </w:r>
      <w:r w:rsidRPr="00151C7A">
        <w:t xml:space="preserve"> (Doc 10161) were identified to achieve the national safety goals presented in the NASP. Some of the national SEIs are linked to overarching SEIs at the regional and international levels and help to enhance aviation safety globally. The full list of the SEIs is presented in the appendix to the NASP.</w:t>
      </w:r>
    </w:p>
    <w:p w14:paraId="789022B9" w14:textId="77777777" w:rsidR="004A6279" w:rsidRPr="00151C7A" w:rsidRDefault="004A6279" w:rsidP="004A6279">
      <w:r w:rsidRPr="00151C7A">
        <w:lastRenderedPageBreak/>
        <w:t>The NASP also addresses emerging issues. Emerging issues include concepts of operations, technologies, public policies, business models or ideas that might impact safety in the future, for which insufficient data exists to complete typical data-driven analysis. Due to the lack of data, emerging issues cannot automatically be considered as operational safety risks. It is important that [</w:t>
      </w:r>
      <w:r w:rsidRPr="00151C7A">
        <w:rPr>
          <w:shd w:val="pct15" w:color="auto" w:fill="FFFFFF"/>
        </w:rPr>
        <w:t>State</w:t>
      </w:r>
      <w:r w:rsidRPr="00151C7A">
        <w:t>] remain vigilant on emerging issues to identify hazards and safety deficiencies, collect relevant data and proactively develop mitigations to address any associated risks. The NASP addresses the following emerging issues, which were identified by [</w:t>
      </w:r>
      <w:r w:rsidRPr="00151C7A">
        <w:rPr>
          <w:shd w:val="pct15" w:color="auto" w:fill="FFFFFF"/>
        </w:rPr>
        <w:t xml:space="preserve">describe the process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an analysis conducted by service providers</w:t>
      </w:r>
      <w:r w:rsidRPr="00151C7A">
        <w:t>] for further analysis:</w:t>
      </w:r>
    </w:p>
    <w:p w14:paraId="4C910519" w14:textId="77777777" w:rsidR="004A6279" w:rsidRPr="00151C7A" w:rsidRDefault="004A6279" w:rsidP="004A6279"/>
    <w:p w14:paraId="727D6D84" w14:textId="77777777" w:rsidR="004A6279" w:rsidRPr="00151C7A" w:rsidRDefault="004A6279" w:rsidP="004A6279">
      <w:pPr>
        <w:pStyle w:val="Indent-a"/>
      </w:pPr>
      <w:r w:rsidRPr="00151C7A">
        <w:tab/>
        <w:t>1)</w:t>
      </w:r>
      <w:r w:rsidRPr="00151C7A">
        <w:tab/>
        <w:t>[</w:t>
      </w:r>
      <w:r w:rsidRPr="00151C7A">
        <w:rPr>
          <w:shd w:val="pct15" w:color="auto" w:fill="FFFFFF"/>
        </w:rPr>
        <w:t xml:space="preserve">list emerging issues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small drones operating in the vicinity of aerodromes</w:t>
      </w:r>
      <w:r w:rsidRPr="00151C7A">
        <w:t>]</w:t>
      </w:r>
    </w:p>
    <w:p w14:paraId="50DF4E33" w14:textId="77777777" w:rsidR="004A6279" w:rsidRPr="00151C7A" w:rsidRDefault="004A6279" w:rsidP="004A6279">
      <w:pPr>
        <w:pStyle w:val="Indent-a"/>
      </w:pPr>
    </w:p>
    <w:p w14:paraId="21C7CE1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093976B0" w14:textId="77777777" w:rsidR="004A6279" w:rsidRPr="00151C7A" w:rsidRDefault="004A6279" w:rsidP="004A6279">
      <w:pPr>
        <w:pStyle w:val="Indent-a"/>
      </w:pPr>
    </w:p>
    <w:p w14:paraId="7C8AF1DC"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796D8067" w14:textId="77777777" w:rsidR="004A6279" w:rsidRPr="00151C7A" w:rsidRDefault="004A6279" w:rsidP="004A6279"/>
    <w:p w14:paraId="78E3D671" w14:textId="77777777" w:rsidR="004A6279" w:rsidRDefault="004A6279" w:rsidP="004A6279"/>
    <w:p w14:paraId="57A6A3F6" w14:textId="77777777" w:rsidR="004A6279" w:rsidRPr="00151C7A" w:rsidRDefault="004A6279" w:rsidP="004A6279"/>
    <w:p w14:paraId="2EECF866" w14:textId="77777777" w:rsidR="004A6279" w:rsidRDefault="004A6279" w:rsidP="004A6279">
      <w:pPr>
        <w:widowControl/>
        <w:tabs>
          <w:tab w:val="clear" w:pos="1080"/>
          <w:tab w:val="clear" w:pos="1440"/>
          <w:tab w:val="clear" w:pos="1800"/>
          <w:tab w:val="clear" w:pos="2160"/>
        </w:tabs>
        <w:spacing w:after="160" w:line="259" w:lineRule="auto"/>
        <w:jc w:val="left"/>
        <w:rPr>
          <w:b/>
          <w:caps/>
        </w:rPr>
      </w:pPr>
      <w:bookmarkStart w:id="4" w:name="_Toc41037094"/>
      <w:r>
        <w:br w:type="page"/>
      </w:r>
    </w:p>
    <w:p w14:paraId="54022756" w14:textId="77777777" w:rsidR="004A6279" w:rsidRPr="00151C7A" w:rsidRDefault="004A6279" w:rsidP="004A6279">
      <w:pPr>
        <w:pStyle w:val="BOLDCAPSCENTERED"/>
      </w:pPr>
      <w:r w:rsidRPr="00151C7A">
        <w:lastRenderedPageBreak/>
        <w:t>SECTION 4.    NATIONAL OPERATIONAL SAFETY RISKS</w:t>
      </w:r>
      <w:bookmarkEnd w:id="4"/>
    </w:p>
    <w:p w14:paraId="71ABF69D" w14:textId="77777777" w:rsidR="004A6279" w:rsidRPr="00151C7A" w:rsidRDefault="004A6279" w:rsidP="004A6279"/>
    <w:p w14:paraId="6D20E636" w14:textId="77777777" w:rsidR="004A6279" w:rsidRPr="00151C7A" w:rsidRDefault="004A6279" w:rsidP="004A6279">
      <w:r w:rsidRPr="00151C7A">
        <w:t>The NASP includes SEIs that address national operational safety risks, derived from lessons learned from occurrences and from a data-driven approach. These SEI may include actions such as: rule-making; policy development; targeted safety oversight activities; safety data analysis; and safety promotion. Separate sections are provided to address commercial air transport and general aviation to make the information more accessible to stakeholders.</w:t>
      </w:r>
    </w:p>
    <w:p w14:paraId="222C8527" w14:textId="77777777" w:rsidR="004A6279" w:rsidRPr="00151C7A" w:rsidRDefault="004A6279" w:rsidP="004A6279"/>
    <w:p w14:paraId="20FCF36D" w14:textId="77777777" w:rsidR="004A6279" w:rsidRPr="00151C7A" w:rsidRDefault="004A6279" w:rsidP="004A6279">
      <w:r w:rsidRPr="00151C7A">
        <w:t>[</w:t>
      </w:r>
      <w:r w:rsidRPr="00151C7A">
        <w:rPr>
          <w:shd w:val="pct15" w:color="auto" w:fill="FFFFFF"/>
        </w:rPr>
        <w:t>State</w:t>
      </w:r>
      <w:r w:rsidRPr="00151C7A">
        <w:t>] publishes an Annual Safety Report, available on the [</w:t>
      </w:r>
      <w:r w:rsidRPr="00151C7A">
        <w:rPr>
          <w:shd w:val="pct15" w:color="auto" w:fill="FFFFFF"/>
        </w:rPr>
        <w:t>State</w:t>
      </w:r>
      <w:r w:rsidRPr="00151C7A">
        <w:t>] website [</w:t>
      </w:r>
      <w:r w:rsidRPr="00151C7A">
        <w:rPr>
          <w:shd w:val="pct15" w:color="auto" w:fill="FFFFFF"/>
        </w:rPr>
        <w:t>insert link to website, if available</w:t>
      </w:r>
      <w:r w:rsidRPr="00151C7A">
        <w:t>]. The summary of accidents and serious incidents that occurred in [</w:t>
      </w:r>
      <w:r w:rsidRPr="00151C7A">
        <w:rPr>
          <w:shd w:val="pct15" w:color="auto" w:fill="FFFFFF"/>
        </w:rPr>
        <w:t>State</w:t>
      </w:r>
      <w:r w:rsidRPr="00151C7A">
        <w:t>], and those for aircraft registered in [</w:t>
      </w:r>
      <w:r w:rsidRPr="00151C7A">
        <w:rPr>
          <w:shd w:val="pct15" w:color="auto" w:fill="FFFFFF"/>
        </w:rPr>
        <w:t>State</w:t>
      </w:r>
      <w:r w:rsidRPr="00151C7A">
        <w:t>] involved in commercial air transport and aircraft involved in general aviation, is shown in the tables below.</w:t>
      </w:r>
    </w:p>
    <w:p w14:paraId="2313504D" w14:textId="77777777" w:rsidR="004A6279" w:rsidRPr="00151C7A" w:rsidRDefault="004A6279" w:rsidP="004A6279"/>
    <w:p w14:paraId="36FC5A30" w14:textId="77777777" w:rsidR="004A6279" w:rsidRPr="00151C7A" w:rsidRDefault="004A6279" w:rsidP="004A6279"/>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9"/>
        <w:gridCol w:w="2399"/>
        <w:gridCol w:w="2401"/>
        <w:gridCol w:w="2401"/>
      </w:tblGrid>
      <w:tr w:rsidR="004A6279" w:rsidRPr="00151C7A" w14:paraId="78E28AA3" w14:textId="77777777" w:rsidTr="006F4DEC">
        <w:trPr>
          <w:jc w:val="center"/>
        </w:trPr>
        <w:tc>
          <w:tcPr>
            <w:tcW w:w="2310" w:type="dxa"/>
            <w:shd w:val="clear" w:color="auto" w:fill="auto"/>
            <w:tcMar>
              <w:top w:w="120" w:type="dxa"/>
              <w:left w:w="120" w:type="dxa"/>
              <w:bottom w:w="120" w:type="dxa"/>
              <w:right w:w="120" w:type="dxa"/>
            </w:tcMar>
            <w:vAlign w:val="bottom"/>
            <w:hideMark/>
          </w:tcPr>
          <w:p w14:paraId="0A1CB078" w14:textId="77777777" w:rsidR="004A6279" w:rsidRPr="00151C7A" w:rsidRDefault="004A6279" w:rsidP="006F4DEC">
            <w:pPr>
              <w:jc w:val="center"/>
              <w:rPr>
                <w:i/>
                <w:iCs/>
              </w:rPr>
            </w:pPr>
            <w:r w:rsidRPr="00151C7A">
              <w:rPr>
                <w:i/>
                <w:iCs/>
              </w:rPr>
              <w:t>Year</w:t>
            </w:r>
          </w:p>
        </w:tc>
        <w:tc>
          <w:tcPr>
            <w:tcW w:w="2310" w:type="dxa"/>
            <w:shd w:val="clear" w:color="auto" w:fill="auto"/>
            <w:tcMar>
              <w:top w:w="120" w:type="dxa"/>
              <w:left w:w="120" w:type="dxa"/>
              <w:bottom w:w="120" w:type="dxa"/>
              <w:right w:w="120" w:type="dxa"/>
            </w:tcMar>
            <w:vAlign w:val="bottom"/>
            <w:hideMark/>
          </w:tcPr>
          <w:p w14:paraId="09AA9495" w14:textId="77777777" w:rsidR="004A6279" w:rsidRPr="00151C7A" w:rsidRDefault="004A6279" w:rsidP="006F4DEC">
            <w:pPr>
              <w:jc w:val="center"/>
              <w:rPr>
                <w:i/>
                <w:iCs/>
              </w:rPr>
            </w:pPr>
            <w:r w:rsidRPr="00151C7A">
              <w:rPr>
                <w:i/>
                <w:iCs/>
              </w:rPr>
              <w:t>Fatal accidents</w:t>
            </w:r>
          </w:p>
        </w:tc>
        <w:tc>
          <w:tcPr>
            <w:tcW w:w="2311" w:type="dxa"/>
            <w:shd w:val="clear" w:color="auto" w:fill="auto"/>
            <w:tcMar>
              <w:top w:w="120" w:type="dxa"/>
              <w:left w:w="120" w:type="dxa"/>
              <w:bottom w:w="120" w:type="dxa"/>
              <w:right w:w="120" w:type="dxa"/>
            </w:tcMar>
            <w:vAlign w:val="bottom"/>
            <w:hideMark/>
          </w:tcPr>
          <w:p w14:paraId="7012D950" w14:textId="77777777" w:rsidR="004A6279" w:rsidRPr="00151C7A" w:rsidRDefault="004A6279" w:rsidP="006F4DEC">
            <w:pPr>
              <w:jc w:val="center"/>
              <w:rPr>
                <w:i/>
                <w:iCs/>
              </w:rPr>
            </w:pPr>
            <w:r w:rsidRPr="00151C7A">
              <w:rPr>
                <w:i/>
                <w:iCs/>
              </w:rPr>
              <w:t>Non-fatal accidents</w:t>
            </w:r>
          </w:p>
        </w:tc>
        <w:tc>
          <w:tcPr>
            <w:tcW w:w="2311" w:type="dxa"/>
            <w:shd w:val="clear" w:color="auto" w:fill="auto"/>
            <w:tcMar>
              <w:top w:w="120" w:type="dxa"/>
              <w:left w:w="120" w:type="dxa"/>
              <w:bottom w:w="120" w:type="dxa"/>
              <w:right w:w="120" w:type="dxa"/>
            </w:tcMar>
            <w:vAlign w:val="bottom"/>
            <w:hideMark/>
          </w:tcPr>
          <w:p w14:paraId="1E27D351" w14:textId="77777777" w:rsidR="004A6279" w:rsidRPr="00151C7A" w:rsidRDefault="004A6279" w:rsidP="006F4DEC">
            <w:pPr>
              <w:jc w:val="center"/>
              <w:rPr>
                <w:i/>
                <w:iCs/>
              </w:rPr>
            </w:pPr>
            <w:r w:rsidRPr="00151C7A">
              <w:rPr>
                <w:i/>
                <w:iCs/>
              </w:rPr>
              <w:t>Serious incidents</w:t>
            </w:r>
          </w:p>
        </w:tc>
      </w:tr>
      <w:tr w:rsidR="004A6279" w:rsidRPr="00151C7A" w14:paraId="23B843A9" w14:textId="77777777" w:rsidTr="006F4DEC">
        <w:trPr>
          <w:jc w:val="center"/>
        </w:trPr>
        <w:tc>
          <w:tcPr>
            <w:tcW w:w="9242" w:type="dxa"/>
            <w:gridSpan w:val="4"/>
            <w:shd w:val="clear" w:color="auto" w:fill="auto"/>
            <w:tcMar>
              <w:top w:w="120" w:type="dxa"/>
              <w:left w:w="120" w:type="dxa"/>
              <w:bottom w:w="120" w:type="dxa"/>
              <w:right w:w="120" w:type="dxa"/>
            </w:tcMar>
            <w:hideMark/>
          </w:tcPr>
          <w:p w14:paraId="25ED829B" w14:textId="77777777" w:rsidR="004A6279" w:rsidRPr="00151C7A" w:rsidRDefault="004A6279" w:rsidP="006F4DEC">
            <w:pPr>
              <w:jc w:val="left"/>
              <w:rPr>
                <w:b/>
                <w:bCs/>
              </w:rPr>
            </w:pPr>
            <w:r w:rsidRPr="00151C7A">
              <w:rPr>
                <w:b/>
                <w:bCs/>
              </w:rPr>
              <w:t>Commercial air transport occurrences in [</w:t>
            </w:r>
            <w:r w:rsidRPr="00151C7A">
              <w:rPr>
                <w:b/>
                <w:bCs/>
                <w:shd w:val="pct15" w:color="auto" w:fill="FFFFFF"/>
              </w:rPr>
              <w:t>State</w:t>
            </w:r>
            <w:r w:rsidRPr="00151C7A">
              <w:rPr>
                <w:b/>
                <w:bCs/>
              </w:rPr>
              <w:t>]</w:t>
            </w:r>
          </w:p>
        </w:tc>
      </w:tr>
      <w:tr w:rsidR="004A6279" w:rsidRPr="00151C7A" w14:paraId="628E092C" w14:textId="77777777" w:rsidTr="006F4DEC">
        <w:trPr>
          <w:jc w:val="center"/>
        </w:trPr>
        <w:tc>
          <w:tcPr>
            <w:tcW w:w="2310" w:type="dxa"/>
            <w:shd w:val="clear" w:color="auto" w:fill="auto"/>
            <w:tcMar>
              <w:top w:w="120" w:type="dxa"/>
              <w:left w:w="120" w:type="dxa"/>
              <w:bottom w:w="120" w:type="dxa"/>
              <w:right w:w="120" w:type="dxa"/>
            </w:tcMar>
            <w:hideMark/>
          </w:tcPr>
          <w:p w14:paraId="6F086B94"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10" w:type="dxa"/>
            <w:shd w:val="clear" w:color="auto" w:fill="auto"/>
            <w:tcMar>
              <w:top w:w="120" w:type="dxa"/>
              <w:left w:w="120" w:type="dxa"/>
              <w:bottom w:w="120" w:type="dxa"/>
              <w:right w:w="120" w:type="dxa"/>
            </w:tcMar>
          </w:tcPr>
          <w:p w14:paraId="31140E05" w14:textId="77777777" w:rsidR="004A6279" w:rsidRPr="00151C7A" w:rsidRDefault="004A6279" w:rsidP="006F4DEC"/>
        </w:tc>
        <w:tc>
          <w:tcPr>
            <w:tcW w:w="2311" w:type="dxa"/>
            <w:shd w:val="clear" w:color="auto" w:fill="auto"/>
            <w:tcMar>
              <w:top w:w="120" w:type="dxa"/>
              <w:left w:w="120" w:type="dxa"/>
              <w:bottom w:w="120" w:type="dxa"/>
              <w:right w:w="120" w:type="dxa"/>
            </w:tcMar>
          </w:tcPr>
          <w:p w14:paraId="696A9607" w14:textId="77777777" w:rsidR="004A6279" w:rsidRPr="00151C7A" w:rsidRDefault="004A6279" w:rsidP="006F4DEC"/>
        </w:tc>
        <w:tc>
          <w:tcPr>
            <w:tcW w:w="2311" w:type="dxa"/>
            <w:shd w:val="clear" w:color="auto" w:fill="auto"/>
            <w:tcMar>
              <w:top w:w="120" w:type="dxa"/>
              <w:left w:w="120" w:type="dxa"/>
              <w:bottom w:w="120" w:type="dxa"/>
              <w:right w:w="120" w:type="dxa"/>
            </w:tcMar>
          </w:tcPr>
          <w:p w14:paraId="390A7DEF" w14:textId="77777777" w:rsidR="004A6279" w:rsidRPr="00151C7A" w:rsidRDefault="004A6279" w:rsidP="006F4DEC"/>
        </w:tc>
      </w:tr>
      <w:tr w:rsidR="004A6279" w:rsidRPr="00151C7A" w14:paraId="4F3AD460" w14:textId="77777777" w:rsidTr="006F4DEC">
        <w:trPr>
          <w:jc w:val="center"/>
        </w:trPr>
        <w:tc>
          <w:tcPr>
            <w:tcW w:w="2310" w:type="dxa"/>
            <w:shd w:val="clear" w:color="auto" w:fill="auto"/>
            <w:tcMar>
              <w:top w:w="120" w:type="dxa"/>
              <w:left w:w="120" w:type="dxa"/>
              <w:bottom w:w="120" w:type="dxa"/>
              <w:right w:w="120" w:type="dxa"/>
            </w:tcMar>
            <w:hideMark/>
          </w:tcPr>
          <w:p w14:paraId="7E02C488"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10" w:type="dxa"/>
            <w:shd w:val="clear" w:color="auto" w:fill="auto"/>
            <w:tcMar>
              <w:top w:w="120" w:type="dxa"/>
              <w:left w:w="120" w:type="dxa"/>
              <w:bottom w:w="120" w:type="dxa"/>
              <w:right w:w="120" w:type="dxa"/>
            </w:tcMar>
          </w:tcPr>
          <w:p w14:paraId="4B3A96A8" w14:textId="77777777" w:rsidR="004A6279" w:rsidRPr="00151C7A" w:rsidRDefault="004A6279" w:rsidP="006F4DEC"/>
        </w:tc>
        <w:tc>
          <w:tcPr>
            <w:tcW w:w="2311" w:type="dxa"/>
            <w:shd w:val="clear" w:color="auto" w:fill="auto"/>
            <w:tcMar>
              <w:top w:w="120" w:type="dxa"/>
              <w:left w:w="120" w:type="dxa"/>
              <w:bottom w:w="120" w:type="dxa"/>
              <w:right w:w="120" w:type="dxa"/>
            </w:tcMar>
          </w:tcPr>
          <w:p w14:paraId="21B2919C" w14:textId="77777777" w:rsidR="004A6279" w:rsidRPr="00151C7A" w:rsidRDefault="004A6279" w:rsidP="006F4DEC"/>
        </w:tc>
        <w:tc>
          <w:tcPr>
            <w:tcW w:w="2311" w:type="dxa"/>
            <w:shd w:val="clear" w:color="auto" w:fill="auto"/>
            <w:tcMar>
              <w:top w:w="120" w:type="dxa"/>
              <w:left w:w="120" w:type="dxa"/>
              <w:bottom w:w="120" w:type="dxa"/>
              <w:right w:w="120" w:type="dxa"/>
            </w:tcMar>
          </w:tcPr>
          <w:p w14:paraId="5A88DAB2" w14:textId="77777777" w:rsidR="004A6279" w:rsidRPr="00151C7A" w:rsidRDefault="004A6279" w:rsidP="006F4DEC"/>
        </w:tc>
      </w:tr>
      <w:tr w:rsidR="004A6279" w:rsidRPr="00151C7A" w14:paraId="50B7867C" w14:textId="77777777" w:rsidTr="006F4DEC">
        <w:trPr>
          <w:jc w:val="center"/>
        </w:trPr>
        <w:tc>
          <w:tcPr>
            <w:tcW w:w="9242" w:type="dxa"/>
            <w:gridSpan w:val="4"/>
            <w:shd w:val="clear" w:color="auto" w:fill="auto"/>
            <w:tcMar>
              <w:top w:w="120" w:type="dxa"/>
              <w:left w:w="120" w:type="dxa"/>
              <w:bottom w:w="120" w:type="dxa"/>
              <w:right w:w="120" w:type="dxa"/>
            </w:tcMar>
            <w:hideMark/>
          </w:tcPr>
          <w:p w14:paraId="1EF24E6E" w14:textId="77777777" w:rsidR="004A6279" w:rsidRPr="00151C7A" w:rsidRDefault="004A6279" w:rsidP="006F4DEC">
            <w:pPr>
              <w:jc w:val="left"/>
              <w:rPr>
                <w:b/>
                <w:bCs/>
              </w:rPr>
            </w:pPr>
            <w:r w:rsidRPr="00151C7A">
              <w:rPr>
                <w:b/>
                <w:bCs/>
              </w:rPr>
              <w:t>General aviation aircraft occurrences in [</w:t>
            </w:r>
            <w:r w:rsidRPr="00151C7A">
              <w:rPr>
                <w:b/>
                <w:bCs/>
                <w:shd w:val="pct15" w:color="auto" w:fill="FFFFFF"/>
              </w:rPr>
              <w:t>State</w:t>
            </w:r>
            <w:r w:rsidRPr="00151C7A">
              <w:rPr>
                <w:b/>
                <w:bCs/>
              </w:rPr>
              <w:t>]</w:t>
            </w:r>
          </w:p>
        </w:tc>
      </w:tr>
      <w:tr w:rsidR="004A6279" w:rsidRPr="00151C7A" w14:paraId="74FE261F" w14:textId="77777777" w:rsidTr="006F4DEC">
        <w:trPr>
          <w:jc w:val="center"/>
        </w:trPr>
        <w:tc>
          <w:tcPr>
            <w:tcW w:w="2310" w:type="dxa"/>
            <w:shd w:val="clear" w:color="auto" w:fill="auto"/>
            <w:tcMar>
              <w:top w:w="120" w:type="dxa"/>
              <w:left w:w="120" w:type="dxa"/>
              <w:bottom w:w="120" w:type="dxa"/>
              <w:right w:w="120" w:type="dxa"/>
            </w:tcMar>
            <w:hideMark/>
          </w:tcPr>
          <w:p w14:paraId="2BAF298D"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10" w:type="dxa"/>
            <w:shd w:val="clear" w:color="auto" w:fill="auto"/>
            <w:tcMar>
              <w:top w:w="120" w:type="dxa"/>
              <w:left w:w="120" w:type="dxa"/>
              <w:bottom w:w="120" w:type="dxa"/>
              <w:right w:w="120" w:type="dxa"/>
            </w:tcMar>
          </w:tcPr>
          <w:p w14:paraId="79D9CC47" w14:textId="77777777" w:rsidR="004A6279" w:rsidRPr="00151C7A" w:rsidRDefault="004A6279" w:rsidP="006F4DEC"/>
        </w:tc>
        <w:tc>
          <w:tcPr>
            <w:tcW w:w="2311" w:type="dxa"/>
            <w:shd w:val="clear" w:color="auto" w:fill="auto"/>
            <w:tcMar>
              <w:top w:w="120" w:type="dxa"/>
              <w:left w:w="120" w:type="dxa"/>
              <w:bottom w:w="120" w:type="dxa"/>
              <w:right w:w="120" w:type="dxa"/>
            </w:tcMar>
          </w:tcPr>
          <w:p w14:paraId="337EB9A1" w14:textId="77777777" w:rsidR="004A6279" w:rsidRPr="00151C7A" w:rsidRDefault="004A6279" w:rsidP="006F4DEC"/>
        </w:tc>
        <w:tc>
          <w:tcPr>
            <w:tcW w:w="2311" w:type="dxa"/>
            <w:shd w:val="clear" w:color="auto" w:fill="auto"/>
            <w:tcMar>
              <w:top w:w="120" w:type="dxa"/>
              <w:left w:w="120" w:type="dxa"/>
              <w:bottom w:w="120" w:type="dxa"/>
              <w:right w:w="120" w:type="dxa"/>
            </w:tcMar>
          </w:tcPr>
          <w:p w14:paraId="1FA41674" w14:textId="77777777" w:rsidR="004A6279" w:rsidRPr="00151C7A" w:rsidRDefault="004A6279" w:rsidP="006F4DEC"/>
        </w:tc>
      </w:tr>
      <w:tr w:rsidR="004A6279" w:rsidRPr="00151C7A" w14:paraId="14570460" w14:textId="77777777" w:rsidTr="006F4DEC">
        <w:trPr>
          <w:jc w:val="center"/>
        </w:trPr>
        <w:tc>
          <w:tcPr>
            <w:tcW w:w="2310" w:type="dxa"/>
            <w:shd w:val="clear" w:color="auto" w:fill="auto"/>
            <w:tcMar>
              <w:top w:w="120" w:type="dxa"/>
              <w:left w:w="120" w:type="dxa"/>
              <w:bottom w:w="120" w:type="dxa"/>
              <w:right w:w="120" w:type="dxa"/>
            </w:tcMar>
            <w:hideMark/>
          </w:tcPr>
          <w:p w14:paraId="55096620"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10" w:type="dxa"/>
            <w:shd w:val="clear" w:color="auto" w:fill="auto"/>
            <w:tcMar>
              <w:top w:w="120" w:type="dxa"/>
              <w:left w:w="120" w:type="dxa"/>
              <w:bottom w:w="120" w:type="dxa"/>
              <w:right w:w="120" w:type="dxa"/>
            </w:tcMar>
          </w:tcPr>
          <w:p w14:paraId="649FC4FF" w14:textId="77777777" w:rsidR="004A6279" w:rsidRPr="00151C7A" w:rsidRDefault="004A6279" w:rsidP="006F4DEC"/>
        </w:tc>
        <w:tc>
          <w:tcPr>
            <w:tcW w:w="2311" w:type="dxa"/>
            <w:shd w:val="clear" w:color="auto" w:fill="auto"/>
            <w:tcMar>
              <w:top w:w="120" w:type="dxa"/>
              <w:left w:w="120" w:type="dxa"/>
              <w:bottom w:w="120" w:type="dxa"/>
              <w:right w:w="120" w:type="dxa"/>
            </w:tcMar>
          </w:tcPr>
          <w:p w14:paraId="60554FA3" w14:textId="77777777" w:rsidR="004A6279" w:rsidRPr="00151C7A" w:rsidRDefault="004A6279" w:rsidP="006F4DEC"/>
        </w:tc>
        <w:tc>
          <w:tcPr>
            <w:tcW w:w="2311" w:type="dxa"/>
            <w:shd w:val="clear" w:color="auto" w:fill="auto"/>
            <w:tcMar>
              <w:top w:w="120" w:type="dxa"/>
              <w:left w:w="120" w:type="dxa"/>
              <w:bottom w:w="120" w:type="dxa"/>
              <w:right w:w="120" w:type="dxa"/>
            </w:tcMar>
          </w:tcPr>
          <w:p w14:paraId="43DD1AB9" w14:textId="77777777" w:rsidR="004A6279" w:rsidRPr="00151C7A" w:rsidRDefault="004A6279" w:rsidP="006F4DEC"/>
        </w:tc>
      </w:tr>
    </w:tbl>
    <w:p w14:paraId="694F9031" w14:textId="77777777" w:rsidR="004A6279" w:rsidRPr="00151C7A" w:rsidRDefault="004A6279" w:rsidP="004A6279"/>
    <w:p w14:paraId="2C5BA648" w14:textId="77777777" w:rsidR="004A6279" w:rsidRPr="00151C7A" w:rsidRDefault="004A6279" w:rsidP="004A6279"/>
    <w:p w14:paraId="5306E302" w14:textId="77777777" w:rsidR="004A6279" w:rsidRDefault="004A6279" w:rsidP="004A6279">
      <w:pPr>
        <w:widowControl/>
        <w:tabs>
          <w:tab w:val="clear" w:pos="1080"/>
          <w:tab w:val="clear" w:pos="1440"/>
          <w:tab w:val="clear" w:pos="1800"/>
          <w:tab w:val="clear" w:pos="2160"/>
        </w:tabs>
        <w:spacing w:after="160" w:line="259" w:lineRule="auto"/>
        <w:jc w:val="left"/>
      </w:pPr>
      <w: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99"/>
        <w:gridCol w:w="2399"/>
        <w:gridCol w:w="2401"/>
        <w:gridCol w:w="2401"/>
      </w:tblGrid>
      <w:tr w:rsidR="004A6279" w:rsidRPr="00151C7A" w14:paraId="7EEEFCCA" w14:textId="77777777" w:rsidTr="006F4DEC">
        <w:trPr>
          <w:jc w:val="center"/>
        </w:trPr>
        <w:tc>
          <w:tcPr>
            <w:tcW w:w="2399" w:type="dxa"/>
            <w:shd w:val="clear" w:color="auto" w:fill="auto"/>
            <w:tcMar>
              <w:top w:w="120" w:type="dxa"/>
              <w:left w:w="120" w:type="dxa"/>
              <w:bottom w:w="120" w:type="dxa"/>
              <w:right w:w="120" w:type="dxa"/>
            </w:tcMar>
            <w:vAlign w:val="bottom"/>
            <w:hideMark/>
          </w:tcPr>
          <w:p w14:paraId="4A3FAF2C" w14:textId="77777777" w:rsidR="004A6279" w:rsidRPr="00151C7A" w:rsidRDefault="004A6279" w:rsidP="006F4DEC">
            <w:pPr>
              <w:jc w:val="center"/>
              <w:rPr>
                <w:i/>
                <w:iCs/>
              </w:rPr>
            </w:pPr>
            <w:r w:rsidRPr="00151C7A">
              <w:rPr>
                <w:i/>
                <w:iCs/>
              </w:rPr>
              <w:lastRenderedPageBreak/>
              <w:t>Year</w:t>
            </w:r>
          </w:p>
        </w:tc>
        <w:tc>
          <w:tcPr>
            <w:tcW w:w="2399" w:type="dxa"/>
            <w:shd w:val="clear" w:color="auto" w:fill="auto"/>
            <w:tcMar>
              <w:top w:w="120" w:type="dxa"/>
              <w:left w:w="120" w:type="dxa"/>
              <w:bottom w:w="120" w:type="dxa"/>
              <w:right w:w="120" w:type="dxa"/>
            </w:tcMar>
            <w:vAlign w:val="bottom"/>
            <w:hideMark/>
          </w:tcPr>
          <w:p w14:paraId="083016F6" w14:textId="77777777" w:rsidR="004A6279" w:rsidRPr="00151C7A" w:rsidRDefault="004A6279" w:rsidP="006F4DEC">
            <w:pPr>
              <w:jc w:val="center"/>
              <w:rPr>
                <w:i/>
                <w:iCs/>
              </w:rPr>
            </w:pPr>
            <w:r w:rsidRPr="00151C7A">
              <w:rPr>
                <w:i/>
                <w:iCs/>
              </w:rPr>
              <w:t>Fatal accidents</w:t>
            </w:r>
          </w:p>
        </w:tc>
        <w:tc>
          <w:tcPr>
            <w:tcW w:w="2401" w:type="dxa"/>
            <w:shd w:val="clear" w:color="auto" w:fill="auto"/>
            <w:tcMar>
              <w:top w:w="120" w:type="dxa"/>
              <w:left w:w="120" w:type="dxa"/>
              <w:bottom w:w="120" w:type="dxa"/>
              <w:right w:w="120" w:type="dxa"/>
            </w:tcMar>
            <w:vAlign w:val="bottom"/>
            <w:hideMark/>
          </w:tcPr>
          <w:p w14:paraId="37ED8507" w14:textId="77777777" w:rsidR="004A6279" w:rsidRPr="00151C7A" w:rsidRDefault="004A6279" w:rsidP="006F4DEC">
            <w:pPr>
              <w:jc w:val="center"/>
              <w:rPr>
                <w:i/>
                <w:iCs/>
              </w:rPr>
            </w:pPr>
            <w:r w:rsidRPr="00151C7A">
              <w:rPr>
                <w:i/>
                <w:iCs/>
              </w:rPr>
              <w:t>Non-fatal accidents</w:t>
            </w:r>
          </w:p>
        </w:tc>
        <w:tc>
          <w:tcPr>
            <w:tcW w:w="2401" w:type="dxa"/>
            <w:shd w:val="clear" w:color="auto" w:fill="auto"/>
            <w:tcMar>
              <w:top w:w="120" w:type="dxa"/>
              <w:left w:w="120" w:type="dxa"/>
              <w:bottom w:w="120" w:type="dxa"/>
              <w:right w:w="120" w:type="dxa"/>
            </w:tcMar>
            <w:vAlign w:val="bottom"/>
            <w:hideMark/>
          </w:tcPr>
          <w:p w14:paraId="2E153715" w14:textId="77777777" w:rsidR="004A6279" w:rsidRPr="00151C7A" w:rsidRDefault="004A6279" w:rsidP="006F4DEC">
            <w:pPr>
              <w:jc w:val="center"/>
              <w:rPr>
                <w:i/>
                <w:iCs/>
              </w:rPr>
            </w:pPr>
            <w:r w:rsidRPr="00151C7A">
              <w:rPr>
                <w:i/>
                <w:iCs/>
              </w:rPr>
              <w:t>Serious incidents</w:t>
            </w:r>
          </w:p>
        </w:tc>
      </w:tr>
      <w:tr w:rsidR="004A6279" w:rsidRPr="00151C7A" w14:paraId="00709FC8" w14:textId="77777777" w:rsidTr="006F4DEC">
        <w:trPr>
          <w:jc w:val="center"/>
        </w:trPr>
        <w:tc>
          <w:tcPr>
            <w:tcW w:w="9600" w:type="dxa"/>
            <w:gridSpan w:val="4"/>
            <w:shd w:val="clear" w:color="auto" w:fill="auto"/>
            <w:tcMar>
              <w:top w:w="120" w:type="dxa"/>
              <w:left w:w="120" w:type="dxa"/>
              <w:bottom w:w="120" w:type="dxa"/>
              <w:right w:w="120" w:type="dxa"/>
            </w:tcMar>
            <w:hideMark/>
          </w:tcPr>
          <w:p w14:paraId="3164BB42" w14:textId="77777777" w:rsidR="004A6279" w:rsidRPr="00151C7A" w:rsidRDefault="004A6279" w:rsidP="006F4DEC">
            <w:pPr>
              <w:jc w:val="left"/>
              <w:rPr>
                <w:b/>
                <w:bCs/>
              </w:rPr>
            </w:pPr>
            <w:r w:rsidRPr="00151C7A">
              <w:rPr>
                <w:b/>
                <w:bCs/>
              </w:rPr>
              <w:t>Occurrences involving commercial air transport aircraft registered in [</w:t>
            </w:r>
            <w:r w:rsidRPr="00151C7A">
              <w:rPr>
                <w:b/>
                <w:bCs/>
                <w:shd w:val="pct15" w:color="auto" w:fill="FFFFFF"/>
              </w:rPr>
              <w:t>State</w:t>
            </w:r>
            <w:r w:rsidRPr="00151C7A">
              <w:rPr>
                <w:b/>
                <w:bCs/>
              </w:rPr>
              <w:t>]</w:t>
            </w:r>
          </w:p>
        </w:tc>
      </w:tr>
      <w:tr w:rsidR="004A6279" w:rsidRPr="00151C7A" w14:paraId="1AC6F1B3" w14:textId="77777777" w:rsidTr="006F4DEC">
        <w:trPr>
          <w:jc w:val="center"/>
        </w:trPr>
        <w:tc>
          <w:tcPr>
            <w:tcW w:w="2399" w:type="dxa"/>
            <w:shd w:val="clear" w:color="auto" w:fill="auto"/>
            <w:tcMar>
              <w:top w:w="120" w:type="dxa"/>
              <w:left w:w="120" w:type="dxa"/>
              <w:bottom w:w="120" w:type="dxa"/>
              <w:right w:w="120" w:type="dxa"/>
            </w:tcMar>
            <w:hideMark/>
          </w:tcPr>
          <w:p w14:paraId="7BAE7619"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99" w:type="dxa"/>
            <w:shd w:val="clear" w:color="auto" w:fill="auto"/>
            <w:tcMar>
              <w:top w:w="120" w:type="dxa"/>
              <w:left w:w="120" w:type="dxa"/>
              <w:bottom w:w="120" w:type="dxa"/>
              <w:right w:w="120" w:type="dxa"/>
            </w:tcMar>
          </w:tcPr>
          <w:p w14:paraId="6EF590FF" w14:textId="77777777" w:rsidR="004A6279" w:rsidRPr="00151C7A" w:rsidRDefault="004A6279" w:rsidP="006F4DEC"/>
        </w:tc>
        <w:tc>
          <w:tcPr>
            <w:tcW w:w="2401" w:type="dxa"/>
            <w:shd w:val="clear" w:color="auto" w:fill="auto"/>
            <w:tcMar>
              <w:top w:w="120" w:type="dxa"/>
              <w:left w:w="120" w:type="dxa"/>
              <w:bottom w:w="120" w:type="dxa"/>
              <w:right w:w="120" w:type="dxa"/>
            </w:tcMar>
          </w:tcPr>
          <w:p w14:paraId="5DC86C03" w14:textId="77777777" w:rsidR="004A6279" w:rsidRPr="00151C7A" w:rsidRDefault="004A6279" w:rsidP="006F4DEC"/>
        </w:tc>
        <w:tc>
          <w:tcPr>
            <w:tcW w:w="2401" w:type="dxa"/>
            <w:shd w:val="clear" w:color="auto" w:fill="auto"/>
            <w:tcMar>
              <w:top w:w="120" w:type="dxa"/>
              <w:left w:w="120" w:type="dxa"/>
              <w:bottom w:w="120" w:type="dxa"/>
              <w:right w:w="120" w:type="dxa"/>
            </w:tcMar>
          </w:tcPr>
          <w:p w14:paraId="6CE4A626" w14:textId="77777777" w:rsidR="004A6279" w:rsidRPr="00151C7A" w:rsidRDefault="004A6279" w:rsidP="006F4DEC"/>
        </w:tc>
      </w:tr>
      <w:tr w:rsidR="004A6279" w:rsidRPr="00151C7A" w14:paraId="4AA883BA" w14:textId="77777777" w:rsidTr="006F4DEC">
        <w:trPr>
          <w:jc w:val="center"/>
        </w:trPr>
        <w:tc>
          <w:tcPr>
            <w:tcW w:w="2399" w:type="dxa"/>
            <w:shd w:val="clear" w:color="auto" w:fill="auto"/>
            <w:tcMar>
              <w:top w:w="120" w:type="dxa"/>
              <w:left w:w="120" w:type="dxa"/>
              <w:bottom w:w="120" w:type="dxa"/>
              <w:right w:w="120" w:type="dxa"/>
            </w:tcMar>
            <w:hideMark/>
          </w:tcPr>
          <w:p w14:paraId="5D331719"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99" w:type="dxa"/>
            <w:shd w:val="clear" w:color="auto" w:fill="auto"/>
            <w:tcMar>
              <w:top w:w="120" w:type="dxa"/>
              <w:left w:w="120" w:type="dxa"/>
              <w:bottom w:w="120" w:type="dxa"/>
              <w:right w:w="120" w:type="dxa"/>
            </w:tcMar>
          </w:tcPr>
          <w:p w14:paraId="0C0A0755" w14:textId="77777777" w:rsidR="004A6279" w:rsidRPr="00151C7A" w:rsidRDefault="004A6279" w:rsidP="006F4DEC"/>
        </w:tc>
        <w:tc>
          <w:tcPr>
            <w:tcW w:w="2401" w:type="dxa"/>
            <w:shd w:val="clear" w:color="auto" w:fill="auto"/>
            <w:tcMar>
              <w:top w:w="120" w:type="dxa"/>
              <w:left w:w="120" w:type="dxa"/>
              <w:bottom w:w="120" w:type="dxa"/>
              <w:right w:w="120" w:type="dxa"/>
            </w:tcMar>
          </w:tcPr>
          <w:p w14:paraId="77C7F4E8" w14:textId="77777777" w:rsidR="004A6279" w:rsidRPr="00151C7A" w:rsidRDefault="004A6279" w:rsidP="006F4DEC"/>
        </w:tc>
        <w:tc>
          <w:tcPr>
            <w:tcW w:w="2401" w:type="dxa"/>
            <w:shd w:val="clear" w:color="auto" w:fill="auto"/>
            <w:tcMar>
              <w:top w:w="120" w:type="dxa"/>
              <w:left w:w="120" w:type="dxa"/>
              <w:bottom w:w="120" w:type="dxa"/>
              <w:right w:w="120" w:type="dxa"/>
            </w:tcMar>
          </w:tcPr>
          <w:p w14:paraId="4D0B6EDA" w14:textId="77777777" w:rsidR="004A6279" w:rsidRPr="00151C7A" w:rsidRDefault="004A6279" w:rsidP="006F4DEC"/>
        </w:tc>
      </w:tr>
      <w:tr w:rsidR="004A6279" w:rsidRPr="00151C7A" w14:paraId="4791C742" w14:textId="77777777" w:rsidTr="006F4DEC">
        <w:trPr>
          <w:jc w:val="center"/>
        </w:trPr>
        <w:tc>
          <w:tcPr>
            <w:tcW w:w="9600" w:type="dxa"/>
            <w:gridSpan w:val="4"/>
            <w:shd w:val="clear" w:color="auto" w:fill="auto"/>
            <w:tcMar>
              <w:top w:w="120" w:type="dxa"/>
              <w:left w:w="120" w:type="dxa"/>
              <w:bottom w:w="120" w:type="dxa"/>
              <w:right w:w="120" w:type="dxa"/>
            </w:tcMar>
            <w:hideMark/>
          </w:tcPr>
          <w:p w14:paraId="3DD24AF1" w14:textId="77777777" w:rsidR="004A6279" w:rsidRPr="00151C7A" w:rsidRDefault="004A6279" w:rsidP="006F4DEC">
            <w:pPr>
              <w:jc w:val="left"/>
              <w:rPr>
                <w:b/>
                <w:bCs/>
              </w:rPr>
            </w:pPr>
            <w:r w:rsidRPr="00151C7A">
              <w:rPr>
                <w:b/>
                <w:bCs/>
              </w:rPr>
              <w:t>Occurrences involving general aviation aircraft registered in [</w:t>
            </w:r>
            <w:r w:rsidRPr="00151C7A">
              <w:rPr>
                <w:b/>
                <w:bCs/>
                <w:shd w:val="pct15" w:color="auto" w:fill="FFFFFF"/>
              </w:rPr>
              <w:t>State</w:t>
            </w:r>
            <w:r w:rsidRPr="00151C7A">
              <w:rPr>
                <w:b/>
                <w:bCs/>
              </w:rPr>
              <w:t>]</w:t>
            </w:r>
          </w:p>
        </w:tc>
      </w:tr>
      <w:tr w:rsidR="004A6279" w:rsidRPr="00151C7A" w14:paraId="7054674C" w14:textId="77777777" w:rsidTr="006F4DEC">
        <w:trPr>
          <w:jc w:val="center"/>
        </w:trPr>
        <w:tc>
          <w:tcPr>
            <w:tcW w:w="2399" w:type="dxa"/>
            <w:shd w:val="clear" w:color="auto" w:fill="auto"/>
            <w:tcMar>
              <w:top w:w="120" w:type="dxa"/>
              <w:left w:w="120" w:type="dxa"/>
              <w:bottom w:w="120" w:type="dxa"/>
              <w:right w:w="120" w:type="dxa"/>
            </w:tcMar>
            <w:hideMark/>
          </w:tcPr>
          <w:p w14:paraId="3E96024C"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99" w:type="dxa"/>
            <w:shd w:val="clear" w:color="auto" w:fill="auto"/>
            <w:tcMar>
              <w:top w:w="120" w:type="dxa"/>
              <w:left w:w="120" w:type="dxa"/>
              <w:bottom w:w="120" w:type="dxa"/>
              <w:right w:w="120" w:type="dxa"/>
            </w:tcMar>
          </w:tcPr>
          <w:p w14:paraId="1BE2F6DA" w14:textId="77777777" w:rsidR="004A6279" w:rsidRPr="00151C7A" w:rsidRDefault="004A6279" w:rsidP="006F4DEC"/>
        </w:tc>
        <w:tc>
          <w:tcPr>
            <w:tcW w:w="2401" w:type="dxa"/>
            <w:shd w:val="clear" w:color="auto" w:fill="auto"/>
            <w:tcMar>
              <w:top w:w="120" w:type="dxa"/>
              <w:left w:w="120" w:type="dxa"/>
              <w:bottom w:w="120" w:type="dxa"/>
              <w:right w:w="120" w:type="dxa"/>
            </w:tcMar>
          </w:tcPr>
          <w:p w14:paraId="6D24C97B" w14:textId="77777777" w:rsidR="004A6279" w:rsidRPr="00151C7A" w:rsidRDefault="004A6279" w:rsidP="006F4DEC"/>
        </w:tc>
        <w:tc>
          <w:tcPr>
            <w:tcW w:w="2401" w:type="dxa"/>
            <w:shd w:val="clear" w:color="auto" w:fill="auto"/>
            <w:tcMar>
              <w:top w:w="120" w:type="dxa"/>
              <w:left w:w="120" w:type="dxa"/>
              <w:bottom w:w="120" w:type="dxa"/>
              <w:right w:w="120" w:type="dxa"/>
            </w:tcMar>
          </w:tcPr>
          <w:p w14:paraId="37526E0B" w14:textId="77777777" w:rsidR="004A6279" w:rsidRPr="00151C7A" w:rsidRDefault="004A6279" w:rsidP="006F4DEC"/>
        </w:tc>
      </w:tr>
      <w:tr w:rsidR="004A6279" w:rsidRPr="00151C7A" w14:paraId="6051EA29" w14:textId="77777777" w:rsidTr="006F4DEC">
        <w:trPr>
          <w:jc w:val="center"/>
        </w:trPr>
        <w:tc>
          <w:tcPr>
            <w:tcW w:w="2399" w:type="dxa"/>
            <w:shd w:val="clear" w:color="auto" w:fill="auto"/>
            <w:tcMar>
              <w:top w:w="120" w:type="dxa"/>
              <w:left w:w="120" w:type="dxa"/>
              <w:bottom w:w="120" w:type="dxa"/>
              <w:right w:w="120" w:type="dxa"/>
            </w:tcMar>
            <w:hideMark/>
          </w:tcPr>
          <w:p w14:paraId="710BBD80"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99" w:type="dxa"/>
            <w:shd w:val="clear" w:color="auto" w:fill="auto"/>
            <w:tcMar>
              <w:top w:w="120" w:type="dxa"/>
              <w:left w:w="120" w:type="dxa"/>
              <w:bottom w:w="120" w:type="dxa"/>
              <w:right w:w="120" w:type="dxa"/>
            </w:tcMar>
          </w:tcPr>
          <w:p w14:paraId="6A71D11B" w14:textId="77777777" w:rsidR="004A6279" w:rsidRPr="00151C7A" w:rsidRDefault="004A6279" w:rsidP="006F4DEC"/>
        </w:tc>
        <w:tc>
          <w:tcPr>
            <w:tcW w:w="2401" w:type="dxa"/>
            <w:shd w:val="clear" w:color="auto" w:fill="auto"/>
            <w:tcMar>
              <w:top w:w="120" w:type="dxa"/>
              <w:left w:w="120" w:type="dxa"/>
              <w:bottom w:w="120" w:type="dxa"/>
              <w:right w:w="120" w:type="dxa"/>
            </w:tcMar>
          </w:tcPr>
          <w:p w14:paraId="2B6FF185" w14:textId="77777777" w:rsidR="004A6279" w:rsidRPr="00151C7A" w:rsidRDefault="004A6279" w:rsidP="006F4DEC"/>
        </w:tc>
        <w:tc>
          <w:tcPr>
            <w:tcW w:w="2401" w:type="dxa"/>
            <w:shd w:val="clear" w:color="auto" w:fill="auto"/>
            <w:tcMar>
              <w:top w:w="120" w:type="dxa"/>
              <w:left w:w="120" w:type="dxa"/>
              <w:bottom w:w="120" w:type="dxa"/>
              <w:right w:w="120" w:type="dxa"/>
            </w:tcMar>
          </w:tcPr>
          <w:p w14:paraId="009146B3" w14:textId="77777777" w:rsidR="004A6279" w:rsidRPr="00151C7A" w:rsidRDefault="004A6279" w:rsidP="006F4DEC"/>
        </w:tc>
      </w:tr>
    </w:tbl>
    <w:p w14:paraId="41911C62" w14:textId="77777777" w:rsidR="004A6279" w:rsidRPr="00151C7A" w:rsidRDefault="004A6279" w:rsidP="004A6279"/>
    <w:p w14:paraId="76FAB9B5" w14:textId="77777777" w:rsidR="004A6279" w:rsidRPr="00151C7A" w:rsidRDefault="004A6279" w:rsidP="004A6279"/>
    <w:p w14:paraId="0BB35A5B" w14:textId="77777777" w:rsidR="004A6279" w:rsidRPr="00151C7A" w:rsidRDefault="004A6279" w:rsidP="004A6279">
      <w:r w:rsidRPr="00151C7A">
        <w:t>The following [</w:t>
      </w:r>
      <w:r w:rsidRPr="00151C7A">
        <w:rPr>
          <w:shd w:val="pct15" w:color="auto" w:fill="FFFFFF"/>
        </w:rPr>
        <w:t>number</w:t>
      </w:r>
      <w:r w:rsidRPr="00151C7A">
        <w:t>] national high-risk categories of occurrences (N-HRCs) in the [</w:t>
      </w:r>
      <w:r w:rsidRPr="00151C7A">
        <w:rPr>
          <w:shd w:val="pct15" w:color="auto" w:fill="FFFFFF"/>
        </w:rPr>
        <w:t>State</w:t>
      </w:r>
      <w:r w:rsidRPr="00151C7A">
        <w:t>] context were considered of the utmost priority because of the number of fatalities and risk of fatalities associated with such occurrences. They were identified based on analyses from mandatory and voluntary reporting systems, accident and incident investigation reports, safety oversight activities over the past [</w:t>
      </w:r>
      <w:r w:rsidRPr="00151C7A">
        <w:rPr>
          <w:shd w:val="pct15" w:color="auto" w:fill="FFFFFF"/>
        </w:rPr>
        <w:t>number</w:t>
      </w:r>
      <w:r w:rsidRPr="00151C7A">
        <w:t>] years, the SSP, as well as on the basis of regional analysis conducted by [</w:t>
      </w:r>
      <w:r w:rsidRPr="00151C7A">
        <w:rPr>
          <w:shd w:val="pct15" w:color="auto" w:fill="FFFFFF"/>
        </w:rPr>
        <w:t xml:space="preserve">list names of entities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sidRPr="00151C7A">
        <w:rPr>
          <w:i/>
          <w:iCs/>
          <w:shd w:val="pct15" w:color="auto" w:fill="FFFFFF"/>
        </w:rPr>
        <w:t>RASG, RSOO, PIRG, and/or RAIO</w:t>
      </w:r>
      <w:r w:rsidRPr="00151C7A">
        <w:t xml:space="preserve">] and on the operational safety risks described in the GASP. </w:t>
      </w:r>
    </w:p>
    <w:p w14:paraId="7A9E0370" w14:textId="77777777" w:rsidR="004A6279" w:rsidRDefault="004A6279" w:rsidP="004A6279"/>
    <w:p w14:paraId="1AF6CA3D" w14:textId="77777777" w:rsidR="004A6279" w:rsidRPr="00151C7A" w:rsidRDefault="004A6279" w:rsidP="004A6279">
      <w:r w:rsidRPr="00151C7A">
        <w:t>These N-HRCs are in line with those listed in the [</w:t>
      </w:r>
      <w:r w:rsidRPr="00151C7A">
        <w:rPr>
          <w:shd w:val="pct15" w:color="auto" w:fill="FFFFFF"/>
        </w:rPr>
        <w:t>current edition</w:t>
      </w:r>
      <w:r w:rsidRPr="00151C7A">
        <w:t>] of the GASP, as well as the [</w:t>
      </w:r>
      <w:r w:rsidRPr="00151C7A">
        <w:rPr>
          <w:shd w:val="pct15" w:color="auto" w:fill="FFFFFF"/>
        </w:rPr>
        <w:t>name of the RASP</w:t>
      </w:r>
      <w:r w:rsidRPr="00151C7A">
        <w:t>]:</w:t>
      </w:r>
    </w:p>
    <w:p w14:paraId="08B94507" w14:textId="77777777" w:rsidR="004A6279" w:rsidRPr="00151C7A" w:rsidRDefault="004A6279" w:rsidP="004A6279"/>
    <w:p w14:paraId="4699E03B" w14:textId="77777777" w:rsidR="004A6279" w:rsidRPr="00151C7A" w:rsidRDefault="004A6279" w:rsidP="004A6279">
      <w:pPr>
        <w:pStyle w:val="Indent-a"/>
        <w:rPr>
          <w:i/>
          <w:iCs/>
          <w:shd w:val="pct15" w:color="auto" w:fill="FFFFFF"/>
        </w:rPr>
      </w:pPr>
      <w:r w:rsidRPr="00151C7A">
        <w:tab/>
        <w:t>1)</w:t>
      </w:r>
      <w:r w:rsidRPr="00151C7A">
        <w:tab/>
        <w:t>[</w:t>
      </w:r>
      <w:r w:rsidRPr="00151C7A">
        <w:rPr>
          <w:shd w:val="pct15" w:color="auto" w:fill="FFFFFF"/>
        </w:rPr>
        <w:t xml:space="preserve">list N-HRCs and briefly explain why they were given priority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 xml:space="preserve">Example, LOC-I. Operators experienced occurrences involving deviations from intended flightpath, reported to the State via its </w:t>
      </w:r>
      <w:r w:rsidRPr="008151D6">
        <w:rPr>
          <w:i/>
          <w:iCs/>
          <w:shd w:val="pct15" w:color="auto" w:fill="FFFFFF"/>
        </w:rPr>
        <w:t>SDCPS</w:t>
      </w:r>
      <w:r>
        <w:rPr>
          <w:i/>
          <w:iCs/>
          <w:shd w:val="pct15" w:color="auto" w:fill="FFFFFF"/>
        </w:rPr>
        <w:t>.</w:t>
      </w:r>
      <w:r w:rsidRPr="00151C7A">
        <w:t>]</w:t>
      </w:r>
    </w:p>
    <w:p w14:paraId="183C043D" w14:textId="77777777" w:rsidR="004A6279" w:rsidRPr="00151C7A" w:rsidRDefault="004A6279" w:rsidP="004A6279">
      <w:pPr>
        <w:pStyle w:val="Indent-a"/>
      </w:pPr>
    </w:p>
    <w:p w14:paraId="517B529A"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031CD1DD" w14:textId="77777777" w:rsidR="004A6279" w:rsidRPr="00151C7A" w:rsidRDefault="004A6279" w:rsidP="004A6279">
      <w:pPr>
        <w:pStyle w:val="Indent-a"/>
      </w:pPr>
    </w:p>
    <w:p w14:paraId="03ABBEB1"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6EBF30A4" w14:textId="77777777" w:rsidR="004A6279" w:rsidRPr="00151C7A" w:rsidRDefault="004A6279" w:rsidP="004A6279"/>
    <w:p w14:paraId="37B9F815" w14:textId="77777777" w:rsidR="004A6279" w:rsidRPr="00151C7A" w:rsidRDefault="004A6279" w:rsidP="004A6279">
      <w:r w:rsidRPr="00151C7A">
        <w:t>In addition to the N-HRCs listed above, the following national</w:t>
      </w:r>
      <w:r w:rsidRPr="00151C7A" w:rsidDel="00FD7E63">
        <w:t xml:space="preserve"> </w:t>
      </w:r>
      <w:r w:rsidRPr="00151C7A">
        <w:t>operational safety risks have been identified:</w:t>
      </w:r>
    </w:p>
    <w:p w14:paraId="746F1990" w14:textId="77777777" w:rsidR="004A6279" w:rsidRPr="00151C7A" w:rsidRDefault="004A6279" w:rsidP="004A6279"/>
    <w:p w14:paraId="6534A4A4" w14:textId="77777777" w:rsidR="004A6279" w:rsidRPr="00151C7A" w:rsidRDefault="004A6279" w:rsidP="004A6279">
      <w:pPr>
        <w:pStyle w:val="Indent-a"/>
      </w:pPr>
      <w:r w:rsidRPr="00151C7A">
        <w:tab/>
        <w:t>1)</w:t>
      </w:r>
      <w:r w:rsidRPr="00151C7A">
        <w:tab/>
        <w:t>[</w:t>
      </w:r>
      <w:r w:rsidRPr="00151C7A">
        <w:rPr>
          <w:shd w:val="pct15" w:color="auto" w:fill="FFFFFF"/>
        </w:rPr>
        <w:t>list other national</w:t>
      </w:r>
      <w:r w:rsidRPr="00151C7A" w:rsidDel="00FD7E63">
        <w:rPr>
          <w:shd w:val="pct15" w:color="auto" w:fill="FFFFFF"/>
        </w:rPr>
        <w:t xml:space="preserve"> </w:t>
      </w:r>
      <w:r w:rsidRPr="00151C7A">
        <w:rPr>
          <w:shd w:val="pct15" w:color="auto" w:fill="FFFFFF"/>
        </w:rPr>
        <w:t xml:space="preserve">operational safety risks and briefly explain why they were given priority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 xml:space="preserve">Example, Bird strikes. Operators experienced occurrences involving bird strikes, reported to the State via its </w:t>
      </w:r>
      <w:r w:rsidRPr="008151D6">
        <w:rPr>
          <w:i/>
          <w:iCs/>
          <w:shd w:val="pct15" w:color="auto" w:fill="FFFFFF"/>
        </w:rPr>
        <w:t>SDCPS</w:t>
      </w:r>
      <w:r>
        <w:rPr>
          <w:i/>
          <w:iCs/>
          <w:shd w:val="pct15" w:color="auto" w:fill="FFFFFF"/>
        </w:rPr>
        <w:t>.</w:t>
      </w:r>
      <w:r w:rsidRPr="00151C7A">
        <w:t>]</w:t>
      </w:r>
    </w:p>
    <w:p w14:paraId="2F9D272F" w14:textId="77777777" w:rsidR="004A6279" w:rsidRPr="00151C7A" w:rsidRDefault="004A6279" w:rsidP="004A6279">
      <w:pPr>
        <w:pStyle w:val="Indent-a"/>
      </w:pPr>
    </w:p>
    <w:p w14:paraId="3AF4F65D"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629C21C7" w14:textId="77777777" w:rsidR="004A6279" w:rsidRPr="00151C7A" w:rsidRDefault="004A6279" w:rsidP="004A6279">
      <w:pPr>
        <w:pStyle w:val="Indent-a"/>
      </w:pPr>
    </w:p>
    <w:p w14:paraId="1AC8C0E3"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229C8607" w14:textId="77777777" w:rsidR="004A6279" w:rsidRPr="00151C7A" w:rsidRDefault="004A6279" w:rsidP="004A6279"/>
    <w:p w14:paraId="69CE91E8" w14:textId="77777777" w:rsidR="004A6279" w:rsidRPr="00151C7A" w:rsidRDefault="004A6279" w:rsidP="004A6279">
      <w:r w:rsidRPr="00151C7A">
        <w:t xml:space="preserve">The aviation occurrence categories from the Commercial Aviation Safety Team (CAST)/ICAO Common Taxonomy Team (CICTT) were used to assess risk categories in the process of determining national operational safety risks. The CICTT Taxonomy is found on the ICAO website at </w:t>
      </w:r>
      <w:hyperlink r:id="rId14" w:history="1">
        <w:r w:rsidRPr="00151C7A">
          <w:rPr>
            <w:rStyle w:val="Hyperlink"/>
          </w:rPr>
          <w:t>https://www.icao.int/safety/airnavigation/AIG/Pages/Taxonomy.aspx</w:t>
        </w:r>
      </w:hyperlink>
      <w:r w:rsidRPr="00151C7A">
        <w:t>.</w:t>
      </w:r>
    </w:p>
    <w:p w14:paraId="34C0698B" w14:textId="77777777" w:rsidR="004A6279" w:rsidRPr="00151C7A" w:rsidRDefault="004A6279" w:rsidP="004A6279"/>
    <w:p w14:paraId="549DC16D" w14:textId="77777777" w:rsidR="004A6279" w:rsidRPr="00151C7A" w:rsidRDefault="004A6279" w:rsidP="004A6279">
      <w:r w:rsidRPr="00151C7A">
        <w:t>To address the national operational safety risks listed above, [</w:t>
      </w:r>
      <w:r w:rsidRPr="00151C7A">
        <w:rPr>
          <w:shd w:val="pct15" w:color="auto" w:fill="FFFFFF"/>
        </w:rPr>
        <w:t>State</w:t>
      </w:r>
      <w:r w:rsidRPr="00151C7A">
        <w:t>] identified the following contributing factors leading to N-HRCs and [</w:t>
      </w:r>
      <w:r w:rsidRPr="00151C7A">
        <w:rPr>
          <w:shd w:val="pct15" w:color="auto" w:fill="FFFFFF"/>
        </w:rPr>
        <w:t>list names of entities</w:t>
      </w:r>
      <w:r w:rsidRPr="00151C7A">
        <w:t xml:space="preserve">] will implement a series of SEIs, some of which are derived from the ICAO OPS </w:t>
      </w:r>
      <w:r w:rsidRPr="00831EB0">
        <w:t>roadmap</w:t>
      </w:r>
      <w:r w:rsidRPr="00151C7A">
        <w:t xml:space="preserve">, contained in the ICAO </w:t>
      </w:r>
      <w:r w:rsidRPr="00151C7A">
        <w:rPr>
          <w:i/>
          <w:iCs/>
        </w:rPr>
        <w:t>Global Aviation Safety Roadmap</w:t>
      </w:r>
      <w:r w:rsidRPr="00151C7A">
        <w:t xml:space="preserve"> (Doc 10161):</w:t>
      </w:r>
    </w:p>
    <w:p w14:paraId="43125AD3" w14:textId="77777777" w:rsidR="004A6279" w:rsidRPr="00151C7A" w:rsidRDefault="004A6279" w:rsidP="004A6279"/>
    <w:p w14:paraId="32331D88" w14:textId="77777777" w:rsidR="004A6279" w:rsidRDefault="004A6279" w:rsidP="004A6279">
      <w:pPr>
        <w:widowControl/>
        <w:tabs>
          <w:tab w:val="clear" w:pos="1080"/>
          <w:tab w:val="clear" w:pos="1440"/>
          <w:tab w:val="clear" w:pos="1800"/>
          <w:tab w:val="clear" w:pos="2160"/>
        </w:tabs>
        <w:spacing w:after="160" w:line="259" w:lineRule="auto"/>
        <w:jc w:val="left"/>
        <w:rPr>
          <w:b/>
          <w:bCs/>
        </w:rPr>
      </w:pPr>
      <w:r>
        <w:rPr>
          <w:b/>
          <w:bCs/>
        </w:rPr>
        <w:br w:type="page"/>
      </w:r>
    </w:p>
    <w:p w14:paraId="6E00ABD1" w14:textId="77777777" w:rsidR="004A6279" w:rsidRPr="00151C7A" w:rsidRDefault="004A6279" w:rsidP="004A6279">
      <w:pPr>
        <w:rPr>
          <w:b/>
          <w:bCs/>
        </w:rPr>
      </w:pPr>
      <w:r w:rsidRPr="00151C7A">
        <w:rPr>
          <w:b/>
          <w:bCs/>
        </w:rPr>
        <w:lastRenderedPageBreak/>
        <w:t>N-HRC 1: [</w:t>
      </w:r>
      <w:r w:rsidRPr="00151C7A">
        <w:rPr>
          <w:b/>
          <w:bCs/>
          <w:shd w:val="pct15" w:color="auto" w:fill="FFFFFF"/>
        </w:rPr>
        <w:t xml:space="preserve">name of occurrence category, </w:t>
      </w:r>
      <w:r w:rsidRPr="00151C7A">
        <w:rPr>
          <w:rFonts w:ascii="Calibri" w:hAnsi="Calibri"/>
          <w:b/>
          <w:bCs/>
          <w:shd w:val="pct15" w:color="auto" w:fill="FFFFFF"/>
        </w:rPr>
        <w:t>—</w:t>
      </w:r>
      <w:r w:rsidRPr="00151C7A">
        <w:rPr>
          <w:b/>
          <w:bCs/>
          <w:shd w:val="pct15" w:color="auto" w:fill="FFFFFF"/>
        </w:rPr>
        <w:t xml:space="preserve"> </w:t>
      </w:r>
      <w:r w:rsidRPr="00151C7A">
        <w:rPr>
          <w:b/>
          <w:bCs/>
          <w:i/>
          <w:iCs/>
          <w:shd w:val="pct15" w:color="auto" w:fill="FFFFFF"/>
        </w:rPr>
        <w:t>Example,</w:t>
      </w:r>
      <w:r w:rsidRPr="00151C7A">
        <w:rPr>
          <w:i/>
          <w:iCs/>
          <w:shd w:val="pct15" w:color="auto" w:fill="FFFFFF"/>
        </w:rPr>
        <w:t xml:space="preserve"> </w:t>
      </w:r>
      <w:r w:rsidRPr="00151C7A">
        <w:rPr>
          <w:b/>
          <w:bCs/>
          <w:i/>
          <w:iCs/>
          <w:shd w:val="pct15" w:color="auto" w:fill="FFFFFF"/>
        </w:rPr>
        <w:t>LOC-I</w:t>
      </w:r>
      <w:r w:rsidRPr="00151C7A">
        <w:rPr>
          <w:b/>
          <w:bCs/>
        </w:rPr>
        <w:t>]</w:t>
      </w:r>
    </w:p>
    <w:p w14:paraId="2ACC60B8" w14:textId="77777777" w:rsidR="004A6279" w:rsidRPr="00151C7A" w:rsidRDefault="004A6279" w:rsidP="004A6279"/>
    <w:p w14:paraId="7DA74CFB" w14:textId="77777777" w:rsidR="004A6279" w:rsidRPr="00151C7A" w:rsidRDefault="004A6279" w:rsidP="004A6279">
      <w:pPr>
        <w:pStyle w:val="Indent-a"/>
      </w:pPr>
      <w:r w:rsidRPr="00151C7A">
        <w:tab/>
        <w:t>1)</w:t>
      </w:r>
      <w:r w:rsidRPr="00151C7A">
        <w:tab/>
        <w:t>[</w:t>
      </w:r>
      <w:r w:rsidRPr="00151C7A">
        <w:rPr>
          <w:shd w:val="pct15" w:color="auto" w:fill="FFFFFF"/>
        </w:rPr>
        <w:t xml:space="preserve">list contributing factors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Inadequate procedures for effective flight management</w:t>
      </w:r>
      <w:r w:rsidRPr="00151C7A">
        <w:t>]</w:t>
      </w:r>
    </w:p>
    <w:p w14:paraId="164126BB" w14:textId="77777777" w:rsidR="004A6279" w:rsidRPr="00151C7A" w:rsidRDefault="004A6279" w:rsidP="004A6279">
      <w:pPr>
        <w:pStyle w:val="Indent-a"/>
      </w:pPr>
    </w:p>
    <w:p w14:paraId="5C779CFD"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73CE7391" w14:textId="77777777" w:rsidR="004A6279" w:rsidRPr="00151C7A" w:rsidRDefault="004A6279" w:rsidP="004A6279">
      <w:pPr>
        <w:pStyle w:val="Indent-a"/>
      </w:pPr>
    </w:p>
    <w:p w14:paraId="523483D3"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43B2231F" w14:textId="77777777" w:rsidR="004A6279" w:rsidRPr="00151C7A" w:rsidRDefault="004A6279" w:rsidP="004A6279"/>
    <w:p w14:paraId="23FA4490" w14:textId="77777777" w:rsidR="004A6279" w:rsidRPr="00151C7A" w:rsidRDefault="004A6279" w:rsidP="004A6279">
      <w:pPr>
        <w:rPr>
          <w:b/>
          <w:bCs/>
        </w:rPr>
      </w:pPr>
      <w:r w:rsidRPr="00151C7A">
        <w:rPr>
          <w:b/>
          <w:bCs/>
        </w:rPr>
        <w:t>N-HRC 2: [</w:t>
      </w:r>
      <w:r w:rsidRPr="00151C7A">
        <w:rPr>
          <w:b/>
          <w:bCs/>
          <w:shd w:val="pct15" w:color="auto" w:fill="FFFFFF"/>
        </w:rPr>
        <w:t>name of occurrence category</w:t>
      </w:r>
      <w:r w:rsidRPr="00151C7A">
        <w:rPr>
          <w:b/>
          <w:bCs/>
        </w:rPr>
        <w:t>]</w:t>
      </w:r>
    </w:p>
    <w:p w14:paraId="53251C28" w14:textId="77777777" w:rsidR="004A6279" w:rsidRPr="00151C7A" w:rsidRDefault="004A6279" w:rsidP="004A6279"/>
    <w:p w14:paraId="51B60E2F" w14:textId="77777777" w:rsidR="004A6279" w:rsidRPr="00151C7A" w:rsidRDefault="004A6279" w:rsidP="004A6279">
      <w:pPr>
        <w:pStyle w:val="Indent-a"/>
      </w:pPr>
      <w:r w:rsidRPr="00151C7A">
        <w:tab/>
        <w:t>1)</w:t>
      </w:r>
      <w:r w:rsidRPr="00151C7A">
        <w:tab/>
        <w:t>[</w:t>
      </w:r>
      <w:r w:rsidRPr="00151C7A">
        <w:rPr>
          <w:shd w:val="pct15" w:color="auto" w:fill="FFFFFF"/>
        </w:rPr>
        <w:t>list contributing factors</w:t>
      </w:r>
      <w:r w:rsidRPr="00151C7A">
        <w:t xml:space="preserve">] </w:t>
      </w:r>
    </w:p>
    <w:p w14:paraId="504B113E" w14:textId="77777777" w:rsidR="004A6279" w:rsidRPr="00151C7A" w:rsidRDefault="004A6279" w:rsidP="004A6279">
      <w:pPr>
        <w:pStyle w:val="Indent-a"/>
      </w:pPr>
    </w:p>
    <w:p w14:paraId="6AE14E2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607F9404" w14:textId="77777777" w:rsidR="004A6279" w:rsidRPr="00151C7A" w:rsidRDefault="004A6279" w:rsidP="004A6279">
      <w:pPr>
        <w:pStyle w:val="Indent-a"/>
      </w:pPr>
    </w:p>
    <w:p w14:paraId="195E4EAC"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51FCE191" w14:textId="77777777" w:rsidR="004A6279" w:rsidRPr="00151C7A" w:rsidRDefault="004A6279" w:rsidP="004A6279"/>
    <w:p w14:paraId="6D6663A5" w14:textId="77777777" w:rsidR="004A6279" w:rsidRPr="00151C7A" w:rsidRDefault="004A6279" w:rsidP="004A6279">
      <w:pPr>
        <w:rPr>
          <w:b/>
          <w:bCs/>
        </w:rPr>
      </w:pPr>
      <w:r w:rsidRPr="00151C7A">
        <w:rPr>
          <w:b/>
          <w:bCs/>
        </w:rPr>
        <w:t>N</w:t>
      </w:r>
      <w:r w:rsidRPr="00151C7A">
        <w:rPr>
          <w:b/>
          <w:bCs/>
          <w:lang w:val="en-US"/>
        </w:rPr>
        <w:t>-</w:t>
      </w:r>
      <w:r w:rsidRPr="00151C7A">
        <w:rPr>
          <w:b/>
          <w:bCs/>
        </w:rPr>
        <w:t xml:space="preserve">HRC </w:t>
      </w:r>
      <w:r w:rsidRPr="00151C7A">
        <w:rPr>
          <w:b/>
          <w:bCs/>
          <w:i/>
          <w:iCs/>
        </w:rPr>
        <w:t>n</w:t>
      </w:r>
      <w:r w:rsidRPr="00151C7A">
        <w:rPr>
          <w:b/>
          <w:bCs/>
        </w:rPr>
        <w:t>: [</w:t>
      </w:r>
      <w:r w:rsidRPr="00151C7A">
        <w:rPr>
          <w:b/>
          <w:bCs/>
          <w:shd w:val="pct15" w:color="auto" w:fill="FFFFFF"/>
        </w:rPr>
        <w:t>name of occurrence category</w:t>
      </w:r>
      <w:r w:rsidRPr="00151C7A">
        <w:rPr>
          <w:b/>
          <w:bCs/>
        </w:rPr>
        <w:t>]</w:t>
      </w:r>
    </w:p>
    <w:p w14:paraId="0C09A755" w14:textId="77777777" w:rsidR="004A6279" w:rsidRPr="00151C7A" w:rsidRDefault="004A6279" w:rsidP="004A6279"/>
    <w:p w14:paraId="69651B0D" w14:textId="77777777" w:rsidR="004A6279" w:rsidRPr="00151C7A" w:rsidRDefault="004A6279" w:rsidP="004A6279">
      <w:pPr>
        <w:pStyle w:val="Indent-a"/>
      </w:pPr>
      <w:r w:rsidRPr="00151C7A">
        <w:tab/>
        <w:t>1)</w:t>
      </w:r>
      <w:r w:rsidRPr="00151C7A">
        <w:tab/>
        <w:t>[</w:t>
      </w:r>
      <w:r w:rsidRPr="00151C7A">
        <w:rPr>
          <w:shd w:val="pct15" w:color="auto" w:fill="FFFFFF"/>
        </w:rPr>
        <w:t>list contributing factors</w:t>
      </w:r>
      <w:r w:rsidRPr="00151C7A">
        <w:t xml:space="preserve">] </w:t>
      </w:r>
    </w:p>
    <w:p w14:paraId="66CBC43F" w14:textId="77777777" w:rsidR="004A6279" w:rsidRPr="00151C7A" w:rsidRDefault="004A6279" w:rsidP="004A6279">
      <w:pPr>
        <w:pStyle w:val="Indent-a"/>
      </w:pPr>
    </w:p>
    <w:p w14:paraId="32348EC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25559B92" w14:textId="77777777" w:rsidR="004A6279" w:rsidRPr="00151C7A" w:rsidRDefault="004A6279" w:rsidP="004A6279">
      <w:pPr>
        <w:pStyle w:val="Indent-a"/>
      </w:pPr>
    </w:p>
    <w:p w14:paraId="603DE383"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414E10A0" w14:textId="77777777" w:rsidR="004A6279" w:rsidRPr="00151C7A" w:rsidRDefault="004A6279" w:rsidP="004A6279"/>
    <w:p w14:paraId="6AE0A383" w14:textId="77777777" w:rsidR="004A6279" w:rsidRPr="00151C7A" w:rsidRDefault="004A6279" w:rsidP="004A6279">
      <w:r w:rsidRPr="00151C7A">
        <w:t>The full list of the SEIs is presented in the appendix to the NASP.</w:t>
      </w:r>
      <w:r w:rsidRPr="00151C7A">
        <w:br w:type="page"/>
      </w:r>
    </w:p>
    <w:p w14:paraId="46EDCD2E" w14:textId="77777777" w:rsidR="004A6279" w:rsidRPr="00151C7A" w:rsidRDefault="004A6279" w:rsidP="004A6279">
      <w:pPr>
        <w:pStyle w:val="BOLDCAPSCENTERED"/>
      </w:pPr>
      <w:bookmarkStart w:id="5" w:name="_Toc41037095"/>
      <w:r w:rsidRPr="00151C7A">
        <w:lastRenderedPageBreak/>
        <w:t>SECTION 5.    </w:t>
      </w:r>
      <w:bookmarkEnd w:id="5"/>
      <w:r w:rsidRPr="00151C7A">
        <w:t>ORGanizational challenges</w:t>
      </w:r>
    </w:p>
    <w:p w14:paraId="2BE52977" w14:textId="77777777" w:rsidR="004A6279" w:rsidRPr="00151C7A" w:rsidRDefault="004A6279" w:rsidP="004A6279"/>
    <w:p w14:paraId="11748636" w14:textId="77777777" w:rsidR="004A6279" w:rsidRPr="00151C7A" w:rsidRDefault="004A6279" w:rsidP="004A6279">
      <w:r w:rsidRPr="00151C7A">
        <w:t>In addition to the national operational safety risks listed in the NASP, [</w:t>
      </w:r>
      <w:r w:rsidRPr="00151C7A">
        <w:rPr>
          <w:shd w:val="pct15" w:color="auto" w:fill="FFFFFF"/>
        </w:rPr>
        <w:t>State</w:t>
      </w:r>
      <w:r w:rsidRPr="00151C7A">
        <w:t>] has identified organizational challenges and a series of SEIs, selected for the NASP, to address them. These are given priority in the NASP since they are aimed at enhancing and strengthening [</w:t>
      </w:r>
      <w:r w:rsidRPr="00151C7A">
        <w:rPr>
          <w:shd w:val="pct15" w:color="auto" w:fill="FFFFFF"/>
        </w:rPr>
        <w:t>State</w:t>
      </w:r>
      <w:r w:rsidRPr="00151C7A">
        <w:t>]’s safety oversight capabilities and the management of aviation safety at the national level.</w:t>
      </w:r>
    </w:p>
    <w:p w14:paraId="3E4D8023" w14:textId="77777777" w:rsidR="004A6279" w:rsidRPr="00151C7A" w:rsidRDefault="004A6279" w:rsidP="004A6279"/>
    <w:p w14:paraId="3E39933C" w14:textId="77777777" w:rsidR="004A6279" w:rsidRPr="00151C7A" w:rsidRDefault="004A6279" w:rsidP="004A6279">
      <w:r w:rsidRPr="00151C7A">
        <w:t>The eight critical elements (CEs) of a safety oversight system are defined by ICAO. [</w:t>
      </w:r>
      <w:r w:rsidRPr="00151C7A">
        <w:rPr>
          <w:shd w:val="pct15" w:color="auto" w:fill="FFFFFF"/>
        </w:rPr>
        <w:t>State</w:t>
      </w:r>
      <w:r w:rsidRPr="00151C7A">
        <w:t>] is committed to the effective implementation of these eight CEs, as part of its overall safety oversight responsibilities, which emphasize [</w:t>
      </w:r>
      <w:r w:rsidRPr="00151C7A">
        <w:rPr>
          <w:shd w:val="pct15" w:color="auto" w:fill="FFFFFF"/>
        </w:rPr>
        <w:t>State</w:t>
      </w:r>
      <w:r w:rsidRPr="00151C7A">
        <w:t>]’s commitment to safety in respect of its aviation activities. The eight CEs are presented in Figure 1 below.</w:t>
      </w:r>
    </w:p>
    <w:p w14:paraId="41D23A71" w14:textId="77777777" w:rsidR="004A6279" w:rsidRPr="00151C7A" w:rsidRDefault="004A6279" w:rsidP="004A6279"/>
    <w:p w14:paraId="3918CC21" w14:textId="77777777" w:rsidR="004A6279" w:rsidRPr="00151C7A" w:rsidRDefault="004A6279" w:rsidP="004A6279"/>
    <w:p w14:paraId="075BE7FB" w14:textId="77777777" w:rsidR="004A6279" w:rsidRPr="00151C7A" w:rsidRDefault="004A6279" w:rsidP="004A6279">
      <w:r w:rsidRPr="00151C7A">
        <w:rPr>
          <w:noProof/>
          <w:lang w:val="en-CA"/>
        </w:rPr>
        <w:drawing>
          <wp:anchor distT="0" distB="0" distL="114300" distR="114300" simplePos="0" relativeHeight="251666432" behindDoc="0" locked="0" layoutInCell="1" allowOverlap="1" wp14:anchorId="390699B5" wp14:editId="4D438A19">
            <wp:simplePos x="0" y="0"/>
            <wp:positionH relativeFrom="column">
              <wp:posOffset>301625</wp:posOffset>
            </wp:positionH>
            <wp:positionV relativeFrom="paragraph">
              <wp:posOffset>2540</wp:posOffset>
            </wp:positionV>
            <wp:extent cx="5224780" cy="52152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4780" cy="521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416D" w14:textId="77777777" w:rsidR="004A6279" w:rsidRPr="00151C7A" w:rsidRDefault="004A6279" w:rsidP="004A6279"/>
    <w:p w14:paraId="6EDDEA1B" w14:textId="77777777" w:rsidR="004A6279" w:rsidRPr="00151C7A" w:rsidRDefault="004A6279" w:rsidP="004A6279"/>
    <w:p w14:paraId="526B0338" w14:textId="77777777" w:rsidR="004A6279" w:rsidRPr="00151C7A" w:rsidRDefault="004A6279" w:rsidP="004A6279"/>
    <w:p w14:paraId="6E676D75" w14:textId="77777777" w:rsidR="004A6279" w:rsidRPr="00151C7A" w:rsidRDefault="004A6279" w:rsidP="004A6279"/>
    <w:p w14:paraId="10DF13D9" w14:textId="77777777" w:rsidR="004A6279" w:rsidRPr="00151C7A" w:rsidRDefault="004A6279" w:rsidP="004A6279"/>
    <w:p w14:paraId="59092680" w14:textId="77777777" w:rsidR="004A6279" w:rsidRPr="00151C7A" w:rsidRDefault="004A6279" w:rsidP="004A6279"/>
    <w:p w14:paraId="4F16DEF5" w14:textId="77777777" w:rsidR="004A6279" w:rsidRPr="00151C7A" w:rsidRDefault="004A6279" w:rsidP="004A6279"/>
    <w:p w14:paraId="3B742A68" w14:textId="77777777" w:rsidR="004A6279" w:rsidRPr="00151C7A" w:rsidRDefault="004A6279" w:rsidP="004A6279"/>
    <w:p w14:paraId="728BA39B" w14:textId="77777777" w:rsidR="004A6279" w:rsidRPr="00151C7A" w:rsidRDefault="004A6279" w:rsidP="004A6279"/>
    <w:p w14:paraId="72106A9D" w14:textId="77777777" w:rsidR="004A6279" w:rsidRPr="00151C7A" w:rsidRDefault="004A6279" w:rsidP="004A6279"/>
    <w:p w14:paraId="7AD70C3B" w14:textId="77777777" w:rsidR="004A6279" w:rsidRPr="00151C7A" w:rsidRDefault="004A6279" w:rsidP="004A6279"/>
    <w:p w14:paraId="26FD35BC" w14:textId="77777777" w:rsidR="004A6279" w:rsidRPr="00151C7A" w:rsidRDefault="004A6279" w:rsidP="004A6279"/>
    <w:p w14:paraId="5B034257" w14:textId="77777777" w:rsidR="004A6279" w:rsidRPr="00151C7A" w:rsidRDefault="004A6279" w:rsidP="004A6279"/>
    <w:p w14:paraId="2714E3AA" w14:textId="77777777" w:rsidR="004A6279" w:rsidRPr="00151C7A" w:rsidRDefault="004A6279" w:rsidP="004A6279"/>
    <w:p w14:paraId="676EC55A" w14:textId="77777777" w:rsidR="004A6279" w:rsidRPr="00151C7A" w:rsidRDefault="004A6279" w:rsidP="004A6279"/>
    <w:p w14:paraId="1F95EA4F" w14:textId="77777777" w:rsidR="004A6279" w:rsidRPr="00151C7A" w:rsidRDefault="004A6279" w:rsidP="004A6279"/>
    <w:p w14:paraId="554A9FA8" w14:textId="77777777" w:rsidR="004A6279" w:rsidRPr="00151C7A" w:rsidRDefault="004A6279" w:rsidP="004A6279"/>
    <w:p w14:paraId="2ADBCA65" w14:textId="77777777" w:rsidR="004A6279" w:rsidRPr="00151C7A" w:rsidRDefault="004A6279" w:rsidP="004A6279"/>
    <w:p w14:paraId="4CF060C7" w14:textId="77777777" w:rsidR="004A6279" w:rsidRPr="00151C7A" w:rsidRDefault="004A6279" w:rsidP="004A6279"/>
    <w:p w14:paraId="3CBD9533" w14:textId="77777777" w:rsidR="004A6279" w:rsidRPr="00151C7A" w:rsidRDefault="004A6279" w:rsidP="004A6279"/>
    <w:p w14:paraId="50119660" w14:textId="77777777" w:rsidR="004A6279" w:rsidRPr="00151C7A" w:rsidRDefault="004A6279" w:rsidP="004A6279"/>
    <w:p w14:paraId="4DC2BA57" w14:textId="77777777" w:rsidR="004A6279" w:rsidRPr="00151C7A" w:rsidRDefault="004A6279" w:rsidP="004A6279"/>
    <w:p w14:paraId="427370CD" w14:textId="77777777" w:rsidR="004A6279" w:rsidRPr="00151C7A" w:rsidRDefault="004A6279" w:rsidP="004A6279"/>
    <w:p w14:paraId="61BB301A" w14:textId="77777777" w:rsidR="004A6279" w:rsidRPr="00151C7A" w:rsidRDefault="004A6279" w:rsidP="004A6279"/>
    <w:p w14:paraId="65314829" w14:textId="77777777" w:rsidR="004A6279" w:rsidRPr="00151C7A" w:rsidRDefault="004A6279" w:rsidP="004A6279"/>
    <w:p w14:paraId="2EAA2A42" w14:textId="77777777" w:rsidR="004A6279" w:rsidRPr="00151C7A" w:rsidRDefault="004A6279" w:rsidP="004A6279"/>
    <w:p w14:paraId="5123E5E4" w14:textId="77777777" w:rsidR="004A6279" w:rsidRPr="00151C7A" w:rsidRDefault="004A6279" w:rsidP="004A6279"/>
    <w:p w14:paraId="69373358" w14:textId="77777777" w:rsidR="004A6279" w:rsidRPr="00151C7A" w:rsidRDefault="004A6279" w:rsidP="004A6279"/>
    <w:p w14:paraId="05B996CE" w14:textId="77777777" w:rsidR="004A6279" w:rsidRPr="00151C7A" w:rsidRDefault="004A6279" w:rsidP="004A6279"/>
    <w:p w14:paraId="3BDB1C87" w14:textId="77777777" w:rsidR="004A6279" w:rsidRPr="00151C7A" w:rsidRDefault="004A6279" w:rsidP="004A6279"/>
    <w:p w14:paraId="5FE229A7" w14:textId="77777777" w:rsidR="004A6279" w:rsidRPr="00151C7A" w:rsidRDefault="004A6279" w:rsidP="004A6279"/>
    <w:p w14:paraId="0264D7DE" w14:textId="77777777" w:rsidR="004A6279" w:rsidRPr="00151C7A" w:rsidRDefault="004A6279" w:rsidP="004A6279"/>
    <w:p w14:paraId="71BA1E36" w14:textId="77777777" w:rsidR="004A6279" w:rsidRPr="00151C7A" w:rsidRDefault="004A6279" w:rsidP="004A6279"/>
    <w:p w14:paraId="0C25F12A" w14:textId="77777777" w:rsidR="004A6279" w:rsidRPr="00151C7A" w:rsidRDefault="004A6279" w:rsidP="004A6279"/>
    <w:p w14:paraId="26A17FE6" w14:textId="77777777" w:rsidR="004A6279" w:rsidRPr="00151C7A" w:rsidRDefault="004A6279" w:rsidP="004A6279"/>
    <w:p w14:paraId="1CB45168" w14:textId="77777777" w:rsidR="004A6279" w:rsidRPr="00151C7A" w:rsidRDefault="004A6279" w:rsidP="004A6279">
      <w:pPr>
        <w:pStyle w:val="BoldCentered"/>
      </w:pPr>
      <w:r w:rsidRPr="00151C7A">
        <w:t>Figure 1.    Critical elements of a State’s safety oversight system</w:t>
      </w:r>
    </w:p>
    <w:p w14:paraId="4CA3B4C2" w14:textId="77777777" w:rsidR="004A6279" w:rsidRPr="00151C7A" w:rsidRDefault="004A6279" w:rsidP="004A6279"/>
    <w:p w14:paraId="3F5A563C" w14:textId="77777777" w:rsidR="004A6279" w:rsidRPr="00151C7A" w:rsidRDefault="004A6279" w:rsidP="004A6279"/>
    <w:p w14:paraId="07AB1AE2" w14:textId="77777777" w:rsidR="004A6279" w:rsidRPr="00151C7A" w:rsidRDefault="004A6279" w:rsidP="004A6279"/>
    <w:p w14:paraId="4A3316D5" w14:textId="77777777" w:rsidR="004A6279" w:rsidRPr="00151C7A" w:rsidRDefault="004A6279" w:rsidP="004A6279"/>
    <w:p w14:paraId="24FFD534" w14:textId="77777777" w:rsidR="004A6279" w:rsidRPr="00151C7A" w:rsidRDefault="004A6279" w:rsidP="004A6279">
      <w:r w:rsidRPr="00151C7A">
        <w:lastRenderedPageBreak/>
        <w:t>The latest ICAO activities, which aim to measure the effective implementation of the eight CEs of [</w:t>
      </w:r>
      <w:r w:rsidRPr="00151C7A">
        <w:rPr>
          <w:shd w:val="pct15" w:color="auto" w:fill="FFFFFF"/>
        </w:rPr>
        <w:t>State</w:t>
      </w:r>
      <w:r w:rsidRPr="00151C7A">
        <w:t>]’s safety oversight system, as part of the ICAO Universal Safety Oversight Audit Programme (USOAP), have resulted in the following scores:</w:t>
      </w:r>
    </w:p>
    <w:p w14:paraId="05A2EDFB" w14:textId="77777777" w:rsidR="004A6279" w:rsidRPr="00151C7A" w:rsidRDefault="004A6279" w:rsidP="004A6279"/>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7"/>
        <w:gridCol w:w="1249"/>
        <w:gridCol w:w="1223"/>
        <w:gridCol w:w="1223"/>
        <w:gridCol w:w="1223"/>
        <w:gridCol w:w="1223"/>
        <w:gridCol w:w="1223"/>
        <w:gridCol w:w="1239"/>
      </w:tblGrid>
      <w:tr w:rsidR="004A6279" w:rsidRPr="00151C7A" w14:paraId="7E62FC5B" w14:textId="77777777" w:rsidTr="006F4DEC">
        <w:trPr>
          <w:jc w:val="center"/>
        </w:trPr>
        <w:tc>
          <w:tcPr>
            <w:tcW w:w="10341" w:type="dxa"/>
            <w:gridSpan w:val="8"/>
            <w:shd w:val="clear" w:color="auto" w:fill="auto"/>
            <w:tcMar>
              <w:top w:w="120" w:type="dxa"/>
              <w:left w:w="120" w:type="dxa"/>
              <w:bottom w:w="120" w:type="dxa"/>
              <w:right w:w="120" w:type="dxa"/>
            </w:tcMar>
            <w:vAlign w:val="bottom"/>
            <w:hideMark/>
          </w:tcPr>
          <w:p w14:paraId="5690719A" w14:textId="77777777" w:rsidR="004A6279" w:rsidRPr="00151C7A" w:rsidRDefault="004A6279" w:rsidP="006F4DEC">
            <w:pPr>
              <w:jc w:val="center"/>
              <w:rPr>
                <w:i/>
                <w:iCs/>
              </w:rPr>
            </w:pPr>
            <w:r w:rsidRPr="00151C7A">
              <w:rPr>
                <w:i/>
                <w:iCs/>
              </w:rPr>
              <w:t>Overall EI score</w:t>
            </w:r>
          </w:p>
        </w:tc>
      </w:tr>
      <w:tr w:rsidR="004A6279" w:rsidRPr="00151C7A" w14:paraId="396F8978" w14:textId="77777777" w:rsidTr="006F4DEC">
        <w:trPr>
          <w:jc w:val="center"/>
        </w:trPr>
        <w:tc>
          <w:tcPr>
            <w:tcW w:w="10341" w:type="dxa"/>
            <w:gridSpan w:val="8"/>
            <w:shd w:val="clear" w:color="auto" w:fill="auto"/>
            <w:tcMar>
              <w:top w:w="120" w:type="dxa"/>
              <w:left w:w="120" w:type="dxa"/>
              <w:bottom w:w="120" w:type="dxa"/>
              <w:right w:w="120" w:type="dxa"/>
            </w:tcMar>
            <w:hideMark/>
          </w:tcPr>
          <w:p w14:paraId="36781FFA" w14:textId="77777777" w:rsidR="004A6279" w:rsidRPr="00151C7A" w:rsidRDefault="004A6279" w:rsidP="006F4DEC">
            <w:pPr>
              <w:jc w:val="center"/>
            </w:pPr>
            <w:r w:rsidRPr="00151C7A">
              <w:t>[</w:t>
            </w:r>
            <w:r w:rsidRPr="00151C7A">
              <w:rPr>
                <w:shd w:val="pct15" w:color="auto" w:fill="FFFFFF"/>
              </w:rPr>
              <w:t>X</w:t>
            </w:r>
            <w:r w:rsidRPr="00151C7A">
              <w:t>]%</w:t>
            </w:r>
          </w:p>
        </w:tc>
      </w:tr>
      <w:tr w:rsidR="004A6279" w:rsidRPr="00151C7A" w14:paraId="31220070" w14:textId="77777777" w:rsidTr="006F4DEC">
        <w:trPr>
          <w:jc w:val="center"/>
        </w:trPr>
        <w:tc>
          <w:tcPr>
            <w:tcW w:w="10341" w:type="dxa"/>
            <w:gridSpan w:val="8"/>
            <w:shd w:val="clear" w:color="auto" w:fill="auto"/>
            <w:tcMar>
              <w:top w:w="120" w:type="dxa"/>
              <w:left w:w="120" w:type="dxa"/>
              <w:bottom w:w="120" w:type="dxa"/>
              <w:right w:w="120" w:type="dxa"/>
            </w:tcMar>
            <w:hideMark/>
          </w:tcPr>
          <w:p w14:paraId="06F99DA9" w14:textId="77777777" w:rsidR="004A6279" w:rsidRPr="00151C7A" w:rsidRDefault="004A6279" w:rsidP="006F4DEC">
            <w:pPr>
              <w:jc w:val="center"/>
              <w:rPr>
                <w:b/>
                <w:bCs/>
              </w:rPr>
            </w:pPr>
            <w:r w:rsidRPr="00151C7A">
              <w:rPr>
                <w:b/>
                <w:bCs/>
              </w:rPr>
              <w:t>EI score by CE</w:t>
            </w:r>
          </w:p>
        </w:tc>
      </w:tr>
      <w:tr w:rsidR="004A6279" w:rsidRPr="00151C7A" w14:paraId="5498904B" w14:textId="77777777" w:rsidTr="006F4DEC">
        <w:trPr>
          <w:jc w:val="center"/>
        </w:trPr>
        <w:tc>
          <w:tcPr>
            <w:tcW w:w="1059" w:type="dxa"/>
            <w:shd w:val="clear" w:color="auto" w:fill="auto"/>
            <w:tcMar>
              <w:top w:w="120" w:type="dxa"/>
              <w:left w:w="120" w:type="dxa"/>
              <w:bottom w:w="120" w:type="dxa"/>
              <w:right w:w="120" w:type="dxa"/>
            </w:tcMar>
            <w:hideMark/>
          </w:tcPr>
          <w:p w14:paraId="00778A54" w14:textId="77777777" w:rsidR="004A6279" w:rsidRPr="00151C7A" w:rsidRDefault="004A6279" w:rsidP="006F4DEC">
            <w:pPr>
              <w:jc w:val="center"/>
              <w:rPr>
                <w:b/>
                <w:bCs/>
              </w:rPr>
            </w:pPr>
            <w:r w:rsidRPr="00151C7A">
              <w:rPr>
                <w:b/>
                <w:bCs/>
              </w:rPr>
              <w:t>CE-1</w:t>
            </w:r>
          </w:p>
        </w:tc>
        <w:tc>
          <w:tcPr>
            <w:tcW w:w="1346" w:type="dxa"/>
            <w:shd w:val="clear" w:color="auto" w:fill="auto"/>
            <w:tcMar>
              <w:top w:w="120" w:type="dxa"/>
              <w:left w:w="120" w:type="dxa"/>
              <w:bottom w:w="120" w:type="dxa"/>
              <w:right w:w="120" w:type="dxa"/>
            </w:tcMar>
            <w:hideMark/>
          </w:tcPr>
          <w:p w14:paraId="0502707E" w14:textId="77777777" w:rsidR="004A6279" w:rsidRPr="00151C7A" w:rsidRDefault="004A6279" w:rsidP="006F4DEC">
            <w:pPr>
              <w:jc w:val="center"/>
              <w:rPr>
                <w:b/>
                <w:bCs/>
              </w:rPr>
            </w:pPr>
            <w:r w:rsidRPr="00151C7A">
              <w:rPr>
                <w:b/>
                <w:bCs/>
              </w:rPr>
              <w:t>CE-2</w:t>
            </w:r>
          </w:p>
        </w:tc>
        <w:tc>
          <w:tcPr>
            <w:tcW w:w="1320" w:type="dxa"/>
            <w:shd w:val="clear" w:color="auto" w:fill="auto"/>
            <w:tcMar>
              <w:top w:w="120" w:type="dxa"/>
              <w:left w:w="120" w:type="dxa"/>
              <w:bottom w:w="120" w:type="dxa"/>
              <w:right w:w="120" w:type="dxa"/>
            </w:tcMar>
            <w:hideMark/>
          </w:tcPr>
          <w:p w14:paraId="49A23930" w14:textId="77777777" w:rsidR="004A6279" w:rsidRPr="00151C7A" w:rsidRDefault="004A6279" w:rsidP="006F4DEC">
            <w:pPr>
              <w:jc w:val="center"/>
              <w:rPr>
                <w:b/>
                <w:bCs/>
              </w:rPr>
            </w:pPr>
            <w:r w:rsidRPr="00151C7A">
              <w:rPr>
                <w:b/>
                <w:bCs/>
              </w:rPr>
              <w:t>CE-3</w:t>
            </w:r>
          </w:p>
        </w:tc>
        <w:tc>
          <w:tcPr>
            <w:tcW w:w="1320" w:type="dxa"/>
            <w:shd w:val="clear" w:color="auto" w:fill="auto"/>
            <w:tcMar>
              <w:top w:w="120" w:type="dxa"/>
              <w:left w:w="120" w:type="dxa"/>
              <w:bottom w:w="120" w:type="dxa"/>
              <w:right w:w="120" w:type="dxa"/>
            </w:tcMar>
            <w:hideMark/>
          </w:tcPr>
          <w:p w14:paraId="6F78BA3D" w14:textId="77777777" w:rsidR="004A6279" w:rsidRPr="00151C7A" w:rsidRDefault="004A6279" w:rsidP="006F4DEC">
            <w:pPr>
              <w:jc w:val="center"/>
              <w:rPr>
                <w:b/>
                <w:bCs/>
              </w:rPr>
            </w:pPr>
            <w:r w:rsidRPr="00151C7A">
              <w:rPr>
                <w:b/>
                <w:bCs/>
              </w:rPr>
              <w:t>CE-4</w:t>
            </w:r>
          </w:p>
        </w:tc>
        <w:tc>
          <w:tcPr>
            <w:tcW w:w="1320" w:type="dxa"/>
            <w:shd w:val="clear" w:color="auto" w:fill="auto"/>
            <w:tcMar>
              <w:top w:w="120" w:type="dxa"/>
              <w:left w:w="120" w:type="dxa"/>
              <w:bottom w:w="120" w:type="dxa"/>
              <w:right w:w="120" w:type="dxa"/>
            </w:tcMar>
            <w:hideMark/>
          </w:tcPr>
          <w:p w14:paraId="058DA1E9" w14:textId="77777777" w:rsidR="004A6279" w:rsidRPr="00151C7A" w:rsidRDefault="004A6279" w:rsidP="006F4DEC">
            <w:pPr>
              <w:jc w:val="center"/>
              <w:rPr>
                <w:b/>
                <w:bCs/>
              </w:rPr>
            </w:pPr>
            <w:r w:rsidRPr="00151C7A">
              <w:rPr>
                <w:b/>
                <w:bCs/>
              </w:rPr>
              <w:t>CE-5</w:t>
            </w:r>
          </w:p>
        </w:tc>
        <w:tc>
          <w:tcPr>
            <w:tcW w:w="1320" w:type="dxa"/>
            <w:shd w:val="clear" w:color="auto" w:fill="auto"/>
            <w:tcMar>
              <w:top w:w="120" w:type="dxa"/>
              <w:left w:w="120" w:type="dxa"/>
              <w:bottom w:w="120" w:type="dxa"/>
              <w:right w:w="120" w:type="dxa"/>
            </w:tcMar>
            <w:hideMark/>
          </w:tcPr>
          <w:p w14:paraId="258922EA" w14:textId="77777777" w:rsidR="004A6279" w:rsidRPr="00151C7A" w:rsidRDefault="004A6279" w:rsidP="006F4DEC">
            <w:pPr>
              <w:jc w:val="center"/>
              <w:rPr>
                <w:b/>
                <w:bCs/>
              </w:rPr>
            </w:pPr>
            <w:r w:rsidRPr="00151C7A">
              <w:rPr>
                <w:b/>
                <w:bCs/>
              </w:rPr>
              <w:t>CE-6</w:t>
            </w:r>
          </w:p>
        </w:tc>
        <w:tc>
          <w:tcPr>
            <w:tcW w:w="1320" w:type="dxa"/>
            <w:shd w:val="clear" w:color="auto" w:fill="auto"/>
            <w:tcMar>
              <w:top w:w="120" w:type="dxa"/>
              <w:left w:w="120" w:type="dxa"/>
              <w:bottom w:w="120" w:type="dxa"/>
              <w:right w:w="120" w:type="dxa"/>
            </w:tcMar>
            <w:hideMark/>
          </w:tcPr>
          <w:p w14:paraId="190D387D" w14:textId="77777777" w:rsidR="004A6279" w:rsidRPr="00151C7A" w:rsidRDefault="004A6279" w:rsidP="006F4DEC">
            <w:pPr>
              <w:jc w:val="center"/>
              <w:rPr>
                <w:b/>
                <w:bCs/>
              </w:rPr>
            </w:pPr>
            <w:r w:rsidRPr="00151C7A">
              <w:rPr>
                <w:b/>
                <w:bCs/>
              </w:rPr>
              <w:t>CE-7</w:t>
            </w:r>
          </w:p>
        </w:tc>
        <w:tc>
          <w:tcPr>
            <w:tcW w:w="1336" w:type="dxa"/>
            <w:shd w:val="clear" w:color="auto" w:fill="auto"/>
            <w:tcMar>
              <w:top w:w="120" w:type="dxa"/>
              <w:left w:w="120" w:type="dxa"/>
              <w:bottom w:w="120" w:type="dxa"/>
              <w:right w:w="120" w:type="dxa"/>
            </w:tcMar>
            <w:hideMark/>
          </w:tcPr>
          <w:p w14:paraId="2B3CBFD8" w14:textId="77777777" w:rsidR="004A6279" w:rsidRPr="00151C7A" w:rsidRDefault="004A6279" w:rsidP="006F4DEC">
            <w:pPr>
              <w:jc w:val="center"/>
              <w:rPr>
                <w:b/>
                <w:bCs/>
              </w:rPr>
            </w:pPr>
            <w:r w:rsidRPr="00151C7A">
              <w:rPr>
                <w:b/>
                <w:bCs/>
              </w:rPr>
              <w:t>CE-8</w:t>
            </w:r>
          </w:p>
        </w:tc>
      </w:tr>
      <w:tr w:rsidR="004A6279" w:rsidRPr="00151C7A" w14:paraId="367128AD" w14:textId="77777777" w:rsidTr="006F4DEC">
        <w:trPr>
          <w:jc w:val="center"/>
        </w:trPr>
        <w:tc>
          <w:tcPr>
            <w:tcW w:w="1059" w:type="dxa"/>
            <w:shd w:val="clear" w:color="auto" w:fill="auto"/>
            <w:tcMar>
              <w:top w:w="120" w:type="dxa"/>
              <w:left w:w="120" w:type="dxa"/>
              <w:bottom w:w="120" w:type="dxa"/>
              <w:right w:w="120" w:type="dxa"/>
            </w:tcMar>
            <w:hideMark/>
          </w:tcPr>
          <w:p w14:paraId="7BE46A61" w14:textId="77777777" w:rsidR="004A6279" w:rsidRPr="00151C7A" w:rsidRDefault="004A6279" w:rsidP="006F4DEC">
            <w:pPr>
              <w:jc w:val="center"/>
            </w:pPr>
            <w:r w:rsidRPr="00151C7A">
              <w:t>[</w:t>
            </w:r>
            <w:r w:rsidRPr="00151C7A">
              <w:rPr>
                <w:shd w:val="pct15" w:color="auto" w:fill="FFFFFF"/>
              </w:rPr>
              <w:t>X</w:t>
            </w:r>
            <w:r w:rsidRPr="00151C7A">
              <w:t>]%</w:t>
            </w:r>
          </w:p>
        </w:tc>
        <w:tc>
          <w:tcPr>
            <w:tcW w:w="1346" w:type="dxa"/>
            <w:shd w:val="clear" w:color="auto" w:fill="auto"/>
            <w:tcMar>
              <w:top w:w="120" w:type="dxa"/>
              <w:left w:w="120" w:type="dxa"/>
              <w:bottom w:w="120" w:type="dxa"/>
              <w:right w:w="120" w:type="dxa"/>
            </w:tcMar>
            <w:hideMark/>
          </w:tcPr>
          <w:p w14:paraId="04D202FA"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07C8EE7D"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4271F7B1"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293829AD"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6AA3ACA9"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2423AEEE" w14:textId="77777777" w:rsidR="004A6279" w:rsidRPr="00151C7A" w:rsidRDefault="004A6279" w:rsidP="006F4DEC">
            <w:pPr>
              <w:jc w:val="center"/>
            </w:pPr>
            <w:r w:rsidRPr="00151C7A">
              <w:t>[</w:t>
            </w:r>
            <w:r w:rsidRPr="00151C7A">
              <w:rPr>
                <w:shd w:val="pct15" w:color="auto" w:fill="FFFFFF"/>
              </w:rPr>
              <w:t>X</w:t>
            </w:r>
            <w:r w:rsidRPr="00151C7A">
              <w:t>]%</w:t>
            </w:r>
          </w:p>
        </w:tc>
        <w:tc>
          <w:tcPr>
            <w:tcW w:w="1336" w:type="dxa"/>
            <w:shd w:val="clear" w:color="auto" w:fill="auto"/>
            <w:tcMar>
              <w:top w:w="120" w:type="dxa"/>
              <w:left w:w="120" w:type="dxa"/>
              <w:bottom w:w="120" w:type="dxa"/>
              <w:right w:w="120" w:type="dxa"/>
            </w:tcMar>
            <w:hideMark/>
          </w:tcPr>
          <w:p w14:paraId="07FAAAA5" w14:textId="77777777" w:rsidR="004A6279" w:rsidRPr="00151C7A" w:rsidRDefault="004A6279" w:rsidP="006F4DEC">
            <w:pPr>
              <w:jc w:val="center"/>
            </w:pPr>
            <w:r w:rsidRPr="00151C7A">
              <w:t>[</w:t>
            </w:r>
            <w:r w:rsidRPr="00151C7A">
              <w:rPr>
                <w:shd w:val="pct15" w:color="auto" w:fill="FFFFFF"/>
              </w:rPr>
              <w:t>X</w:t>
            </w:r>
            <w:r w:rsidRPr="00151C7A">
              <w:t>]%</w:t>
            </w:r>
          </w:p>
        </w:tc>
      </w:tr>
      <w:tr w:rsidR="004A6279" w:rsidRPr="00151C7A" w14:paraId="57C88CBA" w14:textId="77777777" w:rsidTr="006F4DEC">
        <w:trPr>
          <w:jc w:val="center"/>
        </w:trPr>
        <w:tc>
          <w:tcPr>
            <w:tcW w:w="10341" w:type="dxa"/>
            <w:gridSpan w:val="8"/>
            <w:shd w:val="clear" w:color="auto" w:fill="auto"/>
            <w:tcMar>
              <w:top w:w="120" w:type="dxa"/>
              <w:left w:w="120" w:type="dxa"/>
              <w:bottom w:w="120" w:type="dxa"/>
              <w:right w:w="120" w:type="dxa"/>
            </w:tcMar>
            <w:hideMark/>
          </w:tcPr>
          <w:p w14:paraId="2E32392F" w14:textId="77777777" w:rsidR="004A6279" w:rsidRPr="00151C7A" w:rsidRDefault="004A6279" w:rsidP="006F4DEC">
            <w:pPr>
              <w:jc w:val="center"/>
              <w:rPr>
                <w:b/>
                <w:bCs/>
              </w:rPr>
            </w:pPr>
            <w:r w:rsidRPr="00151C7A">
              <w:rPr>
                <w:b/>
                <w:bCs/>
              </w:rPr>
              <w:t>EI score by audit area</w:t>
            </w:r>
            <w:r w:rsidRPr="00151C7A">
              <w:rPr>
                <w:b/>
                <w:bCs/>
                <w:vertAlign w:val="superscript"/>
              </w:rPr>
              <w:footnoteReference w:id="3"/>
            </w:r>
          </w:p>
        </w:tc>
      </w:tr>
      <w:tr w:rsidR="004A6279" w:rsidRPr="00151C7A" w14:paraId="25E5D843" w14:textId="77777777" w:rsidTr="006F4DEC">
        <w:trPr>
          <w:jc w:val="center"/>
        </w:trPr>
        <w:tc>
          <w:tcPr>
            <w:tcW w:w="1059" w:type="dxa"/>
            <w:shd w:val="clear" w:color="auto" w:fill="auto"/>
            <w:tcMar>
              <w:top w:w="120" w:type="dxa"/>
              <w:left w:w="120" w:type="dxa"/>
              <w:bottom w:w="120" w:type="dxa"/>
              <w:right w:w="120" w:type="dxa"/>
            </w:tcMar>
            <w:hideMark/>
          </w:tcPr>
          <w:p w14:paraId="43CB8E71" w14:textId="77777777" w:rsidR="004A6279" w:rsidRPr="00151C7A" w:rsidRDefault="004A6279" w:rsidP="006F4DEC">
            <w:pPr>
              <w:jc w:val="center"/>
              <w:rPr>
                <w:b/>
                <w:bCs/>
              </w:rPr>
            </w:pPr>
            <w:r w:rsidRPr="00151C7A">
              <w:rPr>
                <w:b/>
                <w:bCs/>
              </w:rPr>
              <w:t>LEG</w:t>
            </w:r>
          </w:p>
        </w:tc>
        <w:tc>
          <w:tcPr>
            <w:tcW w:w="1346" w:type="dxa"/>
            <w:shd w:val="clear" w:color="auto" w:fill="auto"/>
            <w:tcMar>
              <w:top w:w="120" w:type="dxa"/>
              <w:left w:w="120" w:type="dxa"/>
              <w:bottom w:w="120" w:type="dxa"/>
              <w:right w:w="120" w:type="dxa"/>
            </w:tcMar>
            <w:hideMark/>
          </w:tcPr>
          <w:p w14:paraId="73245AD7" w14:textId="77777777" w:rsidR="004A6279" w:rsidRPr="00151C7A" w:rsidRDefault="004A6279" w:rsidP="006F4DEC">
            <w:pPr>
              <w:jc w:val="center"/>
              <w:rPr>
                <w:b/>
                <w:bCs/>
              </w:rPr>
            </w:pPr>
            <w:r w:rsidRPr="00151C7A">
              <w:rPr>
                <w:b/>
                <w:bCs/>
              </w:rPr>
              <w:t>ORG</w:t>
            </w:r>
          </w:p>
        </w:tc>
        <w:tc>
          <w:tcPr>
            <w:tcW w:w="1320" w:type="dxa"/>
            <w:shd w:val="clear" w:color="auto" w:fill="auto"/>
            <w:tcMar>
              <w:top w:w="120" w:type="dxa"/>
              <w:left w:w="120" w:type="dxa"/>
              <w:bottom w:w="120" w:type="dxa"/>
              <w:right w:w="120" w:type="dxa"/>
            </w:tcMar>
            <w:hideMark/>
          </w:tcPr>
          <w:p w14:paraId="54BDE97C" w14:textId="77777777" w:rsidR="004A6279" w:rsidRPr="00151C7A" w:rsidRDefault="004A6279" w:rsidP="006F4DEC">
            <w:pPr>
              <w:jc w:val="center"/>
              <w:rPr>
                <w:b/>
                <w:bCs/>
              </w:rPr>
            </w:pPr>
            <w:r w:rsidRPr="00151C7A">
              <w:rPr>
                <w:b/>
                <w:bCs/>
              </w:rPr>
              <w:t>PEL</w:t>
            </w:r>
          </w:p>
        </w:tc>
        <w:tc>
          <w:tcPr>
            <w:tcW w:w="1320" w:type="dxa"/>
            <w:shd w:val="clear" w:color="auto" w:fill="auto"/>
            <w:tcMar>
              <w:top w:w="120" w:type="dxa"/>
              <w:left w:w="120" w:type="dxa"/>
              <w:bottom w:w="120" w:type="dxa"/>
              <w:right w:w="120" w:type="dxa"/>
            </w:tcMar>
            <w:hideMark/>
          </w:tcPr>
          <w:p w14:paraId="14B30BCC" w14:textId="77777777" w:rsidR="004A6279" w:rsidRPr="00151C7A" w:rsidRDefault="004A6279" w:rsidP="006F4DEC">
            <w:pPr>
              <w:jc w:val="center"/>
              <w:rPr>
                <w:b/>
                <w:bCs/>
              </w:rPr>
            </w:pPr>
            <w:r w:rsidRPr="00151C7A">
              <w:rPr>
                <w:b/>
                <w:bCs/>
              </w:rPr>
              <w:t>OPS</w:t>
            </w:r>
          </w:p>
        </w:tc>
        <w:tc>
          <w:tcPr>
            <w:tcW w:w="1320" w:type="dxa"/>
            <w:shd w:val="clear" w:color="auto" w:fill="auto"/>
            <w:tcMar>
              <w:top w:w="120" w:type="dxa"/>
              <w:left w:w="120" w:type="dxa"/>
              <w:bottom w:w="120" w:type="dxa"/>
              <w:right w:w="120" w:type="dxa"/>
            </w:tcMar>
            <w:hideMark/>
          </w:tcPr>
          <w:p w14:paraId="33D84B1B" w14:textId="77777777" w:rsidR="004A6279" w:rsidRPr="00151C7A" w:rsidRDefault="004A6279" w:rsidP="006F4DEC">
            <w:pPr>
              <w:jc w:val="center"/>
              <w:rPr>
                <w:b/>
                <w:bCs/>
              </w:rPr>
            </w:pPr>
            <w:r w:rsidRPr="00151C7A">
              <w:rPr>
                <w:b/>
                <w:bCs/>
              </w:rPr>
              <w:t>AIR</w:t>
            </w:r>
          </w:p>
        </w:tc>
        <w:tc>
          <w:tcPr>
            <w:tcW w:w="1320" w:type="dxa"/>
            <w:shd w:val="clear" w:color="auto" w:fill="auto"/>
            <w:tcMar>
              <w:top w:w="120" w:type="dxa"/>
              <w:left w:w="120" w:type="dxa"/>
              <w:bottom w:w="120" w:type="dxa"/>
              <w:right w:w="120" w:type="dxa"/>
            </w:tcMar>
            <w:hideMark/>
          </w:tcPr>
          <w:p w14:paraId="0BC614EB" w14:textId="77777777" w:rsidR="004A6279" w:rsidRPr="00151C7A" w:rsidRDefault="004A6279" w:rsidP="006F4DEC">
            <w:pPr>
              <w:jc w:val="center"/>
              <w:rPr>
                <w:b/>
                <w:bCs/>
              </w:rPr>
            </w:pPr>
            <w:r w:rsidRPr="00151C7A">
              <w:rPr>
                <w:b/>
                <w:bCs/>
              </w:rPr>
              <w:t>AIG</w:t>
            </w:r>
          </w:p>
        </w:tc>
        <w:tc>
          <w:tcPr>
            <w:tcW w:w="1320" w:type="dxa"/>
            <w:shd w:val="clear" w:color="auto" w:fill="auto"/>
            <w:tcMar>
              <w:top w:w="120" w:type="dxa"/>
              <w:left w:w="120" w:type="dxa"/>
              <w:bottom w:w="120" w:type="dxa"/>
              <w:right w:w="120" w:type="dxa"/>
            </w:tcMar>
            <w:hideMark/>
          </w:tcPr>
          <w:p w14:paraId="491D2122" w14:textId="77777777" w:rsidR="004A6279" w:rsidRPr="00151C7A" w:rsidRDefault="004A6279" w:rsidP="006F4DEC">
            <w:pPr>
              <w:jc w:val="center"/>
              <w:rPr>
                <w:b/>
                <w:bCs/>
              </w:rPr>
            </w:pPr>
            <w:r w:rsidRPr="00151C7A">
              <w:rPr>
                <w:b/>
                <w:bCs/>
              </w:rPr>
              <w:t>ANS</w:t>
            </w:r>
          </w:p>
        </w:tc>
        <w:tc>
          <w:tcPr>
            <w:tcW w:w="1336" w:type="dxa"/>
            <w:shd w:val="clear" w:color="auto" w:fill="auto"/>
            <w:tcMar>
              <w:top w:w="120" w:type="dxa"/>
              <w:left w:w="120" w:type="dxa"/>
              <w:bottom w:w="120" w:type="dxa"/>
              <w:right w:w="120" w:type="dxa"/>
            </w:tcMar>
            <w:hideMark/>
          </w:tcPr>
          <w:p w14:paraId="7D8D042B" w14:textId="77777777" w:rsidR="004A6279" w:rsidRPr="00151C7A" w:rsidRDefault="004A6279" w:rsidP="006F4DEC">
            <w:pPr>
              <w:jc w:val="center"/>
              <w:rPr>
                <w:b/>
                <w:bCs/>
              </w:rPr>
            </w:pPr>
            <w:r w:rsidRPr="00151C7A">
              <w:rPr>
                <w:b/>
                <w:bCs/>
              </w:rPr>
              <w:t>AGA</w:t>
            </w:r>
          </w:p>
        </w:tc>
      </w:tr>
      <w:tr w:rsidR="004A6279" w:rsidRPr="00151C7A" w14:paraId="7E07D176" w14:textId="77777777" w:rsidTr="006F4DEC">
        <w:trPr>
          <w:jc w:val="center"/>
        </w:trPr>
        <w:tc>
          <w:tcPr>
            <w:tcW w:w="1059" w:type="dxa"/>
            <w:shd w:val="clear" w:color="auto" w:fill="auto"/>
            <w:tcMar>
              <w:top w:w="120" w:type="dxa"/>
              <w:left w:w="120" w:type="dxa"/>
              <w:bottom w:w="120" w:type="dxa"/>
              <w:right w:w="120" w:type="dxa"/>
            </w:tcMar>
            <w:hideMark/>
          </w:tcPr>
          <w:p w14:paraId="7DA658E1" w14:textId="77777777" w:rsidR="004A6279" w:rsidRPr="00151C7A" w:rsidRDefault="004A6279" w:rsidP="006F4DEC">
            <w:pPr>
              <w:jc w:val="center"/>
            </w:pPr>
            <w:r w:rsidRPr="00151C7A">
              <w:t>[</w:t>
            </w:r>
            <w:r w:rsidRPr="00151C7A">
              <w:rPr>
                <w:shd w:val="pct15" w:color="auto" w:fill="FFFFFF"/>
              </w:rPr>
              <w:t>X</w:t>
            </w:r>
            <w:r w:rsidRPr="00151C7A">
              <w:t>]%</w:t>
            </w:r>
          </w:p>
        </w:tc>
        <w:tc>
          <w:tcPr>
            <w:tcW w:w="1346" w:type="dxa"/>
            <w:shd w:val="clear" w:color="auto" w:fill="auto"/>
            <w:tcMar>
              <w:top w:w="120" w:type="dxa"/>
              <w:left w:w="120" w:type="dxa"/>
              <w:bottom w:w="120" w:type="dxa"/>
              <w:right w:w="120" w:type="dxa"/>
            </w:tcMar>
            <w:hideMark/>
          </w:tcPr>
          <w:p w14:paraId="71ACA812"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07B8AFF5"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5342EF64"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49E6C1AB"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34A09E01"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10DA60E3" w14:textId="77777777" w:rsidR="004A6279" w:rsidRPr="00151C7A" w:rsidRDefault="004A6279" w:rsidP="006F4DEC">
            <w:pPr>
              <w:jc w:val="center"/>
            </w:pPr>
            <w:r w:rsidRPr="00151C7A">
              <w:t>[</w:t>
            </w:r>
            <w:r w:rsidRPr="00151C7A">
              <w:rPr>
                <w:shd w:val="pct15" w:color="auto" w:fill="FFFFFF"/>
              </w:rPr>
              <w:t>X</w:t>
            </w:r>
            <w:r w:rsidRPr="00151C7A">
              <w:t>]%</w:t>
            </w:r>
          </w:p>
        </w:tc>
        <w:tc>
          <w:tcPr>
            <w:tcW w:w="1336" w:type="dxa"/>
            <w:shd w:val="clear" w:color="auto" w:fill="auto"/>
            <w:tcMar>
              <w:top w:w="120" w:type="dxa"/>
              <w:left w:w="120" w:type="dxa"/>
              <w:bottom w:w="120" w:type="dxa"/>
              <w:right w:w="120" w:type="dxa"/>
            </w:tcMar>
            <w:hideMark/>
          </w:tcPr>
          <w:p w14:paraId="24C393BF" w14:textId="77777777" w:rsidR="004A6279" w:rsidRPr="00151C7A" w:rsidRDefault="004A6279" w:rsidP="006F4DEC">
            <w:pPr>
              <w:jc w:val="center"/>
            </w:pPr>
            <w:r w:rsidRPr="00151C7A">
              <w:t>[</w:t>
            </w:r>
            <w:r w:rsidRPr="00151C7A">
              <w:rPr>
                <w:shd w:val="pct15" w:color="auto" w:fill="FFFFFF"/>
              </w:rPr>
              <w:t>X</w:t>
            </w:r>
            <w:r w:rsidRPr="00151C7A">
              <w:t>]%</w:t>
            </w:r>
          </w:p>
        </w:tc>
      </w:tr>
    </w:tbl>
    <w:p w14:paraId="0CFB9C39" w14:textId="77777777" w:rsidR="004A6279" w:rsidRPr="00151C7A" w:rsidRDefault="004A6279" w:rsidP="004A6279"/>
    <w:p w14:paraId="2BA4F007" w14:textId="77777777" w:rsidR="004A6279" w:rsidRPr="00151C7A" w:rsidRDefault="004A6279" w:rsidP="004A6279">
      <w:r w:rsidRPr="00151C7A">
        <w:t>The following [</w:t>
      </w:r>
      <w:r w:rsidRPr="00151C7A">
        <w:rPr>
          <w:shd w:val="pct15" w:color="auto" w:fill="FFFFFF"/>
        </w:rPr>
        <w:t>number</w:t>
      </w:r>
      <w:r w:rsidRPr="00151C7A">
        <w:t>] organizational challenges in the [</w:t>
      </w:r>
      <w:r w:rsidRPr="00151C7A">
        <w:rPr>
          <w:shd w:val="pct15" w:color="auto" w:fill="FFFFFF"/>
        </w:rPr>
        <w:t>State</w:t>
      </w:r>
      <w:r w:rsidRPr="00151C7A">
        <w:t>] context were considered of the utmost priority because they impact the effectiveness of safety risk controls. They were identified based on analysis from USOAP data, accident and incident investigation reports, safety oversight activities over the past [</w:t>
      </w:r>
      <w:r w:rsidRPr="00151C7A">
        <w:rPr>
          <w:shd w:val="pct15" w:color="auto" w:fill="FFFFFF"/>
        </w:rPr>
        <w:t>number</w:t>
      </w:r>
      <w:r w:rsidRPr="00151C7A">
        <w:t>] years, the SSP, as well as on the basis of regional analysis conducted by [</w:t>
      </w:r>
      <w:r w:rsidRPr="00151C7A">
        <w:rPr>
          <w:shd w:val="pct15" w:color="auto" w:fill="FFFFFF"/>
        </w:rPr>
        <w:t xml:space="preserve">list names of entities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RASG, RSOO, PIRG, and/or RAIO</w:t>
      </w:r>
      <w:r w:rsidRPr="00151C7A">
        <w:t>]. These issues are typically systemic in nature and relate to challenges associated with the conduct of States’ safety oversight functions, implementation of SSP at the national level and the level of SMS implementation by national service providers. They take into consideration organizational culture, policies and procedures within [</w:t>
      </w:r>
      <w:r w:rsidRPr="00151C7A">
        <w:rPr>
          <w:shd w:val="pct15" w:color="auto" w:fill="FFFFFF"/>
        </w:rPr>
        <w:t>list names of the State’s entities</w:t>
      </w:r>
      <w:r w:rsidRPr="00151C7A">
        <w:t>] and those of service providers. These organizational challenges are in line with those listed in the [</w:t>
      </w:r>
      <w:r w:rsidRPr="00151C7A">
        <w:rPr>
          <w:shd w:val="pct15" w:color="auto" w:fill="FFFFFF"/>
        </w:rPr>
        <w:t>current edition</w:t>
      </w:r>
      <w:r w:rsidRPr="00151C7A">
        <w:t>] of the GASP, as well as the [</w:t>
      </w:r>
      <w:r w:rsidRPr="00151C7A">
        <w:rPr>
          <w:shd w:val="pct15" w:color="auto" w:fill="FFFFFF"/>
        </w:rPr>
        <w:t>name of the RASP</w:t>
      </w:r>
      <w:r w:rsidRPr="00151C7A">
        <w:t>]:</w:t>
      </w:r>
    </w:p>
    <w:p w14:paraId="719914A8" w14:textId="77777777" w:rsidR="004A6279" w:rsidRPr="00151C7A" w:rsidRDefault="004A6279" w:rsidP="004A6279"/>
    <w:p w14:paraId="18BA6240" w14:textId="77777777" w:rsidR="004A6279" w:rsidRPr="00151C7A" w:rsidRDefault="004A6279" w:rsidP="004A6279">
      <w:pPr>
        <w:pStyle w:val="Indent-a"/>
      </w:pPr>
      <w:r w:rsidRPr="00151C7A">
        <w:tab/>
        <w:t>1)</w:t>
      </w:r>
      <w:r w:rsidRPr="00151C7A">
        <w:tab/>
        <w:t>[</w:t>
      </w:r>
      <w:r w:rsidRPr="00151C7A">
        <w:rPr>
          <w:shd w:val="pct15" w:color="auto" w:fill="FFFFFF"/>
        </w:rPr>
        <w:t xml:space="preserve">list organizational challenges and briefly explain why they were given priority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sidRPr="00151C7A">
        <w:rPr>
          <w:i/>
          <w:iCs/>
          <w:shd w:val="pct15" w:color="auto" w:fill="FFFFFF"/>
        </w:rPr>
        <w:t>Lack of aircraft accident and incident investigation capabilities at the national level. This was the area where the State received the lowest EI score during the most recent ICAO USOAP audit and was therefore placed as a high priority issue to resolve</w:t>
      </w:r>
      <w:r w:rsidRPr="00151C7A">
        <w:t>]</w:t>
      </w:r>
    </w:p>
    <w:p w14:paraId="4157F669" w14:textId="77777777" w:rsidR="004A6279" w:rsidRPr="00151C7A" w:rsidRDefault="004A6279" w:rsidP="004A6279">
      <w:pPr>
        <w:pStyle w:val="Indent-a"/>
      </w:pPr>
    </w:p>
    <w:p w14:paraId="6694E6B8"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7964131B" w14:textId="77777777" w:rsidR="004A6279" w:rsidRPr="00151C7A" w:rsidRDefault="004A6279" w:rsidP="004A6279">
      <w:pPr>
        <w:pStyle w:val="Indent-a"/>
      </w:pPr>
    </w:p>
    <w:p w14:paraId="0F3DF317"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56A36BA2" w14:textId="77777777" w:rsidR="004A6279" w:rsidRPr="00151C7A" w:rsidRDefault="004A6279" w:rsidP="004A6279"/>
    <w:p w14:paraId="5664FB1E" w14:textId="77777777" w:rsidR="004A6279" w:rsidRPr="00151C7A" w:rsidRDefault="004A6279" w:rsidP="004A6279">
      <w:r w:rsidRPr="00151C7A">
        <w:t>To address the organizational challenges listed above, [</w:t>
      </w:r>
      <w:r w:rsidRPr="00151C7A">
        <w:rPr>
          <w:shd w:val="pct15" w:color="auto" w:fill="FFFFFF"/>
        </w:rPr>
        <w:t>list names of entities</w:t>
      </w:r>
      <w:r w:rsidRPr="00151C7A">
        <w:t xml:space="preserve">] will implement a series of SEIs, some of which are derived from the ICAO ORG </w:t>
      </w:r>
      <w:r w:rsidRPr="00831EB0">
        <w:t>roadmap</w:t>
      </w:r>
      <w:r w:rsidRPr="00151C7A">
        <w:t xml:space="preserve">, contained in the ICAO </w:t>
      </w:r>
      <w:r w:rsidRPr="00151C7A">
        <w:rPr>
          <w:i/>
          <w:iCs/>
        </w:rPr>
        <w:t>Global Aviation Safety Roadmap</w:t>
      </w:r>
      <w:r w:rsidRPr="00151C7A">
        <w:t xml:space="preserve"> (Doc 10161). The full list of the SEIs is presented in the appendix to the NASP.</w:t>
      </w:r>
    </w:p>
    <w:p w14:paraId="7B02A2DC" w14:textId="77777777" w:rsidR="004A6279" w:rsidRPr="00151C7A" w:rsidRDefault="004A6279" w:rsidP="004A6279"/>
    <w:p w14:paraId="2F2EC084" w14:textId="77777777" w:rsidR="004A6279" w:rsidRPr="00151C7A" w:rsidRDefault="004A6279" w:rsidP="004A6279">
      <w:r w:rsidRPr="00151C7A">
        <w:br w:type="page"/>
      </w:r>
    </w:p>
    <w:p w14:paraId="2F9C65B1" w14:textId="77777777" w:rsidR="004A6279" w:rsidRPr="00151C7A" w:rsidRDefault="004A6279" w:rsidP="004A6279">
      <w:pPr>
        <w:pStyle w:val="BOLDCAPSCENTERED"/>
      </w:pPr>
      <w:bookmarkStart w:id="6" w:name="_Toc41037096"/>
      <w:r w:rsidRPr="00151C7A">
        <w:lastRenderedPageBreak/>
        <w:t>SECTION 6.    MONITORING IMPLEMENTATION</w:t>
      </w:r>
      <w:bookmarkEnd w:id="6"/>
    </w:p>
    <w:p w14:paraId="1DF5F3B2" w14:textId="77777777" w:rsidR="004A6279" w:rsidRPr="00151C7A" w:rsidRDefault="004A6279" w:rsidP="004A6279"/>
    <w:p w14:paraId="7F92B692" w14:textId="77777777" w:rsidR="004A6279" w:rsidRPr="00151C7A" w:rsidRDefault="004A6279" w:rsidP="004A6279">
      <w:r w:rsidRPr="00151C7A">
        <w:t>[</w:t>
      </w:r>
      <w:r w:rsidRPr="00151C7A">
        <w:rPr>
          <w:shd w:val="pct15" w:color="auto" w:fill="FFFFFF"/>
        </w:rPr>
        <w:t>State</w:t>
      </w:r>
      <w:r w:rsidRPr="00151C7A">
        <w:t>] will continuously monitor the implementation of the SEIs listed in the NASP and measure safety performance of the national civil aviation system, to ensure the intended results are achieved, using the mechanisms presented in the appendix to this plan.</w:t>
      </w:r>
    </w:p>
    <w:p w14:paraId="3A73071C" w14:textId="77777777" w:rsidR="004A6279" w:rsidRPr="00151C7A" w:rsidRDefault="004A6279" w:rsidP="004A6279"/>
    <w:p w14:paraId="69E4919D" w14:textId="77777777" w:rsidR="004A6279" w:rsidRPr="00151C7A" w:rsidRDefault="004A6279" w:rsidP="004A6279">
      <w:r w:rsidRPr="00151C7A">
        <w:t>In addition to the above, [</w:t>
      </w:r>
      <w:r w:rsidRPr="00151C7A">
        <w:rPr>
          <w:shd w:val="pct15" w:color="auto" w:fill="FFFFFF"/>
        </w:rPr>
        <w:t>State</w:t>
      </w:r>
      <w:r w:rsidRPr="00151C7A">
        <w:t>] will review the NASP every [</w:t>
      </w:r>
      <w:r w:rsidRPr="00151C7A">
        <w:rPr>
          <w:shd w:val="pct15" w:color="auto" w:fill="FFFFFF"/>
        </w:rPr>
        <w:t>number</w:t>
      </w:r>
      <w:r w:rsidRPr="00151C7A">
        <w:t>] years or earlier, if required, to keep the identified operational safety risks, organizational challenges and selected SEIs updated and relevant. The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CAA</w:t>
      </w:r>
      <w:r w:rsidRPr="00151C7A">
        <w:t>] will periodically review the safety performance of the initiatives listed in the NASP to ensure the achievement of national safety goals. If required, [</w:t>
      </w:r>
      <w:r w:rsidRPr="00151C7A">
        <w:rPr>
          <w:shd w:val="pct15" w:color="auto" w:fill="FFFFFF"/>
        </w:rPr>
        <w:t>State</w:t>
      </w:r>
      <w:r w:rsidRPr="00151C7A">
        <w:t>] will seek the support of [</w:t>
      </w:r>
      <w:r w:rsidRPr="00151C7A">
        <w:rPr>
          <w:shd w:val="pct15" w:color="auto" w:fill="FFFFFF"/>
        </w:rPr>
        <w:t xml:space="preserve">list names of entities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sidDel="00A478A9">
        <w:rPr>
          <w:shd w:val="pct15" w:color="auto" w:fill="FFFFFF"/>
        </w:rPr>
        <w:t xml:space="preserve"> </w:t>
      </w:r>
      <w:r w:rsidRPr="00151C7A">
        <w:rPr>
          <w:shd w:val="pct15" w:color="auto" w:fill="FFFFFF"/>
        </w:rPr>
        <w:t>RASG, industry</w:t>
      </w:r>
      <w:r w:rsidRPr="00151C7A">
        <w:t>] to ensure the timely implementation of SEIs to address national safety issues. Through close monitoring of the SEIs, [</w:t>
      </w:r>
      <w:r w:rsidRPr="00151C7A">
        <w:rPr>
          <w:shd w:val="pct15" w:color="auto" w:fill="FFFFFF"/>
        </w:rPr>
        <w:t>State</w:t>
      </w:r>
      <w:r w:rsidRPr="00151C7A">
        <w:t>] will make adjustments to the NASP and its initiatives, if needed, and update the NASP accordingly.</w:t>
      </w:r>
    </w:p>
    <w:p w14:paraId="00B32914" w14:textId="77777777" w:rsidR="004A6279" w:rsidRPr="00151C7A" w:rsidRDefault="004A6279" w:rsidP="004A6279"/>
    <w:p w14:paraId="743B8D19" w14:textId="77777777" w:rsidR="004A6279" w:rsidRPr="00151C7A" w:rsidRDefault="004A6279" w:rsidP="004A6279">
      <w:r w:rsidRPr="00151C7A">
        <w:t>[</w:t>
      </w:r>
      <w:r w:rsidRPr="00151C7A">
        <w:rPr>
          <w:shd w:val="pct15" w:color="auto" w:fill="FFFFFF"/>
        </w:rPr>
        <w:t>State</w:t>
      </w:r>
      <w:r w:rsidRPr="00151C7A">
        <w:t>] will use the indicators listed in Section 3 of this plan to measure safety performance of the national civil aviation system and monitor each national safety target. A periodic [</w:t>
      </w:r>
      <w:r w:rsidRPr="00151C7A">
        <w:rPr>
          <w:i/>
          <w:iCs/>
          <w:shd w:val="pct15" w:color="auto" w:fill="FFFFFF"/>
        </w:rPr>
        <w:t xml:space="preserve">Example, </w:t>
      </w:r>
      <w:r w:rsidRPr="00151C7A">
        <w:rPr>
          <w:shd w:val="pct15" w:color="auto" w:fill="FFFFFF"/>
        </w:rPr>
        <w:t>annual, every three years, etc.</w:t>
      </w:r>
      <w:r w:rsidRPr="00151C7A">
        <w:t>] safety report will be published to provide stakeholders with relevant up-to-date information on the progress made in achieving the national safety goals, as well as the implementation status of the SEIs.</w:t>
      </w:r>
    </w:p>
    <w:p w14:paraId="2BA0F810" w14:textId="77777777" w:rsidR="004A6279" w:rsidRPr="00151C7A" w:rsidRDefault="004A6279" w:rsidP="004A6279"/>
    <w:p w14:paraId="5959461E" w14:textId="77777777" w:rsidR="004A6279" w:rsidRPr="00151C7A" w:rsidRDefault="004A6279" w:rsidP="004A6279">
      <w:r w:rsidRPr="00151C7A">
        <w:t>In the event that the national safety goals are not met, the root causes will be presented. If [</w:t>
      </w:r>
      <w:r w:rsidRPr="00151C7A">
        <w:rPr>
          <w:shd w:val="pct15" w:color="auto" w:fill="FFFFFF"/>
        </w:rPr>
        <w:t>State</w:t>
      </w:r>
      <w:r w:rsidRPr="00151C7A">
        <w:t>] identifies critical operational safety risks, reasonable measures will be taken to mitigate them as soon as practicable, possibly leading to an unscheduled revision of the NASP.</w:t>
      </w:r>
    </w:p>
    <w:p w14:paraId="50E3D19A" w14:textId="77777777" w:rsidR="004A6279" w:rsidRPr="00151C7A" w:rsidRDefault="004A6279" w:rsidP="004A6279"/>
    <w:p w14:paraId="4EECDF94" w14:textId="77777777" w:rsidR="004A6279" w:rsidRPr="00151C7A" w:rsidRDefault="004A6279" w:rsidP="004A6279">
      <w:r w:rsidRPr="00151C7A">
        <w:t>[</w:t>
      </w:r>
      <w:r w:rsidRPr="00151C7A">
        <w:rPr>
          <w:shd w:val="pct15" w:color="auto" w:fill="FFFFFF"/>
        </w:rPr>
        <w:t>State</w:t>
      </w:r>
      <w:r w:rsidRPr="00151C7A">
        <w:t>] adopted a standardized approach to provide information at the regional level, for reporting to the regional aviation safety group (RASG) [</w:t>
      </w:r>
      <w:r w:rsidRPr="00151C7A">
        <w:rPr>
          <w:shd w:val="pct15" w:color="auto" w:fill="FFFFFF"/>
        </w:rPr>
        <w:t>describe methodologies used by the region</w:t>
      </w:r>
      <w:r w:rsidRPr="00151C7A">
        <w:t>]. This allows the region to receive information and assess operational safety risks using common methodologies.</w:t>
      </w:r>
    </w:p>
    <w:p w14:paraId="704A1A69" w14:textId="77777777" w:rsidR="004A6279" w:rsidRPr="00151C7A" w:rsidRDefault="004A6279" w:rsidP="004A6279"/>
    <w:p w14:paraId="65E432B1" w14:textId="77777777" w:rsidR="004A6279" w:rsidRPr="00151C7A" w:rsidRDefault="004A6279" w:rsidP="004A6279">
      <w:r w:rsidRPr="00151C7A">
        <w:t>Any questions regarding the NASP and its initiatives, and further requests for information, may be addressed to the following:</w:t>
      </w:r>
    </w:p>
    <w:p w14:paraId="7E799693" w14:textId="77777777" w:rsidR="004A6279" w:rsidRPr="00151C7A" w:rsidRDefault="004A6279" w:rsidP="004A6279"/>
    <w:p w14:paraId="19928349" w14:textId="77777777" w:rsidR="004A6279" w:rsidRPr="00151C7A" w:rsidRDefault="004A6279" w:rsidP="004A6279">
      <w:pPr>
        <w:jc w:val="center"/>
      </w:pPr>
      <w:r w:rsidRPr="00151C7A">
        <w:t>[</w:t>
      </w:r>
      <w:r w:rsidRPr="00151C7A">
        <w:rPr>
          <w:shd w:val="pct15" w:color="auto" w:fill="FFFFFF"/>
        </w:rPr>
        <w:t>Name of responsible entity</w:t>
      </w:r>
      <w:r w:rsidRPr="00151C7A">
        <w:t>]</w:t>
      </w:r>
    </w:p>
    <w:p w14:paraId="24C340FE" w14:textId="77777777" w:rsidR="004A6279" w:rsidRPr="00151C7A" w:rsidRDefault="004A6279" w:rsidP="004A6279">
      <w:pPr>
        <w:jc w:val="center"/>
      </w:pPr>
      <w:r w:rsidRPr="00151C7A">
        <w:t>[</w:t>
      </w:r>
      <w:r w:rsidRPr="00151C7A">
        <w:rPr>
          <w:shd w:val="pct15" w:color="auto" w:fill="FFFFFF"/>
        </w:rPr>
        <w:t>Mailing address</w:t>
      </w:r>
      <w:r w:rsidRPr="00151C7A">
        <w:t>]</w:t>
      </w:r>
    </w:p>
    <w:p w14:paraId="71A10FF6" w14:textId="77777777" w:rsidR="004A6279" w:rsidRPr="00151C7A" w:rsidRDefault="004A6279" w:rsidP="004A6279">
      <w:pPr>
        <w:jc w:val="center"/>
      </w:pPr>
      <w:r w:rsidRPr="00151C7A">
        <w:t>[</w:t>
      </w:r>
      <w:r w:rsidRPr="00151C7A">
        <w:rPr>
          <w:shd w:val="pct15" w:color="auto" w:fill="FFFFFF"/>
        </w:rPr>
        <w:t>Telephone number</w:t>
      </w:r>
      <w:r w:rsidRPr="00151C7A">
        <w:t>]</w:t>
      </w:r>
    </w:p>
    <w:p w14:paraId="4AEE3957" w14:textId="77777777" w:rsidR="004A6279" w:rsidRPr="00151C7A" w:rsidRDefault="004A6279" w:rsidP="004A6279">
      <w:pPr>
        <w:jc w:val="center"/>
      </w:pPr>
      <w:r w:rsidRPr="00151C7A">
        <w:t>[</w:t>
      </w:r>
      <w:r w:rsidRPr="00151C7A">
        <w:rPr>
          <w:shd w:val="pct15" w:color="auto" w:fill="FFFFFF"/>
        </w:rPr>
        <w:t>Fax number</w:t>
      </w:r>
      <w:r w:rsidRPr="00151C7A">
        <w:t>]</w:t>
      </w:r>
    </w:p>
    <w:p w14:paraId="301AAAE1" w14:textId="77777777" w:rsidR="004A6279" w:rsidRPr="00151C7A" w:rsidRDefault="004A6279" w:rsidP="004A6279">
      <w:pPr>
        <w:jc w:val="center"/>
      </w:pPr>
      <w:r w:rsidRPr="00151C7A">
        <w:t>[</w:t>
      </w:r>
      <w:r w:rsidRPr="00151C7A">
        <w:rPr>
          <w:shd w:val="pct15" w:color="auto" w:fill="FFFFFF"/>
        </w:rPr>
        <w:t>Email</w:t>
      </w:r>
      <w:r w:rsidRPr="00151C7A">
        <w:t>]</w:t>
      </w:r>
    </w:p>
    <w:p w14:paraId="0A1A3F46" w14:textId="77777777" w:rsidR="004A6279" w:rsidRPr="00151C7A" w:rsidRDefault="004A6279" w:rsidP="004A6279">
      <w:pPr>
        <w:jc w:val="center"/>
      </w:pPr>
      <w:r w:rsidRPr="00151C7A">
        <w:t>[</w:t>
      </w:r>
      <w:r w:rsidRPr="00151C7A">
        <w:rPr>
          <w:shd w:val="pct15" w:color="auto" w:fill="FFFFFF"/>
        </w:rPr>
        <w:t>Website</w:t>
      </w:r>
      <w:r w:rsidRPr="00151C7A">
        <w:t>]</w:t>
      </w:r>
    </w:p>
    <w:p w14:paraId="2BFA297C" w14:textId="77777777" w:rsidR="004A6279" w:rsidRPr="00151C7A" w:rsidRDefault="004A6279" w:rsidP="004A6279"/>
    <w:p w14:paraId="371657B5" w14:textId="77777777" w:rsidR="004A6279" w:rsidRPr="00151C7A" w:rsidRDefault="004A6279" w:rsidP="004A6279"/>
    <w:p w14:paraId="6F2F968A" w14:textId="77777777" w:rsidR="004A6279" w:rsidRPr="00151C7A" w:rsidRDefault="004A6279" w:rsidP="004A6279"/>
    <w:p w14:paraId="0FAF1988" w14:textId="77777777" w:rsidR="004A6279" w:rsidRPr="00151C7A" w:rsidRDefault="004A6279" w:rsidP="004A6279"/>
    <w:p w14:paraId="4B733160" w14:textId="77777777" w:rsidR="004A6279" w:rsidRPr="00151C7A" w:rsidRDefault="004A6279" w:rsidP="004A6279"/>
    <w:p w14:paraId="1D3A07D8" w14:textId="77777777" w:rsidR="004A6279" w:rsidRPr="00151C7A" w:rsidRDefault="004A6279" w:rsidP="004A6279"/>
    <w:p w14:paraId="564BA662" w14:textId="77777777" w:rsidR="004A6279" w:rsidRPr="00151C7A" w:rsidRDefault="004A6279" w:rsidP="004A6279"/>
    <w:p w14:paraId="2F3AF14B" w14:textId="77777777" w:rsidR="004A6279" w:rsidRPr="00151C7A" w:rsidRDefault="004A6279" w:rsidP="004A6279">
      <w:pPr>
        <w:rPr>
          <w:b/>
          <w:bCs/>
        </w:rPr>
        <w:sectPr w:rsidR="004A6279" w:rsidRPr="00151C7A" w:rsidSect="00D0365A">
          <w:footerReference w:type="even" r:id="rId16"/>
          <w:footerReference w:type="default" r:id="rId17"/>
          <w:headerReference w:type="first" r:id="rId18"/>
          <w:footerReference w:type="first" r:id="rId19"/>
          <w:pgSz w:w="12240" w:h="15840" w:code="1"/>
          <w:pgMar w:top="1560" w:right="1320" w:bottom="1560" w:left="1320" w:header="960" w:footer="960" w:gutter="0"/>
          <w:pgNumType w:start="1"/>
          <w:cols w:space="720"/>
          <w:titlePg/>
          <w:docGrid w:linePitch="326"/>
        </w:sectPr>
      </w:pPr>
    </w:p>
    <w:p w14:paraId="03478F1C" w14:textId="77777777" w:rsidR="004A6279" w:rsidRPr="00151C7A" w:rsidRDefault="004A6279" w:rsidP="004A6279">
      <w:pPr>
        <w:pStyle w:val="Chapter"/>
      </w:pPr>
      <w:bookmarkStart w:id="7" w:name="_Toc41037097"/>
      <w:r w:rsidRPr="00151C7A">
        <w:lastRenderedPageBreak/>
        <w:t>Appendix to the NASP</w:t>
      </w:r>
      <w:bookmarkEnd w:id="7"/>
    </w:p>
    <w:p w14:paraId="6B49D5DF" w14:textId="77777777" w:rsidR="004A6279" w:rsidRPr="00151C7A" w:rsidRDefault="004A6279" w:rsidP="004A6279">
      <w:pPr>
        <w:spacing w:line="180" w:lineRule="exact"/>
        <w:jc w:val="center"/>
      </w:pPr>
    </w:p>
    <w:p w14:paraId="0A9ECEC4" w14:textId="77777777" w:rsidR="004A6279" w:rsidRPr="00151C7A" w:rsidRDefault="004A6279" w:rsidP="004A6279">
      <w:pPr>
        <w:pStyle w:val="BOLDCAPSCENTERED"/>
      </w:pPr>
      <w:bookmarkStart w:id="8" w:name="_Toc41037098"/>
      <w:r w:rsidRPr="00151C7A">
        <w:t>DETAILED SEIs: NATIONAL OPERATIONAL SAFETY RISKS</w:t>
      </w:r>
      <w:bookmarkEnd w:id="8"/>
    </w:p>
    <w:p w14:paraId="096EFE43" w14:textId="77777777" w:rsidR="004A6279" w:rsidRPr="00151C7A" w:rsidRDefault="004A6279" w:rsidP="004A6279"/>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4"/>
        <w:gridCol w:w="1591"/>
        <w:gridCol w:w="1220"/>
        <w:gridCol w:w="1341"/>
        <w:gridCol w:w="1710"/>
        <w:gridCol w:w="2503"/>
        <w:gridCol w:w="882"/>
        <w:gridCol w:w="1849"/>
      </w:tblGrid>
      <w:tr w:rsidR="004A6279" w:rsidRPr="00151C7A" w14:paraId="2EBAD401" w14:textId="77777777" w:rsidTr="006F4DEC">
        <w:trPr>
          <w:jc w:val="center"/>
        </w:trPr>
        <w:tc>
          <w:tcPr>
            <w:tcW w:w="12720" w:type="dxa"/>
            <w:gridSpan w:val="8"/>
            <w:tcMar>
              <w:top w:w="60" w:type="dxa"/>
              <w:left w:w="60" w:type="dxa"/>
              <w:bottom w:w="60" w:type="dxa"/>
              <w:right w:w="60" w:type="dxa"/>
            </w:tcMar>
            <w:hideMark/>
          </w:tcPr>
          <w:p w14:paraId="021D07A4" w14:textId="77777777" w:rsidR="004A6279" w:rsidRPr="00151C7A" w:rsidRDefault="004A6279" w:rsidP="006F4DEC">
            <w:pPr>
              <w:jc w:val="left"/>
            </w:pPr>
            <w:r w:rsidRPr="00151C7A">
              <w:rPr>
                <w:b/>
                <w:bCs/>
              </w:rPr>
              <w:t xml:space="preserve">N-HRC </w:t>
            </w:r>
            <w:r w:rsidRPr="00151C7A">
              <w:rPr>
                <w:b/>
                <w:bCs/>
                <w:shd w:val="pct15" w:color="auto" w:fill="FFFFFF"/>
              </w:rPr>
              <w:t>x</w:t>
            </w:r>
            <w:r w:rsidRPr="00151C7A">
              <w:rPr>
                <w:b/>
                <w:bCs/>
              </w:rPr>
              <w:t>:</w:t>
            </w:r>
            <w:r w:rsidRPr="00151C7A">
              <w:t xml:space="preserve"> [</w:t>
            </w:r>
            <w:r w:rsidRPr="00151C7A">
              <w:rPr>
                <w:shd w:val="pct15" w:color="auto" w:fill="FFFFFF"/>
              </w:rPr>
              <w:t xml:space="preserve">name of N-HRC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w:t>
            </w:r>
            <w:r>
              <w:rPr>
                <w:i/>
                <w:iCs/>
                <w:shd w:val="pct15" w:color="auto" w:fill="FFFFFF"/>
              </w:rPr>
              <w:t xml:space="preserve">ple, </w:t>
            </w:r>
            <w:r w:rsidRPr="00151C7A">
              <w:rPr>
                <w:i/>
                <w:iCs/>
                <w:shd w:val="pct15" w:color="auto" w:fill="FFFFFF"/>
              </w:rPr>
              <w:t>LOC-I</w:t>
            </w:r>
            <w:r w:rsidRPr="00151C7A">
              <w:t>]</w:t>
            </w:r>
          </w:p>
        </w:tc>
      </w:tr>
      <w:tr w:rsidR="004A6279" w:rsidRPr="00151C7A" w14:paraId="56AAE371" w14:textId="77777777" w:rsidTr="006F4DEC">
        <w:trPr>
          <w:jc w:val="center"/>
        </w:trPr>
        <w:tc>
          <w:tcPr>
            <w:tcW w:w="12720" w:type="dxa"/>
            <w:gridSpan w:val="8"/>
            <w:tcMar>
              <w:top w:w="60" w:type="dxa"/>
              <w:left w:w="60" w:type="dxa"/>
              <w:bottom w:w="60" w:type="dxa"/>
              <w:right w:w="60" w:type="dxa"/>
            </w:tcMar>
            <w:hideMark/>
          </w:tcPr>
          <w:p w14:paraId="5063F166" w14:textId="77777777" w:rsidR="004A6279" w:rsidRPr="00151C7A" w:rsidRDefault="004A6279" w:rsidP="006F4DEC">
            <w:pPr>
              <w:jc w:val="center"/>
            </w:pPr>
            <w:r w:rsidRPr="00151C7A">
              <w:rPr>
                <w:b/>
                <w:bCs/>
              </w:rPr>
              <w:t xml:space="preserve">Goal </w:t>
            </w:r>
            <w:r w:rsidRPr="00151C7A">
              <w:rPr>
                <w:b/>
                <w:bCs/>
                <w:shd w:val="pct15" w:color="auto" w:fill="FFFFFF"/>
              </w:rPr>
              <w:t>x</w:t>
            </w:r>
            <w:r w:rsidRPr="00151C7A">
              <w:rPr>
                <w:b/>
                <w:bCs/>
              </w:rPr>
              <w:t>:</w:t>
            </w:r>
            <w:r w:rsidRPr="00151C7A">
              <w:t xml:space="preserve"> [</w:t>
            </w:r>
            <w:r w:rsidRPr="00151C7A">
              <w:rPr>
                <w:shd w:val="pct15" w:color="auto" w:fill="FFFFFF"/>
              </w:rPr>
              <w:t xml:space="preserve">name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Goal 1: Achieve a continuous reduction of operational safety risks</w:t>
            </w:r>
            <w:r w:rsidRPr="00151C7A">
              <w:t>]</w:t>
            </w:r>
          </w:p>
          <w:p w14:paraId="2530A807" w14:textId="77777777" w:rsidR="004A6279" w:rsidRPr="00151C7A" w:rsidRDefault="004A6279" w:rsidP="006F4DEC">
            <w:pPr>
              <w:jc w:val="center"/>
            </w:pPr>
            <w:r w:rsidRPr="00151C7A">
              <w:rPr>
                <w:b/>
                <w:bCs/>
              </w:rPr>
              <w:t xml:space="preserve">Target </w:t>
            </w:r>
            <w:r w:rsidRPr="00151C7A">
              <w:rPr>
                <w:b/>
                <w:bCs/>
                <w:shd w:val="pct15" w:color="auto" w:fill="FFFFFF"/>
              </w:rPr>
              <w:t>x.x</w:t>
            </w:r>
            <w:r w:rsidRPr="00151C7A">
              <w:rPr>
                <w:b/>
                <w:bCs/>
              </w:rPr>
              <w:t>:</w:t>
            </w:r>
            <w:r w:rsidRPr="00151C7A">
              <w:t xml:space="preserve"> [</w:t>
            </w:r>
            <w:r w:rsidRPr="00151C7A">
              <w:rPr>
                <w:shd w:val="pct15" w:color="auto" w:fill="FFFFFF"/>
              </w:rPr>
              <w:t xml:space="preserve">description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Target 1.1: Maintain a decreasing trend of the national accident rate</w:t>
            </w:r>
            <w:r w:rsidRPr="00151C7A">
              <w:t>]</w:t>
            </w:r>
          </w:p>
        </w:tc>
      </w:tr>
      <w:tr w:rsidR="004A6279" w:rsidRPr="00151C7A" w14:paraId="26F5502E" w14:textId="77777777" w:rsidTr="006F4DEC">
        <w:trPr>
          <w:jc w:val="center"/>
        </w:trPr>
        <w:tc>
          <w:tcPr>
            <w:tcW w:w="1624" w:type="dxa"/>
            <w:tcMar>
              <w:top w:w="60" w:type="dxa"/>
              <w:left w:w="60" w:type="dxa"/>
              <w:bottom w:w="60" w:type="dxa"/>
              <w:right w:w="60" w:type="dxa"/>
            </w:tcMar>
            <w:vAlign w:val="bottom"/>
            <w:hideMark/>
          </w:tcPr>
          <w:p w14:paraId="74E44A27" w14:textId="77777777" w:rsidR="004A6279" w:rsidRPr="00151C7A" w:rsidRDefault="004A6279" w:rsidP="006F4DEC">
            <w:pPr>
              <w:jc w:val="center"/>
              <w:rPr>
                <w:i/>
                <w:iCs/>
              </w:rPr>
            </w:pPr>
            <w:r w:rsidRPr="00151C7A">
              <w:rPr>
                <w:i/>
                <w:iCs/>
              </w:rPr>
              <w:t>Safety enhancement initiative</w:t>
            </w:r>
          </w:p>
        </w:tc>
        <w:tc>
          <w:tcPr>
            <w:tcW w:w="1591" w:type="dxa"/>
            <w:tcMar>
              <w:top w:w="60" w:type="dxa"/>
              <w:left w:w="60" w:type="dxa"/>
              <w:bottom w:w="60" w:type="dxa"/>
              <w:right w:w="60" w:type="dxa"/>
            </w:tcMar>
            <w:vAlign w:val="bottom"/>
            <w:hideMark/>
          </w:tcPr>
          <w:p w14:paraId="74FDADC8" w14:textId="77777777" w:rsidR="004A6279" w:rsidRPr="00151C7A" w:rsidRDefault="004A6279" w:rsidP="006F4DEC">
            <w:pPr>
              <w:jc w:val="center"/>
              <w:rPr>
                <w:i/>
                <w:iCs/>
              </w:rPr>
            </w:pPr>
            <w:r w:rsidRPr="00151C7A">
              <w:rPr>
                <w:i/>
                <w:iCs/>
              </w:rPr>
              <w:t>Action</w:t>
            </w:r>
          </w:p>
        </w:tc>
        <w:tc>
          <w:tcPr>
            <w:tcW w:w="1220" w:type="dxa"/>
            <w:tcMar>
              <w:top w:w="60" w:type="dxa"/>
              <w:left w:w="60" w:type="dxa"/>
              <w:bottom w:w="60" w:type="dxa"/>
              <w:right w:w="60" w:type="dxa"/>
            </w:tcMar>
            <w:vAlign w:val="bottom"/>
            <w:hideMark/>
          </w:tcPr>
          <w:p w14:paraId="4300B5FC" w14:textId="77777777" w:rsidR="004A6279" w:rsidRPr="00151C7A" w:rsidRDefault="004A6279" w:rsidP="006F4DEC">
            <w:pPr>
              <w:jc w:val="center"/>
              <w:rPr>
                <w:i/>
                <w:iCs/>
              </w:rPr>
            </w:pPr>
            <w:r w:rsidRPr="00151C7A">
              <w:rPr>
                <w:i/>
                <w:iCs/>
              </w:rPr>
              <w:t>Timeline</w:t>
            </w:r>
          </w:p>
        </w:tc>
        <w:tc>
          <w:tcPr>
            <w:tcW w:w="1341" w:type="dxa"/>
            <w:tcMar>
              <w:top w:w="60" w:type="dxa"/>
              <w:left w:w="60" w:type="dxa"/>
              <w:bottom w:w="60" w:type="dxa"/>
              <w:right w:w="60" w:type="dxa"/>
            </w:tcMar>
            <w:vAlign w:val="bottom"/>
            <w:hideMark/>
          </w:tcPr>
          <w:p w14:paraId="0D5266C8" w14:textId="77777777" w:rsidR="004A6279" w:rsidRPr="00151C7A" w:rsidRDefault="004A6279" w:rsidP="006F4DEC">
            <w:pPr>
              <w:jc w:val="center"/>
              <w:rPr>
                <w:i/>
                <w:iCs/>
              </w:rPr>
            </w:pPr>
            <w:r w:rsidRPr="00151C7A">
              <w:rPr>
                <w:i/>
                <w:iCs/>
              </w:rPr>
              <w:t>Responsible entity</w:t>
            </w:r>
          </w:p>
        </w:tc>
        <w:tc>
          <w:tcPr>
            <w:tcW w:w="1710" w:type="dxa"/>
            <w:tcMar>
              <w:top w:w="60" w:type="dxa"/>
              <w:left w:w="60" w:type="dxa"/>
              <w:bottom w:w="60" w:type="dxa"/>
              <w:right w:w="60" w:type="dxa"/>
            </w:tcMar>
            <w:vAlign w:val="bottom"/>
            <w:hideMark/>
          </w:tcPr>
          <w:p w14:paraId="2D3DBF27" w14:textId="77777777" w:rsidR="004A6279" w:rsidRPr="00151C7A" w:rsidRDefault="004A6279" w:rsidP="006F4DEC">
            <w:pPr>
              <w:jc w:val="center"/>
              <w:rPr>
                <w:i/>
                <w:iCs/>
              </w:rPr>
            </w:pPr>
            <w:r w:rsidRPr="00151C7A">
              <w:rPr>
                <w:i/>
                <w:iCs/>
              </w:rPr>
              <w:t>Stakeholders</w:t>
            </w:r>
          </w:p>
        </w:tc>
        <w:tc>
          <w:tcPr>
            <w:tcW w:w="2503" w:type="dxa"/>
            <w:tcMar>
              <w:top w:w="60" w:type="dxa"/>
              <w:left w:w="60" w:type="dxa"/>
              <w:bottom w:w="60" w:type="dxa"/>
              <w:right w:w="60" w:type="dxa"/>
            </w:tcMar>
            <w:vAlign w:val="bottom"/>
            <w:hideMark/>
          </w:tcPr>
          <w:p w14:paraId="34DB135C" w14:textId="77777777" w:rsidR="004A6279" w:rsidRPr="00151C7A" w:rsidRDefault="004A6279" w:rsidP="006F4DEC">
            <w:pPr>
              <w:jc w:val="center"/>
              <w:rPr>
                <w:i/>
                <w:iCs/>
              </w:rPr>
            </w:pPr>
            <w:r w:rsidRPr="00151C7A">
              <w:rPr>
                <w:i/>
                <w:iCs/>
              </w:rPr>
              <w:t>Metrics</w:t>
            </w:r>
          </w:p>
        </w:tc>
        <w:tc>
          <w:tcPr>
            <w:tcW w:w="882" w:type="dxa"/>
            <w:tcMar>
              <w:top w:w="60" w:type="dxa"/>
              <w:left w:w="60" w:type="dxa"/>
              <w:bottom w:w="60" w:type="dxa"/>
              <w:right w:w="60" w:type="dxa"/>
            </w:tcMar>
            <w:vAlign w:val="bottom"/>
            <w:hideMark/>
          </w:tcPr>
          <w:p w14:paraId="5382823E" w14:textId="77777777" w:rsidR="004A6279" w:rsidRPr="00151C7A" w:rsidRDefault="004A6279" w:rsidP="006F4DEC">
            <w:pPr>
              <w:jc w:val="center"/>
              <w:rPr>
                <w:i/>
                <w:iCs/>
              </w:rPr>
            </w:pPr>
            <w:r w:rsidRPr="00151C7A">
              <w:rPr>
                <w:i/>
                <w:iCs/>
              </w:rPr>
              <w:t>Priority</w:t>
            </w:r>
          </w:p>
        </w:tc>
        <w:tc>
          <w:tcPr>
            <w:tcW w:w="1849" w:type="dxa"/>
            <w:tcMar>
              <w:top w:w="60" w:type="dxa"/>
              <w:left w:w="60" w:type="dxa"/>
              <w:bottom w:w="60" w:type="dxa"/>
              <w:right w:w="60" w:type="dxa"/>
            </w:tcMar>
            <w:vAlign w:val="bottom"/>
            <w:hideMark/>
          </w:tcPr>
          <w:p w14:paraId="50CB6BD9" w14:textId="77777777" w:rsidR="004A6279" w:rsidRPr="00151C7A" w:rsidRDefault="004A6279" w:rsidP="006F4DEC">
            <w:pPr>
              <w:jc w:val="center"/>
              <w:rPr>
                <w:i/>
                <w:iCs/>
              </w:rPr>
            </w:pPr>
            <w:r w:rsidRPr="00151C7A">
              <w:rPr>
                <w:i/>
                <w:iCs/>
              </w:rPr>
              <w:t>Monitoring Activity</w:t>
            </w:r>
          </w:p>
        </w:tc>
      </w:tr>
      <w:tr w:rsidR="004A6279" w:rsidRPr="00151C7A" w14:paraId="4D744A41" w14:textId="77777777" w:rsidTr="006F4DEC">
        <w:trPr>
          <w:jc w:val="center"/>
        </w:trPr>
        <w:tc>
          <w:tcPr>
            <w:tcW w:w="1624" w:type="dxa"/>
            <w:tcMar>
              <w:top w:w="60" w:type="dxa"/>
              <w:left w:w="60" w:type="dxa"/>
              <w:bottom w:w="60" w:type="dxa"/>
              <w:right w:w="60" w:type="dxa"/>
            </w:tcMar>
          </w:tcPr>
          <w:p w14:paraId="2C11C137" w14:textId="77777777" w:rsidR="004A6279" w:rsidRPr="00151C7A" w:rsidRDefault="004A6279" w:rsidP="006F4DEC">
            <w:pPr>
              <w:jc w:val="left"/>
              <w:rPr>
                <w:shd w:val="pct15" w:color="auto" w:fill="FFFFFF"/>
                <w:lang w:val="en-US"/>
              </w:rPr>
            </w:pPr>
            <w:r w:rsidRPr="00151C7A">
              <w:rPr>
                <w:shd w:val="pct15" w:color="auto" w:fill="FFFFFF"/>
                <w:lang w:val="en-US"/>
              </w:rPr>
              <w:t>[name of SEI</w:t>
            </w:r>
          </w:p>
          <w:p w14:paraId="402E1FEA" w14:textId="77777777" w:rsidR="004A6279" w:rsidRPr="00151C7A" w:rsidRDefault="004A6279" w:rsidP="006F4DEC">
            <w:pPr>
              <w:jc w:val="left"/>
              <w:rPr>
                <w:shd w:val="pct15" w:color="auto" w:fill="FFFFFF"/>
                <w:lang w:val="en-US"/>
              </w:rPr>
            </w:pPr>
            <w:r w:rsidRPr="00151C7A">
              <w:rPr>
                <w:shd w:val="pct15" w:color="auto" w:fill="FFFFFF"/>
                <w:lang w:val="en-US"/>
              </w:rPr>
              <w:t xml:space="preserve">and ICAO SEI number, as well as RASP SEI number, if applicable] </w:t>
            </w:r>
          </w:p>
        </w:tc>
        <w:tc>
          <w:tcPr>
            <w:tcW w:w="1591" w:type="dxa"/>
            <w:tcMar>
              <w:top w:w="60" w:type="dxa"/>
              <w:left w:w="60" w:type="dxa"/>
              <w:bottom w:w="60" w:type="dxa"/>
              <w:right w:w="60" w:type="dxa"/>
            </w:tcMar>
            <w:hideMark/>
          </w:tcPr>
          <w:p w14:paraId="448B320B" w14:textId="77777777" w:rsidR="004A6279" w:rsidRPr="00151C7A" w:rsidRDefault="004A6279" w:rsidP="006F4DEC">
            <w:pPr>
              <w:jc w:val="left"/>
              <w:rPr>
                <w:shd w:val="pct15" w:color="auto" w:fill="FFFFFF"/>
                <w:lang w:val="en-US"/>
              </w:rPr>
            </w:pPr>
            <w:r w:rsidRPr="00151C7A">
              <w:rPr>
                <w:shd w:val="pct15" w:color="auto" w:fill="FFFFFF"/>
                <w:lang w:val="en-US"/>
              </w:rPr>
              <w:t>[describe action(s)]</w:t>
            </w:r>
          </w:p>
        </w:tc>
        <w:tc>
          <w:tcPr>
            <w:tcW w:w="1220" w:type="dxa"/>
            <w:tcMar>
              <w:top w:w="60" w:type="dxa"/>
              <w:left w:w="60" w:type="dxa"/>
              <w:bottom w:w="60" w:type="dxa"/>
              <w:right w:w="60" w:type="dxa"/>
            </w:tcMar>
            <w:hideMark/>
          </w:tcPr>
          <w:p w14:paraId="2B0BA843" w14:textId="77777777" w:rsidR="004A6279" w:rsidRPr="00151C7A" w:rsidRDefault="004A6279" w:rsidP="006F4DEC">
            <w:pPr>
              <w:jc w:val="left"/>
              <w:rPr>
                <w:shd w:val="pct15" w:color="auto" w:fill="FFFFFF"/>
              </w:rPr>
            </w:pPr>
            <w:r w:rsidRPr="00151C7A">
              <w:rPr>
                <w:shd w:val="pct15" w:color="auto" w:fill="FFFFFF"/>
              </w:rPr>
              <w:t>[insert time frame for completion]</w:t>
            </w:r>
          </w:p>
        </w:tc>
        <w:tc>
          <w:tcPr>
            <w:tcW w:w="1341" w:type="dxa"/>
            <w:tcMar>
              <w:top w:w="60" w:type="dxa"/>
              <w:left w:w="60" w:type="dxa"/>
              <w:bottom w:w="60" w:type="dxa"/>
              <w:right w:w="60" w:type="dxa"/>
            </w:tcMar>
            <w:hideMark/>
          </w:tcPr>
          <w:p w14:paraId="7942EB20" w14:textId="77777777" w:rsidR="004A6279" w:rsidRPr="00151C7A" w:rsidRDefault="004A6279" w:rsidP="006F4DEC">
            <w:pPr>
              <w:jc w:val="left"/>
              <w:rPr>
                <w:shd w:val="pct15" w:color="auto" w:fill="FFFFFF"/>
              </w:rPr>
            </w:pPr>
            <w:r w:rsidRPr="00151C7A">
              <w:rPr>
                <w:shd w:val="pct15" w:color="auto" w:fill="FFFFFF"/>
              </w:rPr>
              <w:t>[name]</w:t>
            </w:r>
          </w:p>
        </w:tc>
        <w:tc>
          <w:tcPr>
            <w:tcW w:w="1710" w:type="dxa"/>
            <w:tcMar>
              <w:top w:w="60" w:type="dxa"/>
              <w:left w:w="60" w:type="dxa"/>
              <w:bottom w:w="60" w:type="dxa"/>
              <w:right w:w="60" w:type="dxa"/>
            </w:tcMar>
            <w:hideMark/>
          </w:tcPr>
          <w:p w14:paraId="17433432" w14:textId="77777777" w:rsidR="004A6279" w:rsidRPr="00151C7A" w:rsidRDefault="004A6279" w:rsidP="006F4DEC">
            <w:pPr>
              <w:jc w:val="left"/>
              <w:rPr>
                <w:shd w:val="pct15" w:color="auto" w:fill="FFFFFF"/>
              </w:rPr>
            </w:pPr>
            <w:r w:rsidRPr="00151C7A">
              <w:rPr>
                <w:shd w:val="pct15" w:color="auto" w:fill="FFFFFF"/>
              </w:rPr>
              <w:t>[list stakeholders]</w:t>
            </w:r>
          </w:p>
        </w:tc>
        <w:tc>
          <w:tcPr>
            <w:tcW w:w="2503" w:type="dxa"/>
            <w:tcMar>
              <w:top w:w="60" w:type="dxa"/>
              <w:left w:w="60" w:type="dxa"/>
              <w:bottom w:w="60" w:type="dxa"/>
              <w:right w:w="60" w:type="dxa"/>
            </w:tcMar>
            <w:hideMark/>
          </w:tcPr>
          <w:p w14:paraId="08362887" w14:textId="77777777" w:rsidR="004A6279" w:rsidRPr="00151C7A" w:rsidRDefault="004A6279" w:rsidP="006F4DEC">
            <w:pPr>
              <w:jc w:val="left"/>
              <w:rPr>
                <w:shd w:val="pct15" w:color="auto" w:fill="FFFFFF"/>
              </w:rPr>
            </w:pPr>
            <w:r w:rsidRPr="00151C7A">
              <w:rPr>
                <w:shd w:val="pct15" w:color="auto" w:fill="FFFFFF"/>
              </w:rPr>
              <w:t>[list metrics]</w:t>
            </w:r>
          </w:p>
        </w:tc>
        <w:tc>
          <w:tcPr>
            <w:tcW w:w="882" w:type="dxa"/>
            <w:tcMar>
              <w:top w:w="60" w:type="dxa"/>
              <w:left w:w="60" w:type="dxa"/>
              <w:bottom w:w="60" w:type="dxa"/>
              <w:right w:w="60" w:type="dxa"/>
            </w:tcMar>
            <w:hideMark/>
          </w:tcPr>
          <w:p w14:paraId="20BD65A9" w14:textId="77777777" w:rsidR="004A6279" w:rsidRPr="00151C7A" w:rsidRDefault="004A6279" w:rsidP="006F4DEC">
            <w:pPr>
              <w:jc w:val="left"/>
              <w:rPr>
                <w:shd w:val="pct15" w:color="auto" w:fill="FFFFFF"/>
              </w:rPr>
            </w:pPr>
            <w:r w:rsidRPr="00151C7A">
              <w:rPr>
                <w:shd w:val="pct15" w:color="auto" w:fill="FFFFFF"/>
              </w:rPr>
              <w:t>[Low/</w:t>
            </w:r>
          </w:p>
          <w:p w14:paraId="1CF1DB17" w14:textId="77777777" w:rsidR="004A6279" w:rsidRPr="00151C7A" w:rsidRDefault="004A6279" w:rsidP="006F4DEC">
            <w:pPr>
              <w:jc w:val="left"/>
              <w:rPr>
                <w:shd w:val="pct15" w:color="auto" w:fill="FFFFFF"/>
              </w:rPr>
            </w:pPr>
            <w:r w:rsidRPr="00151C7A">
              <w:rPr>
                <w:shd w:val="pct15" w:color="auto" w:fill="FFFFFF"/>
              </w:rPr>
              <w:t>Medium/</w:t>
            </w:r>
          </w:p>
          <w:p w14:paraId="056EBAE8" w14:textId="77777777" w:rsidR="004A6279" w:rsidRPr="00151C7A" w:rsidRDefault="004A6279" w:rsidP="006F4DEC">
            <w:pPr>
              <w:jc w:val="left"/>
              <w:rPr>
                <w:shd w:val="pct15" w:color="auto" w:fill="FFFFFF"/>
              </w:rPr>
            </w:pPr>
            <w:r w:rsidRPr="00151C7A">
              <w:rPr>
                <w:shd w:val="pct15" w:color="auto" w:fill="FFFFFF"/>
              </w:rPr>
              <w:t>High]</w:t>
            </w:r>
          </w:p>
        </w:tc>
        <w:tc>
          <w:tcPr>
            <w:tcW w:w="1849" w:type="dxa"/>
            <w:tcMar>
              <w:top w:w="60" w:type="dxa"/>
              <w:left w:w="60" w:type="dxa"/>
              <w:bottom w:w="60" w:type="dxa"/>
              <w:right w:w="60" w:type="dxa"/>
            </w:tcMar>
            <w:hideMark/>
          </w:tcPr>
          <w:p w14:paraId="0404F694" w14:textId="77777777" w:rsidR="004A6279" w:rsidRPr="00151C7A" w:rsidRDefault="004A6279" w:rsidP="006F4DEC">
            <w:pPr>
              <w:jc w:val="left"/>
              <w:rPr>
                <w:shd w:val="pct15" w:color="auto" w:fill="FFFFFF"/>
              </w:rPr>
            </w:pPr>
            <w:r w:rsidRPr="00151C7A">
              <w:rPr>
                <w:shd w:val="pct15" w:color="auto" w:fill="FFFFFF"/>
              </w:rPr>
              <w:t>[list mechanisms for verifying SEI implementation]</w:t>
            </w:r>
          </w:p>
        </w:tc>
      </w:tr>
      <w:tr w:rsidR="004A6279" w:rsidRPr="00151C7A" w14:paraId="5A696212" w14:textId="77777777" w:rsidTr="006F4DEC">
        <w:trPr>
          <w:jc w:val="center"/>
        </w:trPr>
        <w:tc>
          <w:tcPr>
            <w:tcW w:w="1624" w:type="dxa"/>
            <w:tcMar>
              <w:top w:w="60" w:type="dxa"/>
              <w:left w:w="60" w:type="dxa"/>
              <w:bottom w:w="60" w:type="dxa"/>
              <w:right w:w="60" w:type="dxa"/>
            </w:tcMar>
          </w:tcPr>
          <w:p w14:paraId="01518C30" w14:textId="77777777" w:rsidR="004A6279" w:rsidRPr="00151C7A" w:rsidRDefault="004A6279" w:rsidP="006F4DEC">
            <w:pPr>
              <w:jc w:val="left"/>
              <w:rPr>
                <w:i/>
                <w:iCs/>
                <w:lang w:val="en-US"/>
              </w:rPr>
            </w:pPr>
            <w:r w:rsidRPr="00151C7A">
              <w:rPr>
                <w:i/>
                <w:iCs/>
                <w:lang w:val="en-US"/>
              </w:rPr>
              <w:t>Example,</w:t>
            </w:r>
            <w:r w:rsidRPr="00151C7A">
              <w:rPr>
                <w:lang w:val="en-US"/>
              </w:rPr>
              <w:t xml:space="preserve"> </w:t>
            </w:r>
            <w:r w:rsidRPr="00151C7A">
              <w:rPr>
                <w:i/>
                <w:iCs/>
                <w:lang w:val="en-US"/>
              </w:rPr>
              <w:t>ICAO OPS SEI on LOC-I (State) — Mitigate contributing factors to LOC-I accidents and incidents</w:t>
            </w:r>
          </w:p>
        </w:tc>
        <w:tc>
          <w:tcPr>
            <w:tcW w:w="1591" w:type="dxa"/>
            <w:tcMar>
              <w:top w:w="60" w:type="dxa"/>
              <w:left w:w="60" w:type="dxa"/>
              <w:bottom w:w="60" w:type="dxa"/>
              <w:right w:w="60" w:type="dxa"/>
            </w:tcMar>
          </w:tcPr>
          <w:p w14:paraId="307BC87B" w14:textId="77777777" w:rsidR="004A6279" w:rsidRPr="00151C7A" w:rsidRDefault="004A6279" w:rsidP="006F4DEC">
            <w:pPr>
              <w:jc w:val="left"/>
              <w:rPr>
                <w:i/>
                <w:iCs/>
                <w:lang w:val="en-US"/>
              </w:rPr>
            </w:pPr>
            <w:r w:rsidRPr="00151C7A">
              <w:rPr>
                <w:i/>
                <w:iCs/>
                <w:lang w:val="en-US"/>
              </w:rPr>
              <w:t>Require upset prevention and recovery training in all full flight simulator type conversion and recurrent training programmes</w:t>
            </w:r>
          </w:p>
        </w:tc>
        <w:tc>
          <w:tcPr>
            <w:tcW w:w="1220" w:type="dxa"/>
            <w:tcMar>
              <w:top w:w="60" w:type="dxa"/>
              <w:left w:w="60" w:type="dxa"/>
              <w:bottom w:w="60" w:type="dxa"/>
              <w:right w:w="60" w:type="dxa"/>
            </w:tcMar>
            <w:hideMark/>
          </w:tcPr>
          <w:p w14:paraId="17C6F59F" w14:textId="77777777" w:rsidR="004A6279" w:rsidRPr="00151C7A" w:rsidRDefault="004A6279" w:rsidP="006F4DEC">
            <w:pPr>
              <w:jc w:val="left"/>
              <w:rPr>
                <w:i/>
                <w:iCs/>
              </w:rPr>
            </w:pPr>
            <w:r w:rsidRPr="00151C7A">
              <w:rPr>
                <w:i/>
                <w:iCs/>
              </w:rPr>
              <w:t>Q1 2023 to Q4 2025</w:t>
            </w:r>
          </w:p>
        </w:tc>
        <w:tc>
          <w:tcPr>
            <w:tcW w:w="1341" w:type="dxa"/>
            <w:tcMar>
              <w:top w:w="60" w:type="dxa"/>
              <w:left w:w="60" w:type="dxa"/>
              <w:bottom w:w="60" w:type="dxa"/>
              <w:right w:w="60" w:type="dxa"/>
            </w:tcMar>
            <w:hideMark/>
          </w:tcPr>
          <w:p w14:paraId="46C9990F" w14:textId="77777777" w:rsidR="004A6279" w:rsidRPr="00151C7A" w:rsidRDefault="004A6279" w:rsidP="006F4DEC">
            <w:pPr>
              <w:jc w:val="left"/>
              <w:rPr>
                <w:i/>
                <w:iCs/>
              </w:rPr>
            </w:pPr>
            <w:r w:rsidRPr="00151C7A">
              <w:rPr>
                <w:i/>
                <w:iCs/>
              </w:rPr>
              <w:t>CAA</w:t>
            </w:r>
          </w:p>
        </w:tc>
        <w:tc>
          <w:tcPr>
            <w:tcW w:w="1710" w:type="dxa"/>
            <w:tcMar>
              <w:top w:w="60" w:type="dxa"/>
              <w:left w:w="60" w:type="dxa"/>
              <w:bottom w:w="60" w:type="dxa"/>
              <w:right w:w="60" w:type="dxa"/>
            </w:tcMar>
            <w:hideMark/>
          </w:tcPr>
          <w:p w14:paraId="3F01B0CC"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Operators</w:t>
            </w:r>
          </w:p>
          <w:p w14:paraId="3EE86A43"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Approved training organizations (ATO)</w:t>
            </w:r>
          </w:p>
          <w:p w14:paraId="7541523F"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Flight simulator product and service providers</w:t>
            </w:r>
          </w:p>
          <w:p w14:paraId="65FD26C8"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Pilots’ associations</w:t>
            </w:r>
          </w:p>
          <w:p w14:paraId="3BC5B613"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CAA inspectors</w:t>
            </w:r>
          </w:p>
        </w:tc>
        <w:tc>
          <w:tcPr>
            <w:tcW w:w="2503" w:type="dxa"/>
            <w:tcMar>
              <w:top w:w="60" w:type="dxa"/>
              <w:left w:w="60" w:type="dxa"/>
              <w:bottom w:w="60" w:type="dxa"/>
              <w:right w:w="60" w:type="dxa"/>
            </w:tcMar>
            <w:hideMark/>
          </w:tcPr>
          <w:p w14:paraId="2AE6D490"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Training programmes updated with upset prevention and recovery</w:t>
            </w:r>
          </w:p>
          <w:p w14:paraId="74757419"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Number/percentage of pilots completing upset prevention and recovery training</w:t>
            </w:r>
          </w:p>
          <w:p w14:paraId="58F3D07A"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Upset occurrence rates in voluntary reporting</w:t>
            </w:r>
          </w:p>
          <w:p w14:paraId="1C91B9A8"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Stick-shaker activation events in FDA data</w:t>
            </w:r>
          </w:p>
          <w:p w14:paraId="1D8C13A3"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LOC-I occurrence rates</w:t>
            </w:r>
          </w:p>
        </w:tc>
        <w:tc>
          <w:tcPr>
            <w:tcW w:w="882" w:type="dxa"/>
            <w:tcMar>
              <w:top w:w="60" w:type="dxa"/>
              <w:left w:w="60" w:type="dxa"/>
              <w:bottom w:w="60" w:type="dxa"/>
              <w:right w:w="60" w:type="dxa"/>
            </w:tcMar>
            <w:hideMark/>
          </w:tcPr>
          <w:p w14:paraId="21DA1122" w14:textId="77777777" w:rsidR="004A6279" w:rsidRPr="00151C7A" w:rsidRDefault="004A6279" w:rsidP="006F4DEC">
            <w:pPr>
              <w:jc w:val="left"/>
              <w:rPr>
                <w:i/>
                <w:iCs/>
              </w:rPr>
            </w:pPr>
            <w:r w:rsidRPr="00151C7A">
              <w:rPr>
                <w:i/>
                <w:iCs/>
              </w:rPr>
              <w:t>High</w:t>
            </w:r>
          </w:p>
        </w:tc>
        <w:tc>
          <w:tcPr>
            <w:tcW w:w="1849" w:type="dxa"/>
            <w:tcMar>
              <w:top w:w="60" w:type="dxa"/>
              <w:left w:w="60" w:type="dxa"/>
              <w:bottom w:w="60" w:type="dxa"/>
              <w:right w:w="60" w:type="dxa"/>
            </w:tcMar>
            <w:hideMark/>
          </w:tcPr>
          <w:p w14:paraId="45D012AD" w14:textId="77777777" w:rsidR="004A6279" w:rsidRPr="00151C7A" w:rsidRDefault="004A6279" w:rsidP="006F4DEC">
            <w:pPr>
              <w:jc w:val="left"/>
              <w:rPr>
                <w:i/>
                <w:iCs/>
              </w:rPr>
            </w:pPr>
            <w:r w:rsidRPr="00151C7A">
              <w:rPr>
                <w:i/>
                <w:iCs/>
              </w:rPr>
              <w:t>Surveillance of operator and ATO training activities</w:t>
            </w:r>
          </w:p>
        </w:tc>
      </w:tr>
    </w:tbl>
    <w:p w14:paraId="17E4239C" w14:textId="77777777" w:rsidR="004A6279" w:rsidRPr="00151C7A" w:rsidRDefault="004A6279" w:rsidP="004A6279">
      <w:pPr>
        <w:widowControl/>
        <w:tabs>
          <w:tab w:val="clear" w:pos="1080"/>
          <w:tab w:val="clear" w:pos="1440"/>
          <w:tab w:val="clear" w:pos="1800"/>
          <w:tab w:val="clear" w:pos="2160"/>
        </w:tabs>
        <w:rPr>
          <w:b/>
          <w:caps/>
        </w:rPr>
      </w:pPr>
      <w:r w:rsidRPr="00151C7A">
        <w:br w:type="page"/>
      </w:r>
    </w:p>
    <w:p w14:paraId="2636CDB2" w14:textId="77777777" w:rsidR="004A6279" w:rsidRPr="00151C7A" w:rsidRDefault="004A6279" w:rsidP="004A6279">
      <w:pPr>
        <w:pStyle w:val="BOLDCAPSCENTERED"/>
      </w:pPr>
      <w:bookmarkStart w:id="9" w:name="_Toc41037099"/>
      <w:r w:rsidRPr="00151C7A">
        <w:lastRenderedPageBreak/>
        <w:t xml:space="preserve">DETAILED SEIs: </w:t>
      </w:r>
      <w:bookmarkEnd w:id="9"/>
      <w:r w:rsidRPr="00151C7A">
        <w:t>organizational challenges</w:t>
      </w:r>
    </w:p>
    <w:p w14:paraId="1F7DFE15" w14:textId="77777777" w:rsidR="004A6279" w:rsidRPr="00151C7A" w:rsidRDefault="004A6279" w:rsidP="004A6279"/>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0"/>
        <w:gridCol w:w="1601"/>
        <w:gridCol w:w="1216"/>
        <w:gridCol w:w="1335"/>
        <w:gridCol w:w="1721"/>
        <w:gridCol w:w="2499"/>
        <w:gridCol w:w="880"/>
        <w:gridCol w:w="1848"/>
      </w:tblGrid>
      <w:tr w:rsidR="004A6279" w:rsidRPr="00151C7A" w14:paraId="0C698A3D" w14:textId="77777777" w:rsidTr="006F4DEC">
        <w:trPr>
          <w:jc w:val="center"/>
        </w:trPr>
        <w:tc>
          <w:tcPr>
            <w:tcW w:w="12720" w:type="dxa"/>
            <w:gridSpan w:val="8"/>
            <w:tcMar>
              <w:top w:w="60" w:type="dxa"/>
              <w:left w:w="60" w:type="dxa"/>
              <w:bottom w:w="60" w:type="dxa"/>
              <w:right w:w="60" w:type="dxa"/>
            </w:tcMar>
            <w:vAlign w:val="center"/>
            <w:hideMark/>
          </w:tcPr>
          <w:p w14:paraId="3F892BFE" w14:textId="77777777" w:rsidR="004A6279" w:rsidRPr="00151C7A" w:rsidRDefault="004A6279" w:rsidP="006F4DEC">
            <w:pPr>
              <w:jc w:val="left"/>
            </w:pPr>
            <w:r w:rsidRPr="00151C7A">
              <w:rPr>
                <w:b/>
                <w:bCs/>
              </w:rPr>
              <w:t xml:space="preserve">Organizational challenge </w:t>
            </w:r>
            <w:r w:rsidRPr="00151C7A">
              <w:rPr>
                <w:b/>
                <w:bCs/>
                <w:shd w:val="pct15" w:color="auto" w:fill="FFFFFF"/>
              </w:rPr>
              <w:t>x</w:t>
            </w:r>
            <w:r w:rsidRPr="00151C7A">
              <w:rPr>
                <w:b/>
                <w:bCs/>
                <w:vertAlign w:val="superscript"/>
              </w:rPr>
              <w:footnoteReference w:id="4"/>
            </w:r>
            <w:r w:rsidRPr="00151C7A">
              <w:rPr>
                <w:b/>
                <w:bCs/>
              </w:rPr>
              <w:t>:</w:t>
            </w:r>
            <w:r w:rsidRPr="00151C7A">
              <w:t xml:space="preserve"> [</w:t>
            </w:r>
            <w:r w:rsidRPr="00151C7A">
              <w:rPr>
                <w:shd w:val="pct15" w:color="auto" w:fill="FFFFFF"/>
              </w:rPr>
              <w:t xml:space="preserve">name of challenge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Lack of aircraft accident and incident investigation capabilities at the national level</w:t>
            </w:r>
            <w:r w:rsidRPr="00151C7A">
              <w:t>]</w:t>
            </w:r>
          </w:p>
        </w:tc>
      </w:tr>
      <w:tr w:rsidR="004A6279" w:rsidRPr="00151C7A" w14:paraId="17BB4436" w14:textId="77777777" w:rsidTr="006F4DEC">
        <w:trPr>
          <w:jc w:val="center"/>
        </w:trPr>
        <w:tc>
          <w:tcPr>
            <w:tcW w:w="12720" w:type="dxa"/>
            <w:gridSpan w:val="8"/>
            <w:tcMar>
              <w:top w:w="60" w:type="dxa"/>
              <w:left w:w="60" w:type="dxa"/>
              <w:bottom w:w="60" w:type="dxa"/>
              <w:right w:w="60" w:type="dxa"/>
            </w:tcMar>
            <w:vAlign w:val="center"/>
            <w:hideMark/>
          </w:tcPr>
          <w:p w14:paraId="47E90D44" w14:textId="77777777" w:rsidR="004A6279" w:rsidRPr="00151C7A" w:rsidRDefault="004A6279" w:rsidP="006F4DEC">
            <w:pPr>
              <w:jc w:val="center"/>
            </w:pPr>
            <w:r w:rsidRPr="00151C7A">
              <w:rPr>
                <w:b/>
                <w:bCs/>
              </w:rPr>
              <w:t xml:space="preserve">Goal </w:t>
            </w:r>
            <w:r w:rsidRPr="00151C7A">
              <w:rPr>
                <w:b/>
                <w:bCs/>
                <w:shd w:val="pct15" w:color="auto" w:fill="FFFFFF"/>
              </w:rPr>
              <w:t>x</w:t>
            </w:r>
            <w:r w:rsidRPr="00151C7A">
              <w:rPr>
                <w:b/>
                <w:bCs/>
              </w:rPr>
              <w:t>:</w:t>
            </w:r>
            <w:r w:rsidRPr="00151C7A">
              <w:t xml:space="preserve"> [</w:t>
            </w:r>
            <w:r w:rsidRPr="00151C7A">
              <w:rPr>
                <w:shd w:val="pct15" w:color="auto" w:fill="FFFFFF"/>
              </w:rPr>
              <w:t xml:space="preserve">name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Goal 2: Strengthen the State’s safety oversight capabilities</w:t>
            </w:r>
            <w:r w:rsidRPr="00151C7A">
              <w:rPr>
                <w:shd w:val="pct15" w:color="auto" w:fill="FFFFFF"/>
              </w:rPr>
              <w:t>]</w:t>
            </w:r>
          </w:p>
          <w:p w14:paraId="52AED201" w14:textId="77777777" w:rsidR="004A6279" w:rsidRPr="00151C7A" w:rsidRDefault="004A6279" w:rsidP="006F4DEC">
            <w:pPr>
              <w:jc w:val="center"/>
            </w:pPr>
            <w:r w:rsidRPr="00151C7A">
              <w:rPr>
                <w:b/>
                <w:bCs/>
              </w:rPr>
              <w:t xml:space="preserve">Target </w:t>
            </w:r>
            <w:r w:rsidRPr="00151C7A">
              <w:rPr>
                <w:b/>
                <w:bCs/>
                <w:shd w:val="pct15" w:color="auto" w:fill="FFFFFF"/>
              </w:rPr>
              <w:t>x.x</w:t>
            </w:r>
            <w:r w:rsidRPr="00151C7A">
              <w:rPr>
                <w:b/>
                <w:bCs/>
              </w:rPr>
              <w:t>:</w:t>
            </w:r>
            <w:r w:rsidRPr="00151C7A">
              <w:t xml:space="preserve"> [</w:t>
            </w:r>
            <w:r w:rsidRPr="00151C7A">
              <w:rPr>
                <w:shd w:val="pct15" w:color="auto" w:fill="FFFFFF"/>
              </w:rPr>
              <w:t xml:space="preserve">description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Target 2.1: By 2026, reach an effective implementation score of 85%</w:t>
            </w:r>
            <w:r w:rsidRPr="00151C7A">
              <w:t>]</w:t>
            </w:r>
          </w:p>
        </w:tc>
      </w:tr>
      <w:tr w:rsidR="004A6279" w:rsidRPr="00151C7A" w14:paraId="2F2C8A09" w14:textId="77777777" w:rsidTr="006F4DEC">
        <w:trPr>
          <w:jc w:val="center"/>
        </w:trPr>
        <w:tc>
          <w:tcPr>
            <w:tcW w:w="1620" w:type="dxa"/>
            <w:tcMar>
              <w:top w:w="60" w:type="dxa"/>
              <w:left w:w="60" w:type="dxa"/>
              <w:bottom w:w="60" w:type="dxa"/>
              <w:right w:w="60" w:type="dxa"/>
            </w:tcMar>
            <w:vAlign w:val="bottom"/>
            <w:hideMark/>
          </w:tcPr>
          <w:p w14:paraId="063488EA" w14:textId="77777777" w:rsidR="004A6279" w:rsidRPr="00151C7A" w:rsidRDefault="004A6279" w:rsidP="006F4DEC">
            <w:pPr>
              <w:jc w:val="center"/>
              <w:rPr>
                <w:i/>
                <w:iCs/>
              </w:rPr>
            </w:pPr>
            <w:r w:rsidRPr="00151C7A">
              <w:rPr>
                <w:i/>
                <w:iCs/>
              </w:rPr>
              <w:t>Safety enhancement initiative</w:t>
            </w:r>
          </w:p>
        </w:tc>
        <w:tc>
          <w:tcPr>
            <w:tcW w:w="1601" w:type="dxa"/>
            <w:tcMar>
              <w:top w:w="60" w:type="dxa"/>
              <w:left w:w="60" w:type="dxa"/>
              <w:bottom w:w="60" w:type="dxa"/>
              <w:right w:w="60" w:type="dxa"/>
            </w:tcMar>
            <w:vAlign w:val="bottom"/>
            <w:hideMark/>
          </w:tcPr>
          <w:p w14:paraId="28751C73" w14:textId="77777777" w:rsidR="004A6279" w:rsidRPr="00151C7A" w:rsidRDefault="004A6279" w:rsidP="006F4DEC">
            <w:pPr>
              <w:jc w:val="center"/>
              <w:rPr>
                <w:i/>
                <w:iCs/>
              </w:rPr>
            </w:pPr>
            <w:r w:rsidRPr="00151C7A">
              <w:rPr>
                <w:i/>
                <w:iCs/>
              </w:rPr>
              <w:t>Action</w:t>
            </w:r>
          </w:p>
        </w:tc>
        <w:tc>
          <w:tcPr>
            <w:tcW w:w="1216" w:type="dxa"/>
            <w:tcMar>
              <w:top w:w="60" w:type="dxa"/>
              <w:left w:w="60" w:type="dxa"/>
              <w:bottom w:w="60" w:type="dxa"/>
              <w:right w:w="60" w:type="dxa"/>
            </w:tcMar>
            <w:vAlign w:val="bottom"/>
            <w:hideMark/>
          </w:tcPr>
          <w:p w14:paraId="2FD13E65" w14:textId="77777777" w:rsidR="004A6279" w:rsidRPr="00151C7A" w:rsidRDefault="004A6279" w:rsidP="006F4DEC">
            <w:pPr>
              <w:jc w:val="center"/>
              <w:rPr>
                <w:i/>
                <w:iCs/>
              </w:rPr>
            </w:pPr>
            <w:r w:rsidRPr="00151C7A">
              <w:rPr>
                <w:i/>
                <w:iCs/>
              </w:rPr>
              <w:t>Timeline</w:t>
            </w:r>
          </w:p>
        </w:tc>
        <w:tc>
          <w:tcPr>
            <w:tcW w:w="1335" w:type="dxa"/>
            <w:tcMar>
              <w:top w:w="60" w:type="dxa"/>
              <w:left w:w="60" w:type="dxa"/>
              <w:bottom w:w="60" w:type="dxa"/>
              <w:right w:w="60" w:type="dxa"/>
            </w:tcMar>
            <w:vAlign w:val="bottom"/>
            <w:hideMark/>
          </w:tcPr>
          <w:p w14:paraId="095381A3" w14:textId="77777777" w:rsidR="004A6279" w:rsidRPr="00151C7A" w:rsidRDefault="004A6279" w:rsidP="006F4DEC">
            <w:pPr>
              <w:jc w:val="center"/>
              <w:rPr>
                <w:i/>
                <w:iCs/>
              </w:rPr>
            </w:pPr>
            <w:r w:rsidRPr="00151C7A">
              <w:rPr>
                <w:i/>
                <w:iCs/>
              </w:rPr>
              <w:t>Responsible entity</w:t>
            </w:r>
          </w:p>
        </w:tc>
        <w:tc>
          <w:tcPr>
            <w:tcW w:w="1721" w:type="dxa"/>
            <w:tcMar>
              <w:top w:w="60" w:type="dxa"/>
              <w:left w:w="60" w:type="dxa"/>
              <w:bottom w:w="60" w:type="dxa"/>
              <w:right w:w="60" w:type="dxa"/>
            </w:tcMar>
            <w:vAlign w:val="bottom"/>
            <w:hideMark/>
          </w:tcPr>
          <w:p w14:paraId="63A0EEA1" w14:textId="77777777" w:rsidR="004A6279" w:rsidRPr="00151C7A" w:rsidRDefault="004A6279" w:rsidP="006F4DEC">
            <w:pPr>
              <w:jc w:val="center"/>
              <w:rPr>
                <w:i/>
                <w:iCs/>
              </w:rPr>
            </w:pPr>
            <w:r w:rsidRPr="00151C7A">
              <w:rPr>
                <w:i/>
                <w:iCs/>
              </w:rPr>
              <w:t>Stakeholders</w:t>
            </w:r>
          </w:p>
        </w:tc>
        <w:tc>
          <w:tcPr>
            <w:tcW w:w="2499" w:type="dxa"/>
            <w:tcMar>
              <w:top w:w="60" w:type="dxa"/>
              <w:left w:w="60" w:type="dxa"/>
              <w:bottom w:w="60" w:type="dxa"/>
              <w:right w:w="60" w:type="dxa"/>
            </w:tcMar>
            <w:vAlign w:val="bottom"/>
            <w:hideMark/>
          </w:tcPr>
          <w:p w14:paraId="2FEF7AF8" w14:textId="77777777" w:rsidR="004A6279" w:rsidRPr="00151C7A" w:rsidRDefault="004A6279" w:rsidP="006F4DEC">
            <w:pPr>
              <w:jc w:val="center"/>
              <w:rPr>
                <w:i/>
                <w:iCs/>
              </w:rPr>
            </w:pPr>
            <w:r w:rsidRPr="00151C7A">
              <w:rPr>
                <w:i/>
                <w:iCs/>
              </w:rPr>
              <w:t>Metrics</w:t>
            </w:r>
          </w:p>
        </w:tc>
        <w:tc>
          <w:tcPr>
            <w:tcW w:w="880" w:type="dxa"/>
            <w:tcMar>
              <w:top w:w="60" w:type="dxa"/>
              <w:left w:w="60" w:type="dxa"/>
              <w:bottom w:w="60" w:type="dxa"/>
              <w:right w:w="60" w:type="dxa"/>
            </w:tcMar>
            <w:vAlign w:val="bottom"/>
            <w:hideMark/>
          </w:tcPr>
          <w:p w14:paraId="114D45D4" w14:textId="77777777" w:rsidR="004A6279" w:rsidRPr="00151C7A" w:rsidRDefault="004A6279" w:rsidP="006F4DEC">
            <w:pPr>
              <w:jc w:val="center"/>
              <w:rPr>
                <w:i/>
                <w:iCs/>
              </w:rPr>
            </w:pPr>
            <w:r w:rsidRPr="00151C7A">
              <w:rPr>
                <w:i/>
                <w:iCs/>
              </w:rPr>
              <w:t>Priority</w:t>
            </w:r>
          </w:p>
        </w:tc>
        <w:tc>
          <w:tcPr>
            <w:tcW w:w="1848" w:type="dxa"/>
            <w:tcMar>
              <w:top w:w="60" w:type="dxa"/>
              <w:left w:w="60" w:type="dxa"/>
              <w:bottom w:w="60" w:type="dxa"/>
              <w:right w:w="60" w:type="dxa"/>
            </w:tcMar>
            <w:vAlign w:val="bottom"/>
            <w:hideMark/>
          </w:tcPr>
          <w:p w14:paraId="5C7C7F4D" w14:textId="77777777" w:rsidR="004A6279" w:rsidRPr="00151C7A" w:rsidRDefault="004A6279" w:rsidP="006F4DEC">
            <w:pPr>
              <w:jc w:val="center"/>
              <w:rPr>
                <w:i/>
                <w:iCs/>
              </w:rPr>
            </w:pPr>
            <w:r w:rsidRPr="00151C7A">
              <w:rPr>
                <w:i/>
                <w:iCs/>
              </w:rPr>
              <w:t>Monitoring Activity</w:t>
            </w:r>
          </w:p>
        </w:tc>
      </w:tr>
      <w:tr w:rsidR="004A6279" w:rsidRPr="00151C7A" w14:paraId="7EC42DA5" w14:textId="77777777" w:rsidTr="006F4DEC">
        <w:trPr>
          <w:jc w:val="center"/>
        </w:trPr>
        <w:tc>
          <w:tcPr>
            <w:tcW w:w="1620" w:type="dxa"/>
            <w:tcMar>
              <w:top w:w="60" w:type="dxa"/>
              <w:left w:w="60" w:type="dxa"/>
              <w:bottom w:w="60" w:type="dxa"/>
              <w:right w:w="60" w:type="dxa"/>
            </w:tcMar>
          </w:tcPr>
          <w:p w14:paraId="5AB845AC" w14:textId="77777777" w:rsidR="004A6279" w:rsidRPr="00151C7A" w:rsidRDefault="004A6279" w:rsidP="006F4DEC">
            <w:pPr>
              <w:jc w:val="left"/>
              <w:rPr>
                <w:shd w:val="pct15" w:color="auto" w:fill="FFFFFF"/>
                <w:lang w:val="en-US"/>
              </w:rPr>
            </w:pPr>
            <w:r w:rsidRPr="00151C7A">
              <w:rPr>
                <w:shd w:val="pct15" w:color="auto" w:fill="FFFFFF"/>
                <w:lang w:val="en-US"/>
              </w:rPr>
              <w:t xml:space="preserve">[name of SEI </w:t>
            </w:r>
          </w:p>
          <w:p w14:paraId="6A55BF7C" w14:textId="77777777" w:rsidR="004A6279" w:rsidRPr="00151C7A" w:rsidRDefault="004A6279" w:rsidP="006F4DEC">
            <w:pPr>
              <w:jc w:val="left"/>
              <w:rPr>
                <w:shd w:val="pct15" w:color="auto" w:fill="FFFFFF"/>
                <w:lang w:val="en-US"/>
              </w:rPr>
            </w:pPr>
            <w:r w:rsidRPr="00151C7A">
              <w:rPr>
                <w:shd w:val="pct15" w:color="auto" w:fill="FFFFFF"/>
                <w:lang w:val="en-US"/>
              </w:rPr>
              <w:t>and ICAO SEI number as well as RASP SEI number, if applicable]</w:t>
            </w:r>
          </w:p>
        </w:tc>
        <w:tc>
          <w:tcPr>
            <w:tcW w:w="1601" w:type="dxa"/>
            <w:tcMar>
              <w:top w:w="60" w:type="dxa"/>
              <w:left w:w="60" w:type="dxa"/>
              <w:bottom w:w="60" w:type="dxa"/>
              <w:right w:w="60" w:type="dxa"/>
            </w:tcMar>
            <w:hideMark/>
          </w:tcPr>
          <w:p w14:paraId="769FD661" w14:textId="77777777" w:rsidR="004A6279" w:rsidRPr="00151C7A" w:rsidRDefault="004A6279" w:rsidP="006F4DEC">
            <w:pPr>
              <w:jc w:val="left"/>
              <w:rPr>
                <w:shd w:val="pct15" w:color="auto" w:fill="FFFFFF"/>
                <w:lang w:val="en-US"/>
              </w:rPr>
            </w:pPr>
            <w:r w:rsidRPr="00151C7A">
              <w:rPr>
                <w:shd w:val="pct15" w:color="auto" w:fill="FFFFFF"/>
                <w:lang w:val="en-US"/>
              </w:rPr>
              <w:t>[describe action(s)]</w:t>
            </w:r>
          </w:p>
        </w:tc>
        <w:tc>
          <w:tcPr>
            <w:tcW w:w="1216" w:type="dxa"/>
            <w:tcMar>
              <w:top w:w="60" w:type="dxa"/>
              <w:left w:w="60" w:type="dxa"/>
              <w:bottom w:w="60" w:type="dxa"/>
              <w:right w:w="60" w:type="dxa"/>
            </w:tcMar>
            <w:hideMark/>
          </w:tcPr>
          <w:p w14:paraId="6CF03B60" w14:textId="77777777" w:rsidR="004A6279" w:rsidRPr="00151C7A" w:rsidRDefault="004A6279" w:rsidP="006F4DEC">
            <w:pPr>
              <w:jc w:val="left"/>
              <w:rPr>
                <w:shd w:val="pct15" w:color="auto" w:fill="FFFFFF"/>
              </w:rPr>
            </w:pPr>
            <w:r w:rsidRPr="00151C7A">
              <w:rPr>
                <w:shd w:val="pct15" w:color="auto" w:fill="FFFFFF"/>
              </w:rPr>
              <w:t>[insert time frame for completion]</w:t>
            </w:r>
          </w:p>
        </w:tc>
        <w:tc>
          <w:tcPr>
            <w:tcW w:w="1335" w:type="dxa"/>
            <w:tcMar>
              <w:top w:w="60" w:type="dxa"/>
              <w:left w:w="60" w:type="dxa"/>
              <w:bottom w:w="60" w:type="dxa"/>
              <w:right w:w="60" w:type="dxa"/>
            </w:tcMar>
            <w:hideMark/>
          </w:tcPr>
          <w:p w14:paraId="5722C0B1" w14:textId="77777777" w:rsidR="004A6279" w:rsidRPr="00151C7A" w:rsidRDefault="004A6279" w:rsidP="006F4DEC">
            <w:pPr>
              <w:jc w:val="left"/>
              <w:rPr>
                <w:shd w:val="pct15" w:color="auto" w:fill="FFFFFF"/>
              </w:rPr>
            </w:pPr>
            <w:r w:rsidRPr="00151C7A">
              <w:rPr>
                <w:shd w:val="pct15" w:color="auto" w:fill="FFFFFF"/>
              </w:rPr>
              <w:t>[name]</w:t>
            </w:r>
          </w:p>
        </w:tc>
        <w:tc>
          <w:tcPr>
            <w:tcW w:w="1721" w:type="dxa"/>
            <w:tcMar>
              <w:top w:w="60" w:type="dxa"/>
              <w:left w:w="60" w:type="dxa"/>
              <w:bottom w:w="60" w:type="dxa"/>
              <w:right w:w="60" w:type="dxa"/>
            </w:tcMar>
            <w:hideMark/>
          </w:tcPr>
          <w:p w14:paraId="6B473904" w14:textId="77777777" w:rsidR="004A6279" w:rsidRPr="00151C7A" w:rsidRDefault="004A6279" w:rsidP="006F4DEC">
            <w:pPr>
              <w:jc w:val="left"/>
              <w:rPr>
                <w:shd w:val="pct15" w:color="auto" w:fill="FFFFFF"/>
              </w:rPr>
            </w:pPr>
            <w:r w:rsidRPr="00151C7A">
              <w:rPr>
                <w:shd w:val="pct15" w:color="auto" w:fill="FFFFFF"/>
              </w:rPr>
              <w:t>[list stakeholders]</w:t>
            </w:r>
          </w:p>
        </w:tc>
        <w:tc>
          <w:tcPr>
            <w:tcW w:w="2499" w:type="dxa"/>
            <w:tcMar>
              <w:top w:w="60" w:type="dxa"/>
              <w:left w:w="60" w:type="dxa"/>
              <w:bottom w:w="60" w:type="dxa"/>
              <w:right w:w="60" w:type="dxa"/>
            </w:tcMar>
            <w:hideMark/>
          </w:tcPr>
          <w:p w14:paraId="26632BD1" w14:textId="77777777" w:rsidR="004A6279" w:rsidRPr="00151C7A" w:rsidRDefault="004A6279" w:rsidP="006F4DEC">
            <w:pPr>
              <w:jc w:val="left"/>
              <w:rPr>
                <w:shd w:val="pct15" w:color="auto" w:fill="FFFFFF"/>
              </w:rPr>
            </w:pPr>
            <w:r w:rsidRPr="00151C7A">
              <w:rPr>
                <w:shd w:val="pct15" w:color="auto" w:fill="FFFFFF"/>
              </w:rPr>
              <w:t>[list metrics]</w:t>
            </w:r>
          </w:p>
        </w:tc>
        <w:tc>
          <w:tcPr>
            <w:tcW w:w="880" w:type="dxa"/>
            <w:tcMar>
              <w:top w:w="60" w:type="dxa"/>
              <w:left w:w="60" w:type="dxa"/>
              <w:bottom w:w="60" w:type="dxa"/>
              <w:right w:w="60" w:type="dxa"/>
            </w:tcMar>
            <w:hideMark/>
          </w:tcPr>
          <w:p w14:paraId="4594B0FD" w14:textId="77777777" w:rsidR="004A6279" w:rsidRPr="00151C7A" w:rsidRDefault="004A6279" w:rsidP="006F4DEC">
            <w:pPr>
              <w:jc w:val="left"/>
              <w:rPr>
                <w:shd w:val="pct15" w:color="auto" w:fill="FFFFFF"/>
              </w:rPr>
            </w:pPr>
            <w:r w:rsidRPr="00151C7A">
              <w:rPr>
                <w:shd w:val="pct15" w:color="auto" w:fill="FFFFFF"/>
              </w:rPr>
              <w:t>[Low/</w:t>
            </w:r>
          </w:p>
          <w:p w14:paraId="7456BF5C" w14:textId="77777777" w:rsidR="004A6279" w:rsidRPr="00151C7A" w:rsidRDefault="004A6279" w:rsidP="006F4DEC">
            <w:pPr>
              <w:jc w:val="left"/>
              <w:rPr>
                <w:shd w:val="pct15" w:color="auto" w:fill="FFFFFF"/>
              </w:rPr>
            </w:pPr>
            <w:r w:rsidRPr="00151C7A">
              <w:rPr>
                <w:shd w:val="pct15" w:color="auto" w:fill="FFFFFF"/>
              </w:rPr>
              <w:t>Medium/</w:t>
            </w:r>
          </w:p>
          <w:p w14:paraId="3EF82A60" w14:textId="77777777" w:rsidR="004A6279" w:rsidRPr="00151C7A" w:rsidRDefault="004A6279" w:rsidP="006F4DEC">
            <w:pPr>
              <w:jc w:val="left"/>
              <w:rPr>
                <w:shd w:val="pct15" w:color="auto" w:fill="FFFFFF"/>
              </w:rPr>
            </w:pPr>
            <w:r w:rsidRPr="00151C7A">
              <w:rPr>
                <w:shd w:val="pct15" w:color="auto" w:fill="FFFFFF"/>
              </w:rPr>
              <w:t>High]</w:t>
            </w:r>
          </w:p>
        </w:tc>
        <w:tc>
          <w:tcPr>
            <w:tcW w:w="1848" w:type="dxa"/>
            <w:tcMar>
              <w:top w:w="60" w:type="dxa"/>
              <w:left w:w="60" w:type="dxa"/>
              <w:bottom w:w="60" w:type="dxa"/>
              <w:right w:w="60" w:type="dxa"/>
            </w:tcMar>
            <w:hideMark/>
          </w:tcPr>
          <w:p w14:paraId="517E8BC0" w14:textId="77777777" w:rsidR="004A6279" w:rsidRPr="00151C7A" w:rsidRDefault="004A6279" w:rsidP="006F4DEC">
            <w:pPr>
              <w:jc w:val="left"/>
              <w:rPr>
                <w:shd w:val="pct15" w:color="auto" w:fill="FFFFFF"/>
              </w:rPr>
            </w:pPr>
            <w:r w:rsidRPr="00151C7A">
              <w:rPr>
                <w:shd w:val="pct15" w:color="auto" w:fill="FFFFFF"/>
              </w:rPr>
              <w:t>[list mechanisms for verifying SEI implementation]</w:t>
            </w:r>
          </w:p>
        </w:tc>
      </w:tr>
      <w:tr w:rsidR="004A6279" w:rsidRPr="00151C7A" w14:paraId="7D19D9B3" w14:textId="77777777" w:rsidTr="006F4DEC">
        <w:trPr>
          <w:jc w:val="center"/>
        </w:trPr>
        <w:tc>
          <w:tcPr>
            <w:tcW w:w="1620" w:type="dxa"/>
            <w:tcMar>
              <w:top w:w="60" w:type="dxa"/>
              <w:left w:w="60" w:type="dxa"/>
              <w:bottom w:w="60" w:type="dxa"/>
              <w:right w:w="60" w:type="dxa"/>
            </w:tcMar>
          </w:tcPr>
          <w:p w14:paraId="47181E88" w14:textId="77777777" w:rsidR="004A6279" w:rsidRPr="00151C7A" w:rsidRDefault="004A6279" w:rsidP="006F4DEC">
            <w:pPr>
              <w:jc w:val="left"/>
              <w:rPr>
                <w:i/>
                <w:iCs/>
                <w:lang w:val="en-US"/>
              </w:rPr>
            </w:pPr>
            <w:r w:rsidRPr="00151C7A">
              <w:rPr>
                <w:i/>
                <w:iCs/>
              </w:rPr>
              <w:t>Example</w:t>
            </w:r>
            <w:r w:rsidRPr="00151C7A">
              <w:rPr>
                <w:i/>
                <w:iCs/>
                <w:lang w:val="en-US"/>
              </w:rPr>
              <w:t>,</w:t>
            </w:r>
            <w:r w:rsidRPr="00151C7A">
              <w:rPr>
                <w:lang w:val="en-US"/>
              </w:rPr>
              <w:t xml:space="preserve"> </w:t>
            </w:r>
            <w:r w:rsidRPr="00151C7A">
              <w:rPr>
                <w:i/>
                <w:iCs/>
                <w:lang w:val="en-US"/>
              </w:rPr>
              <w:t>ICAO ORG SEI-3 (State) — Establishment of an independent accident and incident investigation authority, consistent with Annex 13 — Aircraft Accident and Incident Investigation</w:t>
            </w:r>
          </w:p>
        </w:tc>
        <w:tc>
          <w:tcPr>
            <w:tcW w:w="1601" w:type="dxa"/>
            <w:tcMar>
              <w:top w:w="60" w:type="dxa"/>
              <w:left w:w="60" w:type="dxa"/>
              <w:bottom w:w="60" w:type="dxa"/>
              <w:right w:w="60" w:type="dxa"/>
            </w:tcMar>
            <w:hideMark/>
          </w:tcPr>
          <w:p w14:paraId="03583089" w14:textId="77777777" w:rsidR="004A6279" w:rsidRPr="00151C7A" w:rsidRDefault="004A6279" w:rsidP="006F4DEC">
            <w:pPr>
              <w:jc w:val="left"/>
              <w:rPr>
                <w:i/>
                <w:iCs/>
              </w:rPr>
            </w:pPr>
            <w:r w:rsidRPr="00151C7A">
              <w:rPr>
                <w:i/>
                <w:iCs/>
              </w:rPr>
              <w:t>Establish an effective system to attract, recruit, train and retain qualified and sufficient technical personnel to support accident and incident investigations</w:t>
            </w:r>
          </w:p>
        </w:tc>
        <w:tc>
          <w:tcPr>
            <w:tcW w:w="1216" w:type="dxa"/>
            <w:tcMar>
              <w:top w:w="60" w:type="dxa"/>
              <w:left w:w="60" w:type="dxa"/>
              <w:bottom w:w="60" w:type="dxa"/>
              <w:right w:w="60" w:type="dxa"/>
            </w:tcMar>
            <w:hideMark/>
          </w:tcPr>
          <w:p w14:paraId="694AA52D" w14:textId="77777777" w:rsidR="004A6279" w:rsidRPr="00151C7A" w:rsidRDefault="004A6279" w:rsidP="006F4DEC">
            <w:pPr>
              <w:jc w:val="left"/>
              <w:rPr>
                <w:i/>
                <w:iCs/>
              </w:rPr>
            </w:pPr>
            <w:r w:rsidRPr="00151C7A">
              <w:rPr>
                <w:i/>
                <w:iCs/>
              </w:rPr>
              <w:t>Q1 2023 to Q4 2025</w:t>
            </w:r>
          </w:p>
        </w:tc>
        <w:tc>
          <w:tcPr>
            <w:tcW w:w="1335" w:type="dxa"/>
            <w:tcMar>
              <w:top w:w="60" w:type="dxa"/>
              <w:left w:w="60" w:type="dxa"/>
              <w:bottom w:w="60" w:type="dxa"/>
              <w:right w:w="60" w:type="dxa"/>
            </w:tcMar>
          </w:tcPr>
          <w:p w14:paraId="6FAF8C08" w14:textId="77777777" w:rsidR="004A6279" w:rsidRPr="00151C7A" w:rsidRDefault="004A6279" w:rsidP="006F4DEC">
            <w:pPr>
              <w:jc w:val="left"/>
              <w:rPr>
                <w:i/>
                <w:iCs/>
              </w:rPr>
            </w:pPr>
            <w:r w:rsidRPr="00151C7A">
              <w:rPr>
                <w:i/>
                <w:iCs/>
              </w:rPr>
              <w:t>AIB</w:t>
            </w:r>
          </w:p>
        </w:tc>
        <w:tc>
          <w:tcPr>
            <w:tcW w:w="1721" w:type="dxa"/>
            <w:tcMar>
              <w:top w:w="60" w:type="dxa"/>
              <w:left w:w="60" w:type="dxa"/>
              <w:bottom w:w="60" w:type="dxa"/>
              <w:right w:w="60" w:type="dxa"/>
            </w:tcMar>
            <w:hideMark/>
          </w:tcPr>
          <w:p w14:paraId="3C9C0332"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AIB</w:t>
            </w:r>
          </w:p>
          <w:p w14:paraId="48336B68"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CAA</w:t>
            </w:r>
          </w:p>
          <w:p w14:paraId="77AC513D"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Aircraft manufacturers</w:t>
            </w:r>
          </w:p>
          <w:p w14:paraId="28B596E9"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RAIO</w:t>
            </w:r>
          </w:p>
        </w:tc>
        <w:tc>
          <w:tcPr>
            <w:tcW w:w="2499" w:type="dxa"/>
            <w:tcMar>
              <w:top w:w="60" w:type="dxa"/>
              <w:left w:w="60" w:type="dxa"/>
              <w:bottom w:w="60" w:type="dxa"/>
              <w:right w:w="60" w:type="dxa"/>
            </w:tcMar>
            <w:hideMark/>
          </w:tcPr>
          <w:p w14:paraId="596B24F6"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Recruitment system updated with new recruitment package</w:t>
            </w:r>
          </w:p>
          <w:p w14:paraId="7E75D3AB"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 of training sessions on accident and incident investigations</w:t>
            </w:r>
          </w:p>
          <w:p w14:paraId="09465351"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Number/percentage of personnel completing accident and incident investigator training</w:t>
            </w:r>
          </w:p>
          <w:p w14:paraId="69F6F834"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Number/percentage of investigators retained more than 12 months after recruitment</w:t>
            </w:r>
          </w:p>
        </w:tc>
        <w:tc>
          <w:tcPr>
            <w:tcW w:w="880" w:type="dxa"/>
            <w:tcMar>
              <w:top w:w="60" w:type="dxa"/>
              <w:left w:w="60" w:type="dxa"/>
              <w:bottom w:w="60" w:type="dxa"/>
              <w:right w:w="60" w:type="dxa"/>
            </w:tcMar>
            <w:hideMark/>
          </w:tcPr>
          <w:p w14:paraId="429CE26B" w14:textId="77777777" w:rsidR="004A6279" w:rsidRPr="00151C7A" w:rsidRDefault="004A6279" w:rsidP="006F4DEC">
            <w:pPr>
              <w:jc w:val="left"/>
              <w:rPr>
                <w:i/>
                <w:iCs/>
              </w:rPr>
            </w:pPr>
            <w:r w:rsidRPr="00151C7A">
              <w:rPr>
                <w:i/>
                <w:iCs/>
              </w:rPr>
              <w:t>High</w:t>
            </w:r>
          </w:p>
        </w:tc>
        <w:tc>
          <w:tcPr>
            <w:tcW w:w="1848" w:type="dxa"/>
            <w:tcMar>
              <w:top w:w="60" w:type="dxa"/>
              <w:left w:w="60" w:type="dxa"/>
              <w:bottom w:w="60" w:type="dxa"/>
              <w:right w:w="60" w:type="dxa"/>
            </w:tcMar>
            <w:hideMark/>
          </w:tcPr>
          <w:p w14:paraId="17A7028F" w14:textId="77777777" w:rsidR="004A6279" w:rsidRPr="00151C7A" w:rsidRDefault="004A6279" w:rsidP="006F4DEC">
            <w:pPr>
              <w:jc w:val="left"/>
              <w:rPr>
                <w:i/>
                <w:iCs/>
              </w:rPr>
            </w:pPr>
            <w:r w:rsidRPr="00151C7A">
              <w:rPr>
                <w:i/>
                <w:iCs/>
              </w:rPr>
              <w:t>USOAP/CMA results following next audit</w:t>
            </w:r>
          </w:p>
        </w:tc>
      </w:tr>
    </w:tbl>
    <w:p w14:paraId="63C1993E" w14:textId="77777777" w:rsidR="00CE35FA" w:rsidRPr="00F57856" w:rsidRDefault="00F57856" w:rsidP="00F57856">
      <w:pPr>
        <w:spacing w:before="240" w:after="120" w:line="360" w:lineRule="auto"/>
        <w:jc w:val="center"/>
        <w:rPr>
          <w:rFonts w:asciiTheme="minorBidi" w:hAnsiTheme="minorBidi"/>
          <w:b/>
          <w:bCs/>
        </w:rPr>
      </w:pPr>
      <w:r w:rsidRPr="00F57856">
        <w:rPr>
          <w:rFonts w:asciiTheme="minorBidi" w:hAnsiTheme="minorBidi"/>
          <w:b/>
          <w:bCs/>
        </w:rPr>
        <w:t>— END —</w:t>
      </w:r>
    </w:p>
    <w:sectPr w:rsidR="00CE35FA" w:rsidRPr="00F57856" w:rsidSect="00D0365A">
      <w:headerReference w:type="default" r:id="rId20"/>
      <w:footerReference w:type="default" r:id="rId21"/>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A9CD" w14:textId="77777777" w:rsidR="00D0365A" w:rsidRDefault="00D0365A" w:rsidP="00D66C2B">
      <w:pPr>
        <w:spacing w:line="240" w:lineRule="auto"/>
      </w:pPr>
      <w:r>
        <w:separator/>
      </w:r>
    </w:p>
    <w:p w14:paraId="364CDF7C" w14:textId="77777777" w:rsidR="00D0365A" w:rsidRDefault="00D0365A"/>
  </w:endnote>
  <w:endnote w:type="continuationSeparator" w:id="0">
    <w:p w14:paraId="64114174" w14:textId="77777777" w:rsidR="00D0365A" w:rsidRDefault="00D0365A" w:rsidP="00D66C2B">
      <w:pPr>
        <w:spacing w:line="240" w:lineRule="auto"/>
      </w:pPr>
      <w:r>
        <w:continuationSeparator/>
      </w:r>
    </w:p>
    <w:p w14:paraId="0508EFB0" w14:textId="77777777" w:rsidR="00D0365A" w:rsidRDefault="00D0365A"/>
  </w:endnote>
  <w:endnote w:type="continuationNotice" w:id="1">
    <w:p w14:paraId="21948DD2" w14:textId="77777777" w:rsidR="00D0365A" w:rsidRDefault="00D036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Times New Roman Italic">
    <w:panose1 w:val="0202050305040509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33930"/>
      <w:docPartObj>
        <w:docPartGallery w:val="Page Numbers (Bottom of Page)"/>
        <w:docPartUnique/>
      </w:docPartObj>
    </w:sdtPr>
    <w:sdtEndPr>
      <w:rPr>
        <w:noProof/>
      </w:rPr>
    </w:sdtEndPr>
    <w:sdtContent>
      <w:p w14:paraId="761761E3" w14:textId="77777777" w:rsidR="004A6279" w:rsidRDefault="004A6279">
        <w:pPr>
          <w:pStyle w:val="Footer"/>
          <w:jc w:val="right"/>
        </w:pPr>
        <w:r>
          <w:fldChar w:fldCharType="begin"/>
        </w:r>
        <w:r>
          <w:instrText xml:space="preserve"> PAGE   \* MERGEFORMAT </w:instrText>
        </w:r>
        <w:r>
          <w:fldChar w:fldCharType="separate"/>
        </w:r>
        <w:r w:rsidR="007C63DB">
          <w:rPr>
            <w:noProof/>
          </w:rPr>
          <w:t>2</w:t>
        </w:r>
        <w:r>
          <w:rPr>
            <w:noProof/>
          </w:rPr>
          <w:fldChar w:fldCharType="end"/>
        </w:r>
      </w:p>
    </w:sdtContent>
  </w:sdt>
  <w:p w14:paraId="7A133A9F" w14:textId="77777777" w:rsidR="004A6279" w:rsidRDefault="004A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54773"/>
      <w:docPartObj>
        <w:docPartGallery w:val="Page Numbers (Bottom of Page)"/>
        <w:docPartUnique/>
      </w:docPartObj>
    </w:sdtPr>
    <w:sdtEndPr>
      <w:rPr>
        <w:noProof/>
      </w:rPr>
    </w:sdtEndPr>
    <w:sdtContent>
      <w:p w14:paraId="3E2B595C" w14:textId="77777777" w:rsidR="004A6279" w:rsidRDefault="004A6279">
        <w:pPr>
          <w:pStyle w:val="Footer"/>
          <w:jc w:val="right"/>
        </w:pPr>
        <w:r>
          <w:fldChar w:fldCharType="begin"/>
        </w:r>
        <w:r>
          <w:instrText xml:space="preserve"> PAGE   \* MERGEFORMAT </w:instrText>
        </w:r>
        <w:r>
          <w:fldChar w:fldCharType="separate"/>
        </w:r>
        <w:r w:rsidR="007C63DB">
          <w:rPr>
            <w:noProof/>
          </w:rPr>
          <w:t>11</w:t>
        </w:r>
        <w:r>
          <w:rPr>
            <w:noProof/>
          </w:rPr>
          <w:fldChar w:fldCharType="end"/>
        </w:r>
      </w:p>
    </w:sdtContent>
  </w:sdt>
  <w:p w14:paraId="200FF2A5" w14:textId="77777777" w:rsidR="004A6279" w:rsidRDefault="004A6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278714"/>
      <w:docPartObj>
        <w:docPartGallery w:val="Page Numbers (Bottom of Page)"/>
        <w:docPartUnique/>
      </w:docPartObj>
    </w:sdtPr>
    <w:sdtEndPr>
      <w:rPr>
        <w:noProof/>
      </w:rPr>
    </w:sdtEndPr>
    <w:sdtContent>
      <w:p w14:paraId="5AA21BB9" w14:textId="77777777" w:rsidR="004A6279" w:rsidRDefault="004A6279">
        <w:pPr>
          <w:pStyle w:val="Footer"/>
          <w:jc w:val="right"/>
        </w:pPr>
        <w:r>
          <w:fldChar w:fldCharType="begin"/>
        </w:r>
        <w:r>
          <w:instrText xml:space="preserve"> PAGE   \* MERGEFORMAT </w:instrText>
        </w:r>
        <w:r>
          <w:fldChar w:fldCharType="separate"/>
        </w:r>
        <w:r w:rsidR="007C63DB">
          <w:rPr>
            <w:noProof/>
          </w:rPr>
          <w:t>1</w:t>
        </w:r>
        <w:r>
          <w:rPr>
            <w:noProof/>
          </w:rPr>
          <w:fldChar w:fldCharType="end"/>
        </w:r>
      </w:p>
    </w:sdtContent>
  </w:sdt>
  <w:p w14:paraId="180E6DBD" w14:textId="77777777" w:rsidR="004A6279" w:rsidRDefault="004A6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882175"/>
      <w:docPartObj>
        <w:docPartGallery w:val="Page Numbers (Bottom of Page)"/>
        <w:docPartUnique/>
      </w:docPartObj>
    </w:sdtPr>
    <w:sdtEndPr>
      <w:rPr>
        <w:noProof/>
      </w:rPr>
    </w:sdtEndPr>
    <w:sdtContent>
      <w:p w14:paraId="287CFA46" w14:textId="77777777" w:rsidR="004A6279" w:rsidRDefault="004A6279">
        <w:pPr>
          <w:pStyle w:val="Footer"/>
          <w:jc w:val="right"/>
        </w:pPr>
        <w:r>
          <w:fldChar w:fldCharType="begin"/>
        </w:r>
        <w:r>
          <w:instrText xml:space="preserve"> PAGE   \* MERGEFORMAT </w:instrText>
        </w:r>
        <w:r>
          <w:fldChar w:fldCharType="separate"/>
        </w:r>
        <w:r w:rsidR="007C63DB">
          <w:rPr>
            <w:noProof/>
          </w:rPr>
          <w:t>1</w:t>
        </w:r>
        <w:r>
          <w:rPr>
            <w:noProof/>
          </w:rPr>
          <w:fldChar w:fldCharType="end"/>
        </w:r>
      </w:p>
    </w:sdtContent>
  </w:sdt>
  <w:p w14:paraId="5D9A1DE1" w14:textId="77777777" w:rsidR="00ED0782" w:rsidRPr="004A6279" w:rsidRDefault="00ED0782" w:rsidP="004A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4850" w14:textId="77777777" w:rsidR="00D0365A" w:rsidRDefault="00D0365A" w:rsidP="00DD0012">
      <w:pPr>
        <w:spacing w:before="240"/>
      </w:pPr>
      <w:r>
        <w:separator/>
      </w:r>
    </w:p>
  </w:footnote>
  <w:footnote w:type="continuationSeparator" w:id="0">
    <w:p w14:paraId="6421E442" w14:textId="77777777" w:rsidR="00D0365A" w:rsidRDefault="00D0365A" w:rsidP="00D66C2B">
      <w:pPr>
        <w:spacing w:line="240" w:lineRule="auto"/>
      </w:pPr>
      <w:r>
        <w:continuationSeparator/>
      </w:r>
    </w:p>
    <w:p w14:paraId="033EA899" w14:textId="77777777" w:rsidR="00D0365A" w:rsidRDefault="00D0365A"/>
  </w:footnote>
  <w:footnote w:type="continuationNotice" w:id="1">
    <w:p w14:paraId="672915BC" w14:textId="77777777" w:rsidR="00D0365A" w:rsidRDefault="00D0365A">
      <w:pPr>
        <w:spacing w:line="240" w:lineRule="auto"/>
      </w:pPr>
    </w:p>
  </w:footnote>
  <w:footnote w:id="2">
    <w:p w14:paraId="3F240620" w14:textId="77777777" w:rsidR="004A6279" w:rsidRPr="000816A7" w:rsidRDefault="004A6279" w:rsidP="004A6279">
      <w:pPr>
        <w:pStyle w:val="Footnote"/>
        <w:rPr>
          <w:sz w:val="14"/>
          <w:szCs w:val="18"/>
          <w:lang w:val="en-US"/>
        </w:rPr>
      </w:pPr>
      <w:r w:rsidRPr="000816A7">
        <w:rPr>
          <w:sz w:val="14"/>
          <w:szCs w:val="18"/>
        </w:rPr>
        <w:footnoteRef/>
      </w:r>
      <w:r w:rsidRPr="000816A7">
        <w:rPr>
          <w:sz w:val="14"/>
          <w:szCs w:val="18"/>
        </w:rPr>
        <w:t>.</w:t>
      </w:r>
      <w:r w:rsidRPr="000816A7">
        <w:rPr>
          <w:sz w:val="14"/>
          <w:szCs w:val="18"/>
        </w:rPr>
        <w:tab/>
      </w:r>
      <w:r w:rsidRPr="000816A7">
        <w:rPr>
          <w:sz w:val="14"/>
          <w:szCs w:val="18"/>
          <w:lang w:val="en-US"/>
        </w:rPr>
        <w:t>Section 1.1. may also be presented as a stand-alone foreword.</w:t>
      </w:r>
    </w:p>
  </w:footnote>
  <w:footnote w:id="3">
    <w:p w14:paraId="640BC287" w14:textId="77777777" w:rsidR="004A6279" w:rsidRPr="000816A7" w:rsidRDefault="004A6279" w:rsidP="004A6279">
      <w:pPr>
        <w:pStyle w:val="Footnote"/>
        <w:rPr>
          <w:sz w:val="14"/>
          <w:szCs w:val="16"/>
          <w:lang w:val="en-US"/>
        </w:rPr>
      </w:pPr>
      <w:r w:rsidRPr="000816A7">
        <w:rPr>
          <w:sz w:val="14"/>
          <w:szCs w:val="18"/>
        </w:rPr>
        <w:footnoteRef/>
      </w:r>
      <w:r w:rsidRPr="000816A7">
        <w:rPr>
          <w:sz w:val="14"/>
          <w:szCs w:val="18"/>
        </w:rPr>
        <w:t>.</w:t>
      </w:r>
      <w:r w:rsidRPr="000816A7">
        <w:rPr>
          <w:sz w:val="14"/>
          <w:szCs w:val="18"/>
        </w:rPr>
        <w:tab/>
        <w:t>Eight audit areas pertaining to USOAP, i.e. primary aviation legislation and civil aviation regulations (LEG), civil aviation organization (ORG); personnel licensing and training (PEL); aircraft operations (OPS); airworthiness of aircraft (AIR); aircraft accident and incident investigation (AIG); air navigation services (ANS); and aerodromes and ground aids (AGA).</w:t>
      </w:r>
    </w:p>
  </w:footnote>
  <w:footnote w:id="4">
    <w:p w14:paraId="3232AB22" w14:textId="77777777" w:rsidR="004A6279" w:rsidRPr="000816A7" w:rsidRDefault="004A6279" w:rsidP="004A6279">
      <w:pPr>
        <w:pStyle w:val="Footnote"/>
        <w:rPr>
          <w:sz w:val="14"/>
          <w:szCs w:val="18"/>
          <w:lang w:val="en-US"/>
        </w:rPr>
      </w:pPr>
      <w:r w:rsidRPr="000816A7">
        <w:rPr>
          <w:sz w:val="14"/>
          <w:szCs w:val="18"/>
        </w:rPr>
        <w:footnoteRef/>
      </w:r>
      <w:r w:rsidRPr="000816A7">
        <w:rPr>
          <w:sz w:val="14"/>
          <w:szCs w:val="18"/>
        </w:rPr>
        <w:t>.</w:t>
      </w:r>
      <w:r w:rsidRPr="000816A7">
        <w:rPr>
          <w:sz w:val="14"/>
          <w:szCs w:val="18"/>
        </w:rPr>
        <w:tab/>
        <w:t>One organizational challenge may be associated with multiple goals and/or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EAAF" w14:textId="77777777" w:rsidR="004A6279" w:rsidRPr="001B4A0E" w:rsidRDefault="004A6279">
    <w:pPr>
      <w:pStyle w:val="Header"/>
      <w:rPr>
        <w:i w:val="0"/>
        <w:iCs/>
      </w:rPr>
    </w:pPr>
  </w:p>
  <w:p w14:paraId="3C4EEDB4" w14:textId="77777777" w:rsidR="004A6279" w:rsidRPr="001B4A0E" w:rsidRDefault="004A6279">
    <w:pPr>
      <w:pStyle w:val="Header"/>
      <w:rPr>
        <w:i w:val="0"/>
        <w:iCs/>
      </w:rPr>
    </w:pPr>
  </w:p>
  <w:p w14:paraId="3B01D9B9" w14:textId="77777777" w:rsidR="004A6279" w:rsidRPr="001B4A0E" w:rsidRDefault="004A6279">
    <w:pPr>
      <w:pStyle w:val="Header"/>
      <w:rPr>
        <w:i w:val="0"/>
        <w:iCs/>
      </w:rPr>
    </w:pPr>
  </w:p>
  <w:p w14:paraId="510A650C" w14:textId="77777777" w:rsidR="004A6279" w:rsidRPr="001B4A0E" w:rsidRDefault="004A6279">
    <w:pPr>
      <w:pStyle w:val="Header"/>
      <w:rPr>
        <w:i w:val="0"/>
        <w:iCs/>
      </w:rPr>
    </w:pPr>
  </w:p>
  <w:p w14:paraId="16D36B35" w14:textId="77777777" w:rsidR="004A6279" w:rsidRPr="001B4A0E" w:rsidRDefault="004A6279">
    <w:pPr>
      <w:pStyle w:val="Header"/>
      <w:rPr>
        <w:i w:val="0"/>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421"/>
      <w:gridCol w:w="8155"/>
    </w:tblGrid>
    <w:tr w:rsidR="00FD7631" w:rsidRPr="00B567F4" w14:paraId="6B23BDCD" w14:textId="77777777" w:rsidTr="008C790D">
      <w:trPr>
        <w:trHeight w:val="1543"/>
      </w:trPr>
      <w:tc>
        <w:tcPr>
          <w:tcW w:w="1421" w:type="dxa"/>
          <w:shd w:val="clear" w:color="auto" w:fill="FFFFFF"/>
        </w:tcPr>
        <w:p w14:paraId="6D5EEB3D" w14:textId="77777777" w:rsidR="00ED0782" w:rsidRPr="00B567F4" w:rsidRDefault="00816785" w:rsidP="008C790D">
          <w:pPr>
            <w:spacing w:line="240" w:lineRule="auto"/>
            <w:rPr>
              <w:rFonts w:ascii="Times New Roman" w:hAnsi="Times New Roman"/>
              <w:sz w:val="20"/>
              <w:lang w:val="en-CA"/>
            </w:rPr>
          </w:pPr>
          <w:r w:rsidRPr="00B567F4">
            <w:rPr>
              <w:rFonts w:ascii="Times New Roman" w:hAnsi="Times New Roman"/>
              <w:noProof/>
              <w:sz w:val="20"/>
              <w:lang w:val="en-CA"/>
            </w:rPr>
            <w:drawing>
              <wp:inline distT="0" distB="0" distL="0" distR="0" wp14:anchorId="64FD5333" wp14:editId="656DC2D0">
                <wp:extent cx="767080" cy="614680"/>
                <wp:effectExtent l="0" t="0" r="0" b="0"/>
                <wp:docPr id="7" name="Picture 7" descr="Description: 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a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614680"/>
                        </a:xfrm>
                        <a:prstGeom prst="rect">
                          <a:avLst/>
                        </a:prstGeom>
                        <a:noFill/>
                        <a:ln>
                          <a:noFill/>
                        </a:ln>
                      </pic:spPr>
                    </pic:pic>
                  </a:graphicData>
                </a:graphic>
              </wp:inline>
            </w:drawing>
          </w:r>
        </w:p>
      </w:tc>
      <w:tc>
        <w:tcPr>
          <w:tcW w:w="8155" w:type="dxa"/>
          <w:shd w:val="clear" w:color="auto" w:fill="FFFFFF"/>
          <w:tcMar>
            <w:right w:w="0" w:type="dxa"/>
          </w:tcMar>
        </w:tcPr>
        <w:p w14:paraId="6D73658A" w14:textId="77777777" w:rsidR="00ED0782" w:rsidRPr="00B567F4" w:rsidRDefault="00816785" w:rsidP="0047273F">
          <w:pPr>
            <w:spacing w:line="240" w:lineRule="auto"/>
            <w:rPr>
              <w:rFonts w:ascii="Times New Roman" w:hAnsi="Times New Roman"/>
              <w:sz w:val="20"/>
              <w:lang w:val="en-CA"/>
            </w:rPr>
          </w:pPr>
          <w:r w:rsidRPr="00B567F4">
            <w:rPr>
              <w:rFonts w:ascii="Times New Roman" w:hAnsi="Times New Roman"/>
              <w:noProof/>
              <w:lang w:val="en-CA"/>
            </w:rPr>
            <mc:AlternateContent>
              <mc:Choice Requires="wps">
                <w:drawing>
                  <wp:anchor distT="4294967295" distB="4294967295" distL="114300" distR="114300" simplePos="0" relativeHeight="251660289" behindDoc="0" locked="0" layoutInCell="1" allowOverlap="1" wp14:anchorId="3ED785FF" wp14:editId="6D3C58B5">
                    <wp:simplePos x="0" y="0"/>
                    <wp:positionH relativeFrom="column">
                      <wp:posOffset>12700</wp:posOffset>
                    </wp:positionH>
                    <wp:positionV relativeFrom="paragraph">
                      <wp:posOffset>342899</wp:posOffset>
                    </wp:positionV>
                    <wp:extent cx="2400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BC392" id="Straight Connector 4"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F0B4C00" w14:textId="77777777" w:rsidR="00ED0782" w:rsidRPr="00B567F4" w:rsidRDefault="00816785" w:rsidP="0047273F">
          <w:pPr>
            <w:spacing w:line="240" w:lineRule="auto"/>
            <w:rPr>
              <w:rFonts w:asciiTheme="minorBidi" w:hAnsiTheme="minorBidi"/>
              <w:b/>
              <w:bCs/>
              <w:sz w:val="20"/>
              <w:lang w:val="en-CA"/>
            </w:rPr>
          </w:pPr>
          <w:r w:rsidRPr="00B567F4">
            <w:rPr>
              <w:rFonts w:asciiTheme="minorBidi" w:hAnsiTheme="minorBidi"/>
              <w:b/>
              <w:bCs/>
              <w:sz w:val="20"/>
              <w:lang w:val="en-CA"/>
            </w:rPr>
            <w:t>International Civil Aviation Organization</w:t>
          </w:r>
        </w:p>
        <w:p w14:paraId="6F6F995A" w14:textId="77777777" w:rsidR="00ED0782" w:rsidRPr="00B567F4" w:rsidRDefault="00ED0782" w:rsidP="0047273F">
          <w:pPr>
            <w:spacing w:line="240" w:lineRule="auto"/>
            <w:rPr>
              <w:rFonts w:asciiTheme="minorBidi" w:hAnsiTheme="minorBidi"/>
              <w:sz w:val="20"/>
              <w:lang w:val="en-CA"/>
            </w:rPr>
          </w:pPr>
        </w:p>
        <w:p w14:paraId="275B0D8E" w14:textId="77777777" w:rsidR="00ED0782" w:rsidRPr="00B567F4" w:rsidRDefault="00816785" w:rsidP="0047273F">
          <w:pPr>
            <w:spacing w:line="240" w:lineRule="auto"/>
            <w:rPr>
              <w:rFonts w:ascii="Times New Roman" w:hAnsi="Times New Roman"/>
              <w:b/>
              <w:sz w:val="20"/>
              <w:lang w:val="en-CA"/>
            </w:rPr>
          </w:pPr>
          <w:r w:rsidRPr="00B567F4">
            <w:rPr>
              <w:rFonts w:asciiTheme="minorBidi" w:hAnsiTheme="minorBidi"/>
              <w:b/>
              <w:sz w:val="20"/>
              <w:lang w:val="en-CA"/>
            </w:rPr>
            <w:t>ICAO Global Aviation Safety Plan</w:t>
          </w:r>
        </w:p>
      </w:tc>
    </w:tr>
  </w:tbl>
  <w:p w14:paraId="55354AAC" w14:textId="77777777" w:rsidR="00ED0782" w:rsidRDefault="00ED0782" w:rsidP="008C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62C"/>
    <w:multiLevelType w:val="hybridMultilevel"/>
    <w:tmpl w:val="85B608B0"/>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8055D90"/>
    <w:multiLevelType w:val="hybridMultilevel"/>
    <w:tmpl w:val="4C8CF108"/>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A2F5F41"/>
    <w:multiLevelType w:val="hybridMultilevel"/>
    <w:tmpl w:val="0E1834D0"/>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BF446A8"/>
    <w:multiLevelType w:val="hybridMultilevel"/>
    <w:tmpl w:val="C71AB674"/>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C320E5A"/>
    <w:multiLevelType w:val="hybridMultilevel"/>
    <w:tmpl w:val="7ECCD44E"/>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0CFC5073"/>
    <w:multiLevelType w:val="hybridMultilevel"/>
    <w:tmpl w:val="38267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A60B2"/>
    <w:multiLevelType w:val="hybridMultilevel"/>
    <w:tmpl w:val="A9F4A3D8"/>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0E55178D"/>
    <w:multiLevelType w:val="hybridMultilevel"/>
    <w:tmpl w:val="69D44A3E"/>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2057635"/>
    <w:multiLevelType w:val="hybridMultilevel"/>
    <w:tmpl w:val="4F2A8D8C"/>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14302BAD"/>
    <w:multiLevelType w:val="hybridMultilevel"/>
    <w:tmpl w:val="A8DC7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231B94"/>
    <w:multiLevelType w:val="hybridMultilevel"/>
    <w:tmpl w:val="8146D6C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18884C16"/>
    <w:multiLevelType w:val="hybridMultilevel"/>
    <w:tmpl w:val="4B00D648"/>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1B6F312E"/>
    <w:multiLevelType w:val="hybridMultilevel"/>
    <w:tmpl w:val="FDD09998"/>
    <w:lvl w:ilvl="0" w:tplc="A95EE9AC">
      <w:start w:val="1"/>
      <w:numFmt w:val="lowerLetter"/>
      <w:lvlText w:val="%1)"/>
      <w:lvlJc w:val="left"/>
      <w:pPr>
        <w:ind w:left="720" w:hanging="360"/>
      </w:pPr>
      <w:rPr>
        <w:sz w:val="18"/>
        <w:szCs w:val="1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7028FE"/>
    <w:multiLevelType w:val="hybridMultilevel"/>
    <w:tmpl w:val="B75016C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20297A06"/>
    <w:multiLevelType w:val="hybridMultilevel"/>
    <w:tmpl w:val="17CA154A"/>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1514861"/>
    <w:multiLevelType w:val="hybridMultilevel"/>
    <w:tmpl w:val="0CF0C55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256547C8"/>
    <w:multiLevelType w:val="hybridMultilevel"/>
    <w:tmpl w:val="3190ED5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287E33D9"/>
    <w:multiLevelType w:val="hybridMultilevel"/>
    <w:tmpl w:val="7F681C1C"/>
    <w:lvl w:ilvl="0" w:tplc="A95EE9AC">
      <w:start w:val="1"/>
      <w:numFmt w:val="lowerLetter"/>
      <w:lvlText w:val="%1)"/>
      <w:lvlJc w:val="left"/>
      <w:pPr>
        <w:ind w:left="720" w:hanging="360"/>
      </w:pPr>
      <w:rPr>
        <w:sz w:val="18"/>
        <w:szCs w:val="1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2A33D9"/>
    <w:multiLevelType w:val="hybridMultilevel"/>
    <w:tmpl w:val="9FDC4110"/>
    <w:lvl w:ilvl="0" w:tplc="08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38B54366"/>
    <w:multiLevelType w:val="hybridMultilevel"/>
    <w:tmpl w:val="9AAA0E22"/>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024696C"/>
    <w:multiLevelType w:val="hybridMultilevel"/>
    <w:tmpl w:val="47B8BA60"/>
    <w:lvl w:ilvl="0" w:tplc="08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42E33544"/>
    <w:multiLevelType w:val="hybridMultilevel"/>
    <w:tmpl w:val="56101F5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49AF06AA"/>
    <w:multiLevelType w:val="hybridMultilevel"/>
    <w:tmpl w:val="B7F27208"/>
    <w:lvl w:ilvl="0" w:tplc="A95EE9AC">
      <w:start w:val="1"/>
      <w:numFmt w:val="lowerLetter"/>
      <w:lvlText w:val="%1)"/>
      <w:lvlJc w:val="left"/>
      <w:pPr>
        <w:ind w:left="720" w:hanging="360"/>
      </w:pPr>
      <w:rPr>
        <w:sz w:val="18"/>
        <w:szCs w:val="1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AC10455"/>
    <w:multiLevelType w:val="hybridMultilevel"/>
    <w:tmpl w:val="F3C6B3B0"/>
    <w:lvl w:ilvl="0" w:tplc="08090017">
      <w:start w:val="1"/>
      <w:numFmt w:val="lowerLetter"/>
      <w:lvlText w:val="%1)"/>
      <w:lvlJc w:val="left"/>
      <w:pPr>
        <w:ind w:left="1440" w:hanging="360"/>
      </w:pPr>
    </w:lvl>
    <w:lvl w:ilvl="1" w:tplc="08090011">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B787E30"/>
    <w:multiLevelType w:val="hybridMultilevel"/>
    <w:tmpl w:val="BAAE3C56"/>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4CAB774E"/>
    <w:multiLevelType w:val="hybridMultilevel"/>
    <w:tmpl w:val="67AEDCFE"/>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4ED61FD9"/>
    <w:multiLevelType w:val="hybridMultilevel"/>
    <w:tmpl w:val="D8E66730"/>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4F2338E7"/>
    <w:multiLevelType w:val="hybridMultilevel"/>
    <w:tmpl w:val="2E443844"/>
    <w:lvl w:ilvl="0" w:tplc="2A64894C">
      <w:start w:val="1"/>
      <w:numFmt w:val="lowerLetter"/>
      <w:lvlText w:val="%1)"/>
      <w:lvlJc w:val="left"/>
      <w:pPr>
        <w:ind w:left="927" w:hanging="360"/>
      </w:pPr>
      <w:rPr>
        <w:rFonts w:hint="default"/>
      </w:rPr>
    </w:lvl>
    <w:lvl w:ilvl="1" w:tplc="08090011">
      <w:start w:val="1"/>
      <w:numFmt w:val="decimal"/>
      <w:lvlText w:val="%2)"/>
      <w:lvlJc w:val="left"/>
      <w:pPr>
        <w:ind w:left="1647" w:hanging="360"/>
      </w:pPr>
    </w:lvl>
    <w:lvl w:ilvl="2" w:tplc="2A64894C">
      <w:start w:val="1"/>
      <w:numFmt w:val="lowerLetter"/>
      <w:lvlText w:val="%3)"/>
      <w:lvlJc w:val="left"/>
      <w:pPr>
        <w:ind w:left="2547" w:hanging="360"/>
      </w:pPr>
      <w:rPr>
        <w:rFonts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F7803DC"/>
    <w:multiLevelType w:val="hybridMultilevel"/>
    <w:tmpl w:val="56CEA2BE"/>
    <w:lvl w:ilvl="0" w:tplc="A95EE9AC">
      <w:start w:val="1"/>
      <w:numFmt w:val="lowerLetter"/>
      <w:lvlText w:val="%1)"/>
      <w:lvlJc w:val="left"/>
      <w:pPr>
        <w:ind w:left="720" w:hanging="360"/>
      </w:pPr>
      <w:rPr>
        <w:sz w:val="18"/>
        <w:szCs w:val="1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0CF4A2D"/>
    <w:multiLevelType w:val="multilevel"/>
    <w:tmpl w:val="211202D4"/>
    <w:styleLink w:val="ICAOdocdraft"/>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lowerRoman"/>
      <w:suff w:val="space"/>
      <w:lvlText w:val="%6."/>
      <w:lvlJc w:val="left"/>
      <w:pPr>
        <w:ind w:left="1872" w:firstLine="680"/>
      </w:pPr>
      <w:rPr>
        <w:rFonts w:hint="default"/>
      </w:rPr>
    </w:lvl>
    <w:lvl w:ilvl="6">
      <w:start w:val="1"/>
      <w:numFmt w:val="upperLetter"/>
      <w:lvlText w:val="Appendix %7"/>
      <w:lvlJc w:val="left"/>
      <w:pPr>
        <w:ind w:left="0" w:firstLine="0"/>
      </w:pPr>
      <w:rPr>
        <w:rFonts w:hint="default"/>
      </w:rPr>
    </w:lvl>
    <w:lvl w:ilvl="7">
      <w:start w:val="1"/>
      <w:numFmt w:val="decimal"/>
      <w:lvlText w:val="%7.%8"/>
      <w:lvlJc w:val="left"/>
      <w:pPr>
        <w:tabs>
          <w:tab w:val="num" w:pos="227"/>
        </w:tabs>
        <w:ind w:left="0" w:firstLine="0"/>
      </w:pPr>
      <w:rPr>
        <w:rFonts w:hint="default"/>
      </w:rPr>
    </w:lvl>
    <w:lvl w:ilvl="8">
      <w:start w:val="1"/>
      <w:numFmt w:val="none"/>
      <w:lvlText w:val="Note. –"/>
      <w:lvlJc w:val="left"/>
      <w:pPr>
        <w:ind w:left="3289" w:firstLine="680"/>
      </w:pPr>
      <w:rPr>
        <w:rFonts w:hint="default"/>
      </w:rPr>
    </w:lvl>
  </w:abstractNum>
  <w:abstractNum w:abstractNumId="30" w15:restartNumberingAfterBreak="0">
    <w:nsid w:val="55C820D4"/>
    <w:multiLevelType w:val="hybridMultilevel"/>
    <w:tmpl w:val="3708819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57AC1D03"/>
    <w:multiLevelType w:val="hybridMultilevel"/>
    <w:tmpl w:val="B8C4EB26"/>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585E5D3C"/>
    <w:multiLevelType w:val="hybridMultilevel"/>
    <w:tmpl w:val="14B49E36"/>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5EDB2FF2"/>
    <w:multiLevelType w:val="hybridMultilevel"/>
    <w:tmpl w:val="3C0047A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15:restartNumberingAfterBreak="0">
    <w:nsid w:val="66E10CE3"/>
    <w:multiLevelType w:val="hybridMultilevel"/>
    <w:tmpl w:val="EF843E68"/>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80961E7"/>
    <w:multiLevelType w:val="hybridMultilevel"/>
    <w:tmpl w:val="4F58453C"/>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AF63C39"/>
    <w:multiLevelType w:val="hybridMultilevel"/>
    <w:tmpl w:val="4F6C43F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6DF777FC"/>
    <w:multiLevelType w:val="hybridMultilevel"/>
    <w:tmpl w:val="06C054E4"/>
    <w:lvl w:ilvl="0" w:tplc="2E1E8C98">
      <w:start w:val="1"/>
      <w:numFmt w:val="lowerLetter"/>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09E3522"/>
    <w:multiLevelType w:val="hybridMultilevel"/>
    <w:tmpl w:val="0E5633A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15:restartNumberingAfterBreak="0">
    <w:nsid w:val="739F7C6B"/>
    <w:multiLevelType w:val="hybridMultilevel"/>
    <w:tmpl w:val="41EA38C6"/>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7440042F"/>
    <w:multiLevelType w:val="hybridMultilevel"/>
    <w:tmpl w:val="5C1AE1BA"/>
    <w:lvl w:ilvl="0" w:tplc="08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76422329"/>
    <w:multiLevelType w:val="hybridMultilevel"/>
    <w:tmpl w:val="1A94EFC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76C545AD"/>
    <w:multiLevelType w:val="hybridMultilevel"/>
    <w:tmpl w:val="79645628"/>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784655C"/>
    <w:multiLevelType w:val="hybridMultilevel"/>
    <w:tmpl w:val="98044338"/>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4" w15:restartNumberingAfterBreak="0">
    <w:nsid w:val="7AB967AD"/>
    <w:multiLevelType w:val="hybridMultilevel"/>
    <w:tmpl w:val="62EA1540"/>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7C1B6BA8"/>
    <w:multiLevelType w:val="hybridMultilevel"/>
    <w:tmpl w:val="D49873C4"/>
    <w:lvl w:ilvl="0" w:tplc="08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7ED32723"/>
    <w:multiLevelType w:val="hybridMultilevel"/>
    <w:tmpl w:val="D520A9F6"/>
    <w:lvl w:ilvl="0" w:tplc="9BA8271C">
      <w:start w:val="1"/>
      <w:numFmt w:val="lowerLetter"/>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3166836">
    <w:abstractNumId w:val="18"/>
  </w:num>
  <w:num w:numId="2" w16cid:durableId="1911579170">
    <w:abstractNumId w:val="20"/>
  </w:num>
  <w:num w:numId="3" w16cid:durableId="1444349753">
    <w:abstractNumId w:val="40"/>
  </w:num>
  <w:num w:numId="4" w16cid:durableId="441652157">
    <w:abstractNumId w:val="45"/>
  </w:num>
  <w:num w:numId="5" w16cid:durableId="1078793243">
    <w:abstractNumId w:val="29"/>
  </w:num>
  <w:num w:numId="6" w16cid:durableId="1531605676">
    <w:abstractNumId w:val="22"/>
  </w:num>
  <w:num w:numId="7" w16cid:durableId="1216939110">
    <w:abstractNumId w:val="27"/>
  </w:num>
  <w:num w:numId="8" w16cid:durableId="548879905">
    <w:abstractNumId w:val="3"/>
  </w:num>
  <w:num w:numId="9" w16cid:durableId="2035181117">
    <w:abstractNumId w:val="41"/>
  </w:num>
  <w:num w:numId="10" w16cid:durableId="1730494964">
    <w:abstractNumId w:val="35"/>
  </w:num>
  <w:num w:numId="11" w16cid:durableId="1640382221">
    <w:abstractNumId w:val="19"/>
  </w:num>
  <w:num w:numId="12" w16cid:durableId="659313999">
    <w:abstractNumId w:val="10"/>
  </w:num>
  <w:num w:numId="13" w16cid:durableId="1316648311">
    <w:abstractNumId w:val="4"/>
  </w:num>
  <w:num w:numId="14" w16cid:durableId="504169626">
    <w:abstractNumId w:val="31"/>
  </w:num>
  <w:num w:numId="15" w16cid:durableId="1229538635">
    <w:abstractNumId w:val="43"/>
  </w:num>
  <w:num w:numId="16" w16cid:durableId="1873683910">
    <w:abstractNumId w:val="33"/>
  </w:num>
  <w:num w:numId="17" w16cid:durableId="668214673">
    <w:abstractNumId w:val="16"/>
  </w:num>
  <w:num w:numId="18" w16cid:durableId="1802962240">
    <w:abstractNumId w:val="0"/>
  </w:num>
  <w:num w:numId="19" w16cid:durableId="97529683">
    <w:abstractNumId w:val="13"/>
  </w:num>
  <w:num w:numId="20" w16cid:durableId="1408653801">
    <w:abstractNumId w:val="24"/>
  </w:num>
  <w:num w:numId="21" w16cid:durableId="873922845">
    <w:abstractNumId w:val="28"/>
  </w:num>
  <w:num w:numId="22" w16cid:durableId="36317912">
    <w:abstractNumId w:val="25"/>
  </w:num>
  <w:num w:numId="23" w16cid:durableId="1132675365">
    <w:abstractNumId w:val="21"/>
  </w:num>
  <w:num w:numId="24" w16cid:durableId="2090685523">
    <w:abstractNumId w:val="17"/>
  </w:num>
  <w:num w:numId="25" w16cid:durableId="1612663587">
    <w:abstractNumId w:val="23"/>
  </w:num>
  <w:num w:numId="26" w16cid:durableId="2135756126">
    <w:abstractNumId w:val="7"/>
  </w:num>
  <w:num w:numId="27" w16cid:durableId="1318608999">
    <w:abstractNumId w:val="6"/>
  </w:num>
  <w:num w:numId="28" w16cid:durableId="1105809459">
    <w:abstractNumId w:val="2"/>
  </w:num>
  <w:num w:numId="29" w16cid:durableId="1708604798">
    <w:abstractNumId w:val="38"/>
  </w:num>
  <w:num w:numId="30" w16cid:durableId="1940024031">
    <w:abstractNumId w:val="32"/>
  </w:num>
  <w:num w:numId="31" w16cid:durableId="1362515887">
    <w:abstractNumId w:val="44"/>
  </w:num>
  <w:num w:numId="32" w16cid:durableId="1059135693">
    <w:abstractNumId w:val="39"/>
  </w:num>
  <w:num w:numId="33" w16cid:durableId="1683123250">
    <w:abstractNumId w:val="36"/>
  </w:num>
  <w:num w:numId="34" w16cid:durableId="301345633">
    <w:abstractNumId w:val="1"/>
  </w:num>
  <w:num w:numId="35" w16cid:durableId="68626627">
    <w:abstractNumId w:val="26"/>
  </w:num>
  <w:num w:numId="36" w16cid:durableId="141311987">
    <w:abstractNumId w:val="42"/>
  </w:num>
  <w:num w:numId="37" w16cid:durableId="1077557295">
    <w:abstractNumId w:val="15"/>
  </w:num>
  <w:num w:numId="38" w16cid:durableId="2130053435">
    <w:abstractNumId w:val="11"/>
  </w:num>
  <w:num w:numId="39" w16cid:durableId="297226503">
    <w:abstractNumId w:val="34"/>
  </w:num>
  <w:num w:numId="40" w16cid:durableId="1269509751">
    <w:abstractNumId w:val="30"/>
  </w:num>
  <w:num w:numId="41" w16cid:durableId="1780638406">
    <w:abstractNumId w:val="8"/>
  </w:num>
  <w:num w:numId="42" w16cid:durableId="1368607663">
    <w:abstractNumId w:val="14"/>
  </w:num>
  <w:num w:numId="43" w16cid:durableId="259073205">
    <w:abstractNumId w:val="46"/>
  </w:num>
  <w:num w:numId="44" w16cid:durableId="635987177">
    <w:abstractNumId w:val="12"/>
  </w:num>
  <w:num w:numId="45" w16cid:durableId="1417826830">
    <w:abstractNumId w:val="37"/>
  </w:num>
  <w:num w:numId="46" w16cid:durableId="881943844">
    <w:abstractNumId w:val="5"/>
  </w:num>
  <w:num w:numId="47" w16cid:durableId="208303339">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Formatting/>
  <w:defaultTabStop w:val="720"/>
  <w:evenAndOddHeaders/>
  <w:drawingGridHorizontalSpacing w:val="9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7B"/>
    <w:rsid w:val="00000A0E"/>
    <w:rsid w:val="000031D8"/>
    <w:rsid w:val="000047BB"/>
    <w:rsid w:val="00007A6F"/>
    <w:rsid w:val="00007BC8"/>
    <w:rsid w:val="00007CCD"/>
    <w:rsid w:val="0001297F"/>
    <w:rsid w:val="000131FE"/>
    <w:rsid w:val="00013C0D"/>
    <w:rsid w:val="000154DD"/>
    <w:rsid w:val="00016FB9"/>
    <w:rsid w:val="0001712B"/>
    <w:rsid w:val="00021936"/>
    <w:rsid w:val="00021E04"/>
    <w:rsid w:val="00021F47"/>
    <w:rsid w:val="000221A1"/>
    <w:rsid w:val="00022944"/>
    <w:rsid w:val="000245CC"/>
    <w:rsid w:val="000251FC"/>
    <w:rsid w:val="00030204"/>
    <w:rsid w:val="00031C05"/>
    <w:rsid w:val="00032E2D"/>
    <w:rsid w:val="0003316A"/>
    <w:rsid w:val="00033F45"/>
    <w:rsid w:val="00034673"/>
    <w:rsid w:val="00042211"/>
    <w:rsid w:val="00043DD5"/>
    <w:rsid w:val="00044F0C"/>
    <w:rsid w:val="00047C5D"/>
    <w:rsid w:val="00047F7D"/>
    <w:rsid w:val="000502C0"/>
    <w:rsid w:val="00050B7B"/>
    <w:rsid w:val="00052C2F"/>
    <w:rsid w:val="0005316B"/>
    <w:rsid w:val="00053BE8"/>
    <w:rsid w:val="00053F9B"/>
    <w:rsid w:val="00054325"/>
    <w:rsid w:val="0005506E"/>
    <w:rsid w:val="00056A0F"/>
    <w:rsid w:val="00057FAF"/>
    <w:rsid w:val="000631CB"/>
    <w:rsid w:val="000651B4"/>
    <w:rsid w:val="000652C1"/>
    <w:rsid w:val="0006579C"/>
    <w:rsid w:val="00065BB6"/>
    <w:rsid w:val="0006679D"/>
    <w:rsid w:val="00067556"/>
    <w:rsid w:val="00067EC7"/>
    <w:rsid w:val="00071D08"/>
    <w:rsid w:val="00073708"/>
    <w:rsid w:val="00074B69"/>
    <w:rsid w:val="0007662F"/>
    <w:rsid w:val="000801B6"/>
    <w:rsid w:val="0008239A"/>
    <w:rsid w:val="00084F4F"/>
    <w:rsid w:val="0008515A"/>
    <w:rsid w:val="0008691A"/>
    <w:rsid w:val="000869A8"/>
    <w:rsid w:val="00086C54"/>
    <w:rsid w:val="00087FC7"/>
    <w:rsid w:val="00091219"/>
    <w:rsid w:val="00092FF1"/>
    <w:rsid w:val="000931A8"/>
    <w:rsid w:val="000934FE"/>
    <w:rsid w:val="000935A2"/>
    <w:rsid w:val="000A47EF"/>
    <w:rsid w:val="000A54E3"/>
    <w:rsid w:val="000A55C2"/>
    <w:rsid w:val="000A608C"/>
    <w:rsid w:val="000A7256"/>
    <w:rsid w:val="000A7272"/>
    <w:rsid w:val="000A7791"/>
    <w:rsid w:val="000A7ACB"/>
    <w:rsid w:val="000B0B8A"/>
    <w:rsid w:val="000B12DB"/>
    <w:rsid w:val="000B1D6E"/>
    <w:rsid w:val="000B1FD9"/>
    <w:rsid w:val="000B2B03"/>
    <w:rsid w:val="000B49AD"/>
    <w:rsid w:val="000B58ED"/>
    <w:rsid w:val="000B7269"/>
    <w:rsid w:val="000C2255"/>
    <w:rsid w:val="000C28E8"/>
    <w:rsid w:val="000C2BAA"/>
    <w:rsid w:val="000C2C60"/>
    <w:rsid w:val="000C2D6E"/>
    <w:rsid w:val="000C4682"/>
    <w:rsid w:val="000C4C50"/>
    <w:rsid w:val="000C504A"/>
    <w:rsid w:val="000C7879"/>
    <w:rsid w:val="000C7DCF"/>
    <w:rsid w:val="000D00CC"/>
    <w:rsid w:val="000D083F"/>
    <w:rsid w:val="000D0CD0"/>
    <w:rsid w:val="000D0DE7"/>
    <w:rsid w:val="000D1F90"/>
    <w:rsid w:val="000D2488"/>
    <w:rsid w:val="000D2FA1"/>
    <w:rsid w:val="000D358A"/>
    <w:rsid w:val="000D3C17"/>
    <w:rsid w:val="000D72BF"/>
    <w:rsid w:val="000D73BE"/>
    <w:rsid w:val="000E09AC"/>
    <w:rsid w:val="000E2D6A"/>
    <w:rsid w:val="000E529D"/>
    <w:rsid w:val="000E53E3"/>
    <w:rsid w:val="000F1389"/>
    <w:rsid w:val="000F17EF"/>
    <w:rsid w:val="000F1B20"/>
    <w:rsid w:val="000F26DE"/>
    <w:rsid w:val="000F4D31"/>
    <w:rsid w:val="000F5126"/>
    <w:rsid w:val="000F5260"/>
    <w:rsid w:val="000F776A"/>
    <w:rsid w:val="00102DEC"/>
    <w:rsid w:val="001047D0"/>
    <w:rsid w:val="00104C83"/>
    <w:rsid w:val="00105314"/>
    <w:rsid w:val="00105C0A"/>
    <w:rsid w:val="0010689B"/>
    <w:rsid w:val="00112267"/>
    <w:rsid w:val="00112C71"/>
    <w:rsid w:val="00112F3B"/>
    <w:rsid w:val="00115DAD"/>
    <w:rsid w:val="0011635A"/>
    <w:rsid w:val="00117626"/>
    <w:rsid w:val="00117F18"/>
    <w:rsid w:val="001224F0"/>
    <w:rsid w:val="001235BD"/>
    <w:rsid w:val="00123A88"/>
    <w:rsid w:val="00123F1A"/>
    <w:rsid w:val="00124831"/>
    <w:rsid w:val="00125725"/>
    <w:rsid w:val="00125C6C"/>
    <w:rsid w:val="001262E2"/>
    <w:rsid w:val="00126B94"/>
    <w:rsid w:val="00126DFB"/>
    <w:rsid w:val="0013098C"/>
    <w:rsid w:val="0013332E"/>
    <w:rsid w:val="00136A75"/>
    <w:rsid w:val="00137E8A"/>
    <w:rsid w:val="00137EFB"/>
    <w:rsid w:val="00141D84"/>
    <w:rsid w:val="00142CDA"/>
    <w:rsid w:val="0014371C"/>
    <w:rsid w:val="00143EAB"/>
    <w:rsid w:val="001440AB"/>
    <w:rsid w:val="00144C48"/>
    <w:rsid w:val="0014669F"/>
    <w:rsid w:val="00146AD2"/>
    <w:rsid w:val="00146D38"/>
    <w:rsid w:val="001476CF"/>
    <w:rsid w:val="00147FE2"/>
    <w:rsid w:val="0015104A"/>
    <w:rsid w:val="001513F4"/>
    <w:rsid w:val="00151832"/>
    <w:rsid w:val="00151919"/>
    <w:rsid w:val="0015225C"/>
    <w:rsid w:val="00152967"/>
    <w:rsid w:val="00152B04"/>
    <w:rsid w:val="00152CC5"/>
    <w:rsid w:val="00152D06"/>
    <w:rsid w:val="00154488"/>
    <w:rsid w:val="00155B03"/>
    <w:rsid w:val="001570C6"/>
    <w:rsid w:val="00160CB9"/>
    <w:rsid w:val="00161127"/>
    <w:rsid w:val="001629A4"/>
    <w:rsid w:val="00163BE1"/>
    <w:rsid w:val="00164B1A"/>
    <w:rsid w:val="0016770E"/>
    <w:rsid w:val="0017079C"/>
    <w:rsid w:val="001715F9"/>
    <w:rsid w:val="001720D9"/>
    <w:rsid w:val="0017300E"/>
    <w:rsid w:val="00173628"/>
    <w:rsid w:val="001737E1"/>
    <w:rsid w:val="00174C6B"/>
    <w:rsid w:val="0017525F"/>
    <w:rsid w:val="00175616"/>
    <w:rsid w:val="001764D8"/>
    <w:rsid w:val="0017670A"/>
    <w:rsid w:val="00177606"/>
    <w:rsid w:val="001802B2"/>
    <w:rsid w:val="001806B3"/>
    <w:rsid w:val="00181F0B"/>
    <w:rsid w:val="0018377F"/>
    <w:rsid w:val="00184186"/>
    <w:rsid w:val="00184568"/>
    <w:rsid w:val="00184DA2"/>
    <w:rsid w:val="0018660A"/>
    <w:rsid w:val="00187139"/>
    <w:rsid w:val="00187858"/>
    <w:rsid w:val="00187B8A"/>
    <w:rsid w:val="00192186"/>
    <w:rsid w:val="00192F5C"/>
    <w:rsid w:val="00194580"/>
    <w:rsid w:val="001952E9"/>
    <w:rsid w:val="00195DE7"/>
    <w:rsid w:val="001960FC"/>
    <w:rsid w:val="0019695F"/>
    <w:rsid w:val="0019710F"/>
    <w:rsid w:val="001973A1"/>
    <w:rsid w:val="001A0638"/>
    <w:rsid w:val="001A1BE4"/>
    <w:rsid w:val="001A2B80"/>
    <w:rsid w:val="001A4525"/>
    <w:rsid w:val="001A7707"/>
    <w:rsid w:val="001B03EE"/>
    <w:rsid w:val="001B2818"/>
    <w:rsid w:val="001B4A0E"/>
    <w:rsid w:val="001B4AA6"/>
    <w:rsid w:val="001B4CBD"/>
    <w:rsid w:val="001B52F8"/>
    <w:rsid w:val="001B6F1B"/>
    <w:rsid w:val="001C14AF"/>
    <w:rsid w:val="001C26FE"/>
    <w:rsid w:val="001C282A"/>
    <w:rsid w:val="001C2F3C"/>
    <w:rsid w:val="001C3192"/>
    <w:rsid w:val="001C34C4"/>
    <w:rsid w:val="001C4EC1"/>
    <w:rsid w:val="001C5360"/>
    <w:rsid w:val="001C5F32"/>
    <w:rsid w:val="001C7E52"/>
    <w:rsid w:val="001D04CF"/>
    <w:rsid w:val="001D1779"/>
    <w:rsid w:val="001D1DF5"/>
    <w:rsid w:val="001D205D"/>
    <w:rsid w:val="001D2C46"/>
    <w:rsid w:val="001D4EB6"/>
    <w:rsid w:val="001D525F"/>
    <w:rsid w:val="001D5603"/>
    <w:rsid w:val="001D5812"/>
    <w:rsid w:val="001D5D5A"/>
    <w:rsid w:val="001E0D8C"/>
    <w:rsid w:val="001E2EAF"/>
    <w:rsid w:val="001E3511"/>
    <w:rsid w:val="001E5774"/>
    <w:rsid w:val="001E6615"/>
    <w:rsid w:val="001E6F1C"/>
    <w:rsid w:val="001E72FE"/>
    <w:rsid w:val="001E7DD9"/>
    <w:rsid w:val="001E7ECB"/>
    <w:rsid w:val="001F04ED"/>
    <w:rsid w:val="001F06B7"/>
    <w:rsid w:val="001F2BFA"/>
    <w:rsid w:val="001F413C"/>
    <w:rsid w:val="001F6D52"/>
    <w:rsid w:val="0020075F"/>
    <w:rsid w:val="00202961"/>
    <w:rsid w:val="00203F2C"/>
    <w:rsid w:val="00204F12"/>
    <w:rsid w:val="00205369"/>
    <w:rsid w:val="00205870"/>
    <w:rsid w:val="0020793E"/>
    <w:rsid w:val="00207D05"/>
    <w:rsid w:val="0021185C"/>
    <w:rsid w:val="00211A2C"/>
    <w:rsid w:val="00215CDB"/>
    <w:rsid w:val="00220442"/>
    <w:rsid w:val="00220937"/>
    <w:rsid w:val="00220BC0"/>
    <w:rsid w:val="00221AF9"/>
    <w:rsid w:val="00222F48"/>
    <w:rsid w:val="00223F76"/>
    <w:rsid w:val="0022477F"/>
    <w:rsid w:val="002303B5"/>
    <w:rsid w:val="00231F0C"/>
    <w:rsid w:val="00232A45"/>
    <w:rsid w:val="00232C24"/>
    <w:rsid w:val="00234128"/>
    <w:rsid w:val="00235075"/>
    <w:rsid w:val="00236105"/>
    <w:rsid w:val="002369DA"/>
    <w:rsid w:val="0024105B"/>
    <w:rsid w:val="00245013"/>
    <w:rsid w:val="00246A2A"/>
    <w:rsid w:val="00250112"/>
    <w:rsid w:val="002504AF"/>
    <w:rsid w:val="00250FFA"/>
    <w:rsid w:val="002511BB"/>
    <w:rsid w:val="002511C6"/>
    <w:rsid w:val="002557E3"/>
    <w:rsid w:val="002566A5"/>
    <w:rsid w:val="00260BE5"/>
    <w:rsid w:val="002638AD"/>
    <w:rsid w:val="002662F4"/>
    <w:rsid w:val="00271B53"/>
    <w:rsid w:val="00272EE8"/>
    <w:rsid w:val="0027582A"/>
    <w:rsid w:val="0027672E"/>
    <w:rsid w:val="00277733"/>
    <w:rsid w:val="00280B1C"/>
    <w:rsid w:val="00280DAE"/>
    <w:rsid w:val="00281CED"/>
    <w:rsid w:val="00283B50"/>
    <w:rsid w:val="00284348"/>
    <w:rsid w:val="00284938"/>
    <w:rsid w:val="002854FC"/>
    <w:rsid w:val="00285F7E"/>
    <w:rsid w:val="002861B2"/>
    <w:rsid w:val="0029127E"/>
    <w:rsid w:val="0029229C"/>
    <w:rsid w:val="002967DC"/>
    <w:rsid w:val="002970CF"/>
    <w:rsid w:val="002979A4"/>
    <w:rsid w:val="002A02AA"/>
    <w:rsid w:val="002A10E3"/>
    <w:rsid w:val="002A3AF1"/>
    <w:rsid w:val="002A7A31"/>
    <w:rsid w:val="002B0028"/>
    <w:rsid w:val="002B2466"/>
    <w:rsid w:val="002B418A"/>
    <w:rsid w:val="002B7353"/>
    <w:rsid w:val="002B7C3E"/>
    <w:rsid w:val="002C269C"/>
    <w:rsid w:val="002C2885"/>
    <w:rsid w:val="002C33F8"/>
    <w:rsid w:val="002C39FB"/>
    <w:rsid w:val="002C3CC3"/>
    <w:rsid w:val="002C517E"/>
    <w:rsid w:val="002C5FB7"/>
    <w:rsid w:val="002D16A2"/>
    <w:rsid w:val="002D2B13"/>
    <w:rsid w:val="002D33D1"/>
    <w:rsid w:val="002D4380"/>
    <w:rsid w:val="002D5492"/>
    <w:rsid w:val="002D5AE4"/>
    <w:rsid w:val="002E0BA4"/>
    <w:rsid w:val="002E299B"/>
    <w:rsid w:val="002E3812"/>
    <w:rsid w:val="002E3E70"/>
    <w:rsid w:val="002E4E10"/>
    <w:rsid w:val="002E578C"/>
    <w:rsid w:val="002F1940"/>
    <w:rsid w:val="002F32F2"/>
    <w:rsid w:val="002F35E6"/>
    <w:rsid w:val="002F3A8C"/>
    <w:rsid w:val="002F55D9"/>
    <w:rsid w:val="003025B9"/>
    <w:rsid w:val="00306639"/>
    <w:rsid w:val="00306947"/>
    <w:rsid w:val="0030751D"/>
    <w:rsid w:val="00311298"/>
    <w:rsid w:val="003121C7"/>
    <w:rsid w:val="003130A5"/>
    <w:rsid w:val="00316771"/>
    <w:rsid w:val="00316B86"/>
    <w:rsid w:val="0032123F"/>
    <w:rsid w:val="00321437"/>
    <w:rsid w:val="0032286E"/>
    <w:rsid w:val="003241F0"/>
    <w:rsid w:val="00326A16"/>
    <w:rsid w:val="003302B6"/>
    <w:rsid w:val="00330540"/>
    <w:rsid w:val="0033056E"/>
    <w:rsid w:val="00330B3C"/>
    <w:rsid w:val="00333B86"/>
    <w:rsid w:val="00333C76"/>
    <w:rsid w:val="00335A8F"/>
    <w:rsid w:val="00335F53"/>
    <w:rsid w:val="00336EC0"/>
    <w:rsid w:val="0034028A"/>
    <w:rsid w:val="00340711"/>
    <w:rsid w:val="0034169E"/>
    <w:rsid w:val="003456AC"/>
    <w:rsid w:val="00346E8B"/>
    <w:rsid w:val="00347178"/>
    <w:rsid w:val="0034740D"/>
    <w:rsid w:val="0035273C"/>
    <w:rsid w:val="0035324E"/>
    <w:rsid w:val="003539DB"/>
    <w:rsid w:val="00353B07"/>
    <w:rsid w:val="00354378"/>
    <w:rsid w:val="00355352"/>
    <w:rsid w:val="00355D80"/>
    <w:rsid w:val="00356B70"/>
    <w:rsid w:val="003570EF"/>
    <w:rsid w:val="003578D7"/>
    <w:rsid w:val="003601DD"/>
    <w:rsid w:val="003602FF"/>
    <w:rsid w:val="0036365A"/>
    <w:rsid w:val="0036530A"/>
    <w:rsid w:val="00365B2E"/>
    <w:rsid w:val="00365B49"/>
    <w:rsid w:val="00365C55"/>
    <w:rsid w:val="00366B51"/>
    <w:rsid w:val="00370AEE"/>
    <w:rsid w:val="00370C4C"/>
    <w:rsid w:val="00371D61"/>
    <w:rsid w:val="0037203D"/>
    <w:rsid w:val="0037337C"/>
    <w:rsid w:val="003737F6"/>
    <w:rsid w:val="0037396A"/>
    <w:rsid w:val="003757C1"/>
    <w:rsid w:val="003764F7"/>
    <w:rsid w:val="00380257"/>
    <w:rsid w:val="003816DD"/>
    <w:rsid w:val="0039064F"/>
    <w:rsid w:val="00390CF2"/>
    <w:rsid w:val="00391D87"/>
    <w:rsid w:val="00392B54"/>
    <w:rsid w:val="00393C43"/>
    <w:rsid w:val="003940A3"/>
    <w:rsid w:val="00394325"/>
    <w:rsid w:val="00394EBB"/>
    <w:rsid w:val="003951DD"/>
    <w:rsid w:val="00397D1F"/>
    <w:rsid w:val="003A0E86"/>
    <w:rsid w:val="003A12DE"/>
    <w:rsid w:val="003A31B3"/>
    <w:rsid w:val="003A3FC9"/>
    <w:rsid w:val="003A408E"/>
    <w:rsid w:val="003A4811"/>
    <w:rsid w:val="003A573F"/>
    <w:rsid w:val="003A69FF"/>
    <w:rsid w:val="003A7170"/>
    <w:rsid w:val="003A7452"/>
    <w:rsid w:val="003B0E7B"/>
    <w:rsid w:val="003B0F26"/>
    <w:rsid w:val="003B1822"/>
    <w:rsid w:val="003B1919"/>
    <w:rsid w:val="003B4BAA"/>
    <w:rsid w:val="003B50D6"/>
    <w:rsid w:val="003B7C9E"/>
    <w:rsid w:val="003C09D7"/>
    <w:rsid w:val="003C1A9B"/>
    <w:rsid w:val="003C62A3"/>
    <w:rsid w:val="003C6301"/>
    <w:rsid w:val="003C6E39"/>
    <w:rsid w:val="003C7E0A"/>
    <w:rsid w:val="003D3154"/>
    <w:rsid w:val="003D47F2"/>
    <w:rsid w:val="003D482F"/>
    <w:rsid w:val="003D649D"/>
    <w:rsid w:val="003D6715"/>
    <w:rsid w:val="003D7A61"/>
    <w:rsid w:val="003E0010"/>
    <w:rsid w:val="003E04E4"/>
    <w:rsid w:val="003E1745"/>
    <w:rsid w:val="003E1B08"/>
    <w:rsid w:val="003E222E"/>
    <w:rsid w:val="003E3395"/>
    <w:rsid w:val="003E52BE"/>
    <w:rsid w:val="003E5B68"/>
    <w:rsid w:val="003E6C95"/>
    <w:rsid w:val="003E7CA4"/>
    <w:rsid w:val="003F063B"/>
    <w:rsid w:val="003F33C7"/>
    <w:rsid w:val="003F3E73"/>
    <w:rsid w:val="003F4944"/>
    <w:rsid w:val="003F49BA"/>
    <w:rsid w:val="00401492"/>
    <w:rsid w:val="00401A73"/>
    <w:rsid w:val="004034C9"/>
    <w:rsid w:val="00404620"/>
    <w:rsid w:val="00404CB7"/>
    <w:rsid w:val="00404CC1"/>
    <w:rsid w:val="00405707"/>
    <w:rsid w:val="00406110"/>
    <w:rsid w:val="004068F8"/>
    <w:rsid w:val="00407E15"/>
    <w:rsid w:val="00410458"/>
    <w:rsid w:val="00411096"/>
    <w:rsid w:val="004111F4"/>
    <w:rsid w:val="00411C6A"/>
    <w:rsid w:val="0041250A"/>
    <w:rsid w:val="00413DDC"/>
    <w:rsid w:val="00413E21"/>
    <w:rsid w:val="004145C0"/>
    <w:rsid w:val="00416735"/>
    <w:rsid w:val="00420CB9"/>
    <w:rsid w:val="004242ED"/>
    <w:rsid w:val="00425D0D"/>
    <w:rsid w:val="0042640A"/>
    <w:rsid w:val="00426617"/>
    <w:rsid w:val="0042799F"/>
    <w:rsid w:val="00427C10"/>
    <w:rsid w:val="00427D41"/>
    <w:rsid w:val="004306C1"/>
    <w:rsid w:val="00431BBB"/>
    <w:rsid w:val="00432031"/>
    <w:rsid w:val="00433CA4"/>
    <w:rsid w:val="00433F1D"/>
    <w:rsid w:val="00435B07"/>
    <w:rsid w:val="00435F1C"/>
    <w:rsid w:val="00436D34"/>
    <w:rsid w:val="00440890"/>
    <w:rsid w:val="00442A4D"/>
    <w:rsid w:val="00443542"/>
    <w:rsid w:val="00443776"/>
    <w:rsid w:val="00446025"/>
    <w:rsid w:val="00446125"/>
    <w:rsid w:val="004476A7"/>
    <w:rsid w:val="004503A8"/>
    <w:rsid w:val="0045146E"/>
    <w:rsid w:val="00452429"/>
    <w:rsid w:val="00452BDA"/>
    <w:rsid w:val="0045337E"/>
    <w:rsid w:val="00453C42"/>
    <w:rsid w:val="00453DFB"/>
    <w:rsid w:val="004548EB"/>
    <w:rsid w:val="00456D4A"/>
    <w:rsid w:val="00457B25"/>
    <w:rsid w:val="0046100D"/>
    <w:rsid w:val="004612F3"/>
    <w:rsid w:val="00461B78"/>
    <w:rsid w:val="00462075"/>
    <w:rsid w:val="004627BA"/>
    <w:rsid w:val="00463D96"/>
    <w:rsid w:val="00464C79"/>
    <w:rsid w:val="00466E70"/>
    <w:rsid w:val="00466FD0"/>
    <w:rsid w:val="0046715B"/>
    <w:rsid w:val="004679C0"/>
    <w:rsid w:val="00467AD1"/>
    <w:rsid w:val="00470D50"/>
    <w:rsid w:val="00471073"/>
    <w:rsid w:val="00476C68"/>
    <w:rsid w:val="004776DB"/>
    <w:rsid w:val="00480044"/>
    <w:rsid w:val="004803E5"/>
    <w:rsid w:val="00480B06"/>
    <w:rsid w:val="00481CF6"/>
    <w:rsid w:val="00482F11"/>
    <w:rsid w:val="00486387"/>
    <w:rsid w:val="00490E50"/>
    <w:rsid w:val="00495B73"/>
    <w:rsid w:val="004974F6"/>
    <w:rsid w:val="004A07AA"/>
    <w:rsid w:val="004A0883"/>
    <w:rsid w:val="004A3246"/>
    <w:rsid w:val="004A4795"/>
    <w:rsid w:val="004A4C03"/>
    <w:rsid w:val="004A4E5D"/>
    <w:rsid w:val="004A53CA"/>
    <w:rsid w:val="004A6279"/>
    <w:rsid w:val="004A6F04"/>
    <w:rsid w:val="004A7A74"/>
    <w:rsid w:val="004A7C4D"/>
    <w:rsid w:val="004B3533"/>
    <w:rsid w:val="004B39E8"/>
    <w:rsid w:val="004B4413"/>
    <w:rsid w:val="004B4755"/>
    <w:rsid w:val="004B4B4E"/>
    <w:rsid w:val="004B706E"/>
    <w:rsid w:val="004B72F9"/>
    <w:rsid w:val="004B7B98"/>
    <w:rsid w:val="004C165C"/>
    <w:rsid w:val="004C534D"/>
    <w:rsid w:val="004C5CB9"/>
    <w:rsid w:val="004C6278"/>
    <w:rsid w:val="004C6666"/>
    <w:rsid w:val="004C6AC7"/>
    <w:rsid w:val="004D1544"/>
    <w:rsid w:val="004D1726"/>
    <w:rsid w:val="004D2871"/>
    <w:rsid w:val="004D3284"/>
    <w:rsid w:val="004D47C9"/>
    <w:rsid w:val="004D5666"/>
    <w:rsid w:val="004D5936"/>
    <w:rsid w:val="004D7F8A"/>
    <w:rsid w:val="004E01B0"/>
    <w:rsid w:val="004E1D94"/>
    <w:rsid w:val="004E22F6"/>
    <w:rsid w:val="004E272B"/>
    <w:rsid w:val="004E2C14"/>
    <w:rsid w:val="004E3EB5"/>
    <w:rsid w:val="004E51A7"/>
    <w:rsid w:val="004E52DC"/>
    <w:rsid w:val="004E558D"/>
    <w:rsid w:val="004E5A1C"/>
    <w:rsid w:val="004E7603"/>
    <w:rsid w:val="004F1D58"/>
    <w:rsid w:val="004F2730"/>
    <w:rsid w:val="004F31E6"/>
    <w:rsid w:val="004F3DB6"/>
    <w:rsid w:val="004F4E66"/>
    <w:rsid w:val="004F651D"/>
    <w:rsid w:val="004F7973"/>
    <w:rsid w:val="00500D53"/>
    <w:rsid w:val="00500EAA"/>
    <w:rsid w:val="0050138A"/>
    <w:rsid w:val="00502985"/>
    <w:rsid w:val="00502F3B"/>
    <w:rsid w:val="005064D5"/>
    <w:rsid w:val="005117D6"/>
    <w:rsid w:val="005165FC"/>
    <w:rsid w:val="005168E1"/>
    <w:rsid w:val="00517BF6"/>
    <w:rsid w:val="00521F5B"/>
    <w:rsid w:val="0052251E"/>
    <w:rsid w:val="00523915"/>
    <w:rsid w:val="00527CC3"/>
    <w:rsid w:val="00527EBA"/>
    <w:rsid w:val="00533512"/>
    <w:rsid w:val="00533B72"/>
    <w:rsid w:val="0053518C"/>
    <w:rsid w:val="005358D4"/>
    <w:rsid w:val="005364B5"/>
    <w:rsid w:val="005367C3"/>
    <w:rsid w:val="005370AB"/>
    <w:rsid w:val="00540B8D"/>
    <w:rsid w:val="00542D55"/>
    <w:rsid w:val="00543773"/>
    <w:rsid w:val="00543C0E"/>
    <w:rsid w:val="0054712A"/>
    <w:rsid w:val="00547ECD"/>
    <w:rsid w:val="00551042"/>
    <w:rsid w:val="0055192C"/>
    <w:rsid w:val="00551A37"/>
    <w:rsid w:val="00553E24"/>
    <w:rsid w:val="005543FF"/>
    <w:rsid w:val="0055500E"/>
    <w:rsid w:val="00555359"/>
    <w:rsid w:val="00555604"/>
    <w:rsid w:val="00555EB4"/>
    <w:rsid w:val="005568C5"/>
    <w:rsid w:val="005605A1"/>
    <w:rsid w:val="005609BB"/>
    <w:rsid w:val="00561C35"/>
    <w:rsid w:val="005620FE"/>
    <w:rsid w:val="005623A1"/>
    <w:rsid w:val="00562996"/>
    <w:rsid w:val="0056372F"/>
    <w:rsid w:val="00566939"/>
    <w:rsid w:val="00566A5C"/>
    <w:rsid w:val="00567A89"/>
    <w:rsid w:val="00567C2E"/>
    <w:rsid w:val="005729B7"/>
    <w:rsid w:val="00572FE7"/>
    <w:rsid w:val="00575FD9"/>
    <w:rsid w:val="005760BC"/>
    <w:rsid w:val="00577E80"/>
    <w:rsid w:val="00580717"/>
    <w:rsid w:val="00592870"/>
    <w:rsid w:val="00593106"/>
    <w:rsid w:val="00596908"/>
    <w:rsid w:val="005A0459"/>
    <w:rsid w:val="005A0F41"/>
    <w:rsid w:val="005A30E5"/>
    <w:rsid w:val="005B0CA6"/>
    <w:rsid w:val="005B1787"/>
    <w:rsid w:val="005B2094"/>
    <w:rsid w:val="005B28CF"/>
    <w:rsid w:val="005B2A05"/>
    <w:rsid w:val="005B3892"/>
    <w:rsid w:val="005B3FB9"/>
    <w:rsid w:val="005B5B06"/>
    <w:rsid w:val="005B75BE"/>
    <w:rsid w:val="005C0627"/>
    <w:rsid w:val="005C09A9"/>
    <w:rsid w:val="005C1EFD"/>
    <w:rsid w:val="005C2A38"/>
    <w:rsid w:val="005C3479"/>
    <w:rsid w:val="005C36A4"/>
    <w:rsid w:val="005C3753"/>
    <w:rsid w:val="005C482C"/>
    <w:rsid w:val="005C5A4B"/>
    <w:rsid w:val="005C692D"/>
    <w:rsid w:val="005C6C19"/>
    <w:rsid w:val="005C74D0"/>
    <w:rsid w:val="005D0220"/>
    <w:rsid w:val="005D078B"/>
    <w:rsid w:val="005D4B66"/>
    <w:rsid w:val="005D58BD"/>
    <w:rsid w:val="005D794C"/>
    <w:rsid w:val="005E083A"/>
    <w:rsid w:val="005E27BC"/>
    <w:rsid w:val="005E3944"/>
    <w:rsid w:val="005E4102"/>
    <w:rsid w:val="005E4AC6"/>
    <w:rsid w:val="005E57F7"/>
    <w:rsid w:val="005E7245"/>
    <w:rsid w:val="005F0582"/>
    <w:rsid w:val="005F2871"/>
    <w:rsid w:val="005F4549"/>
    <w:rsid w:val="005F6770"/>
    <w:rsid w:val="005F796D"/>
    <w:rsid w:val="005F7E1C"/>
    <w:rsid w:val="00600EDE"/>
    <w:rsid w:val="00600F09"/>
    <w:rsid w:val="0060135D"/>
    <w:rsid w:val="00602E43"/>
    <w:rsid w:val="00603664"/>
    <w:rsid w:val="006046AF"/>
    <w:rsid w:val="00606443"/>
    <w:rsid w:val="0060644F"/>
    <w:rsid w:val="00607936"/>
    <w:rsid w:val="00607AA3"/>
    <w:rsid w:val="00610387"/>
    <w:rsid w:val="006104A9"/>
    <w:rsid w:val="0061051E"/>
    <w:rsid w:val="00610C45"/>
    <w:rsid w:val="00611529"/>
    <w:rsid w:val="006120B4"/>
    <w:rsid w:val="00613858"/>
    <w:rsid w:val="00614976"/>
    <w:rsid w:val="00617426"/>
    <w:rsid w:val="006200B1"/>
    <w:rsid w:val="0062048F"/>
    <w:rsid w:val="00623825"/>
    <w:rsid w:val="00623A60"/>
    <w:rsid w:val="00623F66"/>
    <w:rsid w:val="006241FA"/>
    <w:rsid w:val="0062422F"/>
    <w:rsid w:val="0062437B"/>
    <w:rsid w:val="00630D07"/>
    <w:rsid w:val="00633F34"/>
    <w:rsid w:val="00640868"/>
    <w:rsid w:val="00640A91"/>
    <w:rsid w:val="00642ED6"/>
    <w:rsid w:val="0064478E"/>
    <w:rsid w:val="00645BCB"/>
    <w:rsid w:val="00646EEE"/>
    <w:rsid w:val="006473A4"/>
    <w:rsid w:val="00650D5A"/>
    <w:rsid w:val="00652A11"/>
    <w:rsid w:val="00652B9D"/>
    <w:rsid w:val="006543C6"/>
    <w:rsid w:val="00654C6B"/>
    <w:rsid w:val="006552E7"/>
    <w:rsid w:val="00656414"/>
    <w:rsid w:val="00656B47"/>
    <w:rsid w:val="00660879"/>
    <w:rsid w:val="006616F9"/>
    <w:rsid w:val="00663431"/>
    <w:rsid w:val="00664220"/>
    <w:rsid w:val="0066448F"/>
    <w:rsid w:val="0066532E"/>
    <w:rsid w:val="0066690A"/>
    <w:rsid w:val="00667340"/>
    <w:rsid w:val="00671511"/>
    <w:rsid w:val="00671F31"/>
    <w:rsid w:val="00672D12"/>
    <w:rsid w:val="0067471C"/>
    <w:rsid w:val="00674B7B"/>
    <w:rsid w:val="00675C21"/>
    <w:rsid w:val="00675DB8"/>
    <w:rsid w:val="0067666F"/>
    <w:rsid w:val="00681216"/>
    <w:rsid w:val="00682595"/>
    <w:rsid w:val="00682BE8"/>
    <w:rsid w:val="00683D11"/>
    <w:rsid w:val="00684939"/>
    <w:rsid w:val="0068572F"/>
    <w:rsid w:val="006860AF"/>
    <w:rsid w:val="0068625E"/>
    <w:rsid w:val="00686BCB"/>
    <w:rsid w:val="00686C3A"/>
    <w:rsid w:val="00687267"/>
    <w:rsid w:val="00692B5E"/>
    <w:rsid w:val="00695061"/>
    <w:rsid w:val="00697FD7"/>
    <w:rsid w:val="006A1B37"/>
    <w:rsid w:val="006A65EB"/>
    <w:rsid w:val="006B01A7"/>
    <w:rsid w:val="006B0365"/>
    <w:rsid w:val="006B1699"/>
    <w:rsid w:val="006B3435"/>
    <w:rsid w:val="006B3544"/>
    <w:rsid w:val="006B52C3"/>
    <w:rsid w:val="006B6AEA"/>
    <w:rsid w:val="006B7854"/>
    <w:rsid w:val="006C0390"/>
    <w:rsid w:val="006C0896"/>
    <w:rsid w:val="006C1F68"/>
    <w:rsid w:val="006C2C57"/>
    <w:rsid w:val="006C2E04"/>
    <w:rsid w:val="006C39CF"/>
    <w:rsid w:val="006C7FE0"/>
    <w:rsid w:val="006D45D2"/>
    <w:rsid w:val="006D50CD"/>
    <w:rsid w:val="006D57B1"/>
    <w:rsid w:val="006D5DF8"/>
    <w:rsid w:val="006D602C"/>
    <w:rsid w:val="006D6D6C"/>
    <w:rsid w:val="006D7993"/>
    <w:rsid w:val="006E0907"/>
    <w:rsid w:val="006E1510"/>
    <w:rsid w:val="006E19B2"/>
    <w:rsid w:val="006E242E"/>
    <w:rsid w:val="006E2480"/>
    <w:rsid w:val="006E25CB"/>
    <w:rsid w:val="006E328D"/>
    <w:rsid w:val="006E4148"/>
    <w:rsid w:val="006E668E"/>
    <w:rsid w:val="006F013A"/>
    <w:rsid w:val="006F0982"/>
    <w:rsid w:val="006F1051"/>
    <w:rsid w:val="006F12B5"/>
    <w:rsid w:val="006F150F"/>
    <w:rsid w:val="006F32B7"/>
    <w:rsid w:val="006F468B"/>
    <w:rsid w:val="006F5F74"/>
    <w:rsid w:val="006F6ECB"/>
    <w:rsid w:val="006F7531"/>
    <w:rsid w:val="00700EA3"/>
    <w:rsid w:val="00703CFC"/>
    <w:rsid w:val="00704D51"/>
    <w:rsid w:val="007065F8"/>
    <w:rsid w:val="007114B6"/>
    <w:rsid w:val="00714694"/>
    <w:rsid w:val="00715231"/>
    <w:rsid w:val="00716F2B"/>
    <w:rsid w:val="00717449"/>
    <w:rsid w:val="00717709"/>
    <w:rsid w:val="00717A1B"/>
    <w:rsid w:val="0072075D"/>
    <w:rsid w:val="007208A2"/>
    <w:rsid w:val="0072096F"/>
    <w:rsid w:val="007225A1"/>
    <w:rsid w:val="0072364B"/>
    <w:rsid w:val="00724188"/>
    <w:rsid w:val="007256D0"/>
    <w:rsid w:val="00725807"/>
    <w:rsid w:val="00727611"/>
    <w:rsid w:val="00730CB0"/>
    <w:rsid w:val="00731A71"/>
    <w:rsid w:val="0073572C"/>
    <w:rsid w:val="00736A8B"/>
    <w:rsid w:val="00737224"/>
    <w:rsid w:val="00740A19"/>
    <w:rsid w:val="00740E48"/>
    <w:rsid w:val="0074103C"/>
    <w:rsid w:val="007428E8"/>
    <w:rsid w:val="00744452"/>
    <w:rsid w:val="00745207"/>
    <w:rsid w:val="00745F5B"/>
    <w:rsid w:val="007464C7"/>
    <w:rsid w:val="00746F68"/>
    <w:rsid w:val="0074795A"/>
    <w:rsid w:val="00750324"/>
    <w:rsid w:val="00750769"/>
    <w:rsid w:val="00750EA9"/>
    <w:rsid w:val="0075173A"/>
    <w:rsid w:val="0075342F"/>
    <w:rsid w:val="0075483B"/>
    <w:rsid w:val="00756B91"/>
    <w:rsid w:val="00756E69"/>
    <w:rsid w:val="00757E7A"/>
    <w:rsid w:val="00761D98"/>
    <w:rsid w:val="007661DF"/>
    <w:rsid w:val="00770422"/>
    <w:rsid w:val="007710DC"/>
    <w:rsid w:val="00772140"/>
    <w:rsid w:val="0077235E"/>
    <w:rsid w:val="007723C0"/>
    <w:rsid w:val="007724AD"/>
    <w:rsid w:val="00772688"/>
    <w:rsid w:val="00772BA9"/>
    <w:rsid w:val="00772EB0"/>
    <w:rsid w:val="00774A1D"/>
    <w:rsid w:val="00780C62"/>
    <w:rsid w:val="0078173C"/>
    <w:rsid w:val="00785422"/>
    <w:rsid w:val="00785B55"/>
    <w:rsid w:val="0078634E"/>
    <w:rsid w:val="0078679F"/>
    <w:rsid w:val="007921E4"/>
    <w:rsid w:val="00793113"/>
    <w:rsid w:val="00794D34"/>
    <w:rsid w:val="00795155"/>
    <w:rsid w:val="00795A57"/>
    <w:rsid w:val="007A06FC"/>
    <w:rsid w:val="007A3BB2"/>
    <w:rsid w:val="007A46E6"/>
    <w:rsid w:val="007A5E67"/>
    <w:rsid w:val="007A62D5"/>
    <w:rsid w:val="007A6E43"/>
    <w:rsid w:val="007A70AD"/>
    <w:rsid w:val="007A77BD"/>
    <w:rsid w:val="007B00E3"/>
    <w:rsid w:val="007B0B6B"/>
    <w:rsid w:val="007B1530"/>
    <w:rsid w:val="007B1F44"/>
    <w:rsid w:val="007B4B65"/>
    <w:rsid w:val="007B6A26"/>
    <w:rsid w:val="007B6B0E"/>
    <w:rsid w:val="007B72DA"/>
    <w:rsid w:val="007C04CB"/>
    <w:rsid w:val="007C0E8A"/>
    <w:rsid w:val="007C3528"/>
    <w:rsid w:val="007C63DB"/>
    <w:rsid w:val="007D02AD"/>
    <w:rsid w:val="007D32A7"/>
    <w:rsid w:val="007D465C"/>
    <w:rsid w:val="007D4F5E"/>
    <w:rsid w:val="007D6877"/>
    <w:rsid w:val="007D6B12"/>
    <w:rsid w:val="007D6BAE"/>
    <w:rsid w:val="007D7FC7"/>
    <w:rsid w:val="007D7FEF"/>
    <w:rsid w:val="007E1B55"/>
    <w:rsid w:val="007E2408"/>
    <w:rsid w:val="007E3DD1"/>
    <w:rsid w:val="007E42F3"/>
    <w:rsid w:val="007E51D0"/>
    <w:rsid w:val="007E5417"/>
    <w:rsid w:val="007E67C5"/>
    <w:rsid w:val="007E6C36"/>
    <w:rsid w:val="007F356B"/>
    <w:rsid w:val="007F5E45"/>
    <w:rsid w:val="007F68C0"/>
    <w:rsid w:val="008022B1"/>
    <w:rsid w:val="00802CBA"/>
    <w:rsid w:val="008052D4"/>
    <w:rsid w:val="00805400"/>
    <w:rsid w:val="008055B1"/>
    <w:rsid w:val="00811B16"/>
    <w:rsid w:val="008137FE"/>
    <w:rsid w:val="00813A60"/>
    <w:rsid w:val="00813DE7"/>
    <w:rsid w:val="00814B96"/>
    <w:rsid w:val="00816785"/>
    <w:rsid w:val="00816B87"/>
    <w:rsid w:val="008200AD"/>
    <w:rsid w:val="00822886"/>
    <w:rsid w:val="008231F4"/>
    <w:rsid w:val="00824DF3"/>
    <w:rsid w:val="00825419"/>
    <w:rsid w:val="0082690D"/>
    <w:rsid w:val="00826E83"/>
    <w:rsid w:val="00830868"/>
    <w:rsid w:val="008323C2"/>
    <w:rsid w:val="00833674"/>
    <w:rsid w:val="008341EB"/>
    <w:rsid w:val="00834BA3"/>
    <w:rsid w:val="00835793"/>
    <w:rsid w:val="008378A1"/>
    <w:rsid w:val="00840794"/>
    <w:rsid w:val="00844154"/>
    <w:rsid w:val="00845EB9"/>
    <w:rsid w:val="0084653D"/>
    <w:rsid w:val="00847398"/>
    <w:rsid w:val="00850E00"/>
    <w:rsid w:val="0085311D"/>
    <w:rsid w:val="00861EB0"/>
    <w:rsid w:val="00862621"/>
    <w:rsid w:val="00865858"/>
    <w:rsid w:val="00867CD9"/>
    <w:rsid w:val="00867DDD"/>
    <w:rsid w:val="00870030"/>
    <w:rsid w:val="00870508"/>
    <w:rsid w:val="00870C98"/>
    <w:rsid w:val="00870ED2"/>
    <w:rsid w:val="00872DE6"/>
    <w:rsid w:val="008769EF"/>
    <w:rsid w:val="00880E3A"/>
    <w:rsid w:val="00881C64"/>
    <w:rsid w:val="00886D1F"/>
    <w:rsid w:val="0088720E"/>
    <w:rsid w:val="00890849"/>
    <w:rsid w:val="00892B38"/>
    <w:rsid w:val="00894DED"/>
    <w:rsid w:val="008968FA"/>
    <w:rsid w:val="00896E85"/>
    <w:rsid w:val="008A1122"/>
    <w:rsid w:val="008A2D56"/>
    <w:rsid w:val="008A3101"/>
    <w:rsid w:val="008A34A9"/>
    <w:rsid w:val="008A4181"/>
    <w:rsid w:val="008A45C8"/>
    <w:rsid w:val="008A4B34"/>
    <w:rsid w:val="008A4C64"/>
    <w:rsid w:val="008A4CA6"/>
    <w:rsid w:val="008A6402"/>
    <w:rsid w:val="008A6F87"/>
    <w:rsid w:val="008A7879"/>
    <w:rsid w:val="008B00AB"/>
    <w:rsid w:val="008B2FE0"/>
    <w:rsid w:val="008B3198"/>
    <w:rsid w:val="008B3B64"/>
    <w:rsid w:val="008B66DC"/>
    <w:rsid w:val="008B71CB"/>
    <w:rsid w:val="008B7502"/>
    <w:rsid w:val="008B77FA"/>
    <w:rsid w:val="008B793E"/>
    <w:rsid w:val="008B7FF2"/>
    <w:rsid w:val="008C0DDF"/>
    <w:rsid w:val="008C17C5"/>
    <w:rsid w:val="008C1922"/>
    <w:rsid w:val="008C3463"/>
    <w:rsid w:val="008C3A99"/>
    <w:rsid w:val="008C450A"/>
    <w:rsid w:val="008C4CC3"/>
    <w:rsid w:val="008C514C"/>
    <w:rsid w:val="008C5BAD"/>
    <w:rsid w:val="008C628C"/>
    <w:rsid w:val="008D036E"/>
    <w:rsid w:val="008D0417"/>
    <w:rsid w:val="008D1A23"/>
    <w:rsid w:val="008D2187"/>
    <w:rsid w:val="008D2AE0"/>
    <w:rsid w:val="008D3862"/>
    <w:rsid w:val="008D3E82"/>
    <w:rsid w:val="008D5EA6"/>
    <w:rsid w:val="008D6013"/>
    <w:rsid w:val="008D7F27"/>
    <w:rsid w:val="008E0C6F"/>
    <w:rsid w:val="008E19B7"/>
    <w:rsid w:val="008E2E21"/>
    <w:rsid w:val="008E34B6"/>
    <w:rsid w:val="008E34B9"/>
    <w:rsid w:val="008E3CE4"/>
    <w:rsid w:val="008E4C39"/>
    <w:rsid w:val="008E5668"/>
    <w:rsid w:val="008E579E"/>
    <w:rsid w:val="008E6753"/>
    <w:rsid w:val="008E7676"/>
    <w:rsid w:val="008E7FB2"/>
    <w:rsid w:val="008F0508"/>
    <w:rsid w:val="008F1909"/>
    <w:rsid w:val="008F1C0A"/>
    <w:rsid w:val="008F2554"/>
    <w:rsid w:val="008F27C5"/>
    <w:rsid w:val="008F3455"/>
    <w:rsid w:val="008F4AC3"/>
    <w:rsid w:val="008F5313"/>
    <w:rsid w:val="008F5316"/>
    <w:rsid w:val="008F6376"/>
    <w:rsid w:val="008F6A15"/>
    <w:rsid w:val="008F6B08"/>
    <w:rsid w:val="008F6B64"/>
    <w:rsid w:val="008F73D2"/>
    <w:rsid w:val="00900A2A"/>
    <w:rsid w:val="00901E99"/>
    <w:rsid w:val="00903C86"/>
    <w:rsid w:val="00904E09"/>
    <w:rsid w:val="00905F36"/>
    <w:rsid w:val="00911EC9"/>
    <w:rsid w:val="009128FD"/>
    <w:rsid w:val="00913530"/>
    <w:rsid w:val="009163A9"/>
    <w:rsid w:val="0091729C"/>
    <w:rsid w:val="00917958"/>
    <w:rsid w:val="00917A4C"/>
    <w:rsid w:val="00920614"/>
    <w:rsid w:val="009208E8"/>
    <w:rsid w:val="00921560"/>
    <w:rsid w:val="00925F65"/>
    <w:rsid w:val="00927703"/>
    <w:rsid w:val="0092784E"/>
    <w:rsid w:val="00930196"/>
    <w:rsid w:val="00932945"/>
    <w:rsid w:val="00934266"/>
    <w:rsid w:val="0093568C"/>
    <w:rsid w:val="00940786"/>
    <w:rsid w:val="00940C8F"/>
    <w:rsid w:val="00942626"/>
    <w:rsid w:val="009428DE"/>
    <w:rsid w:val="009432AF"/>
    <w:rsid w:val="00943CD5"/>
    <w:rsid w:val="00944DD5"/>
    <w:rsid w:val="009466DC"/>
    <w:rsid w:val="00946D2D"/>
    <w:rsid w:val="009512EC"/>
    <w:rsid w:val="0095135D"/>
    <w:rsid w:val="00952773"/>
    <w:rsid w:val="00953425"/>
    <w:rsid w:val="0095395B"/>
    <w:rsid w:val="0095565F"/>
    <w:rsid w:val="009565E8"/>
    <w:rsid w:val="0096026F"/>
    <w:rsid w:val="00960FB0"/>
    <w:rsid w:val="00960FF9"/>
    <w:rsid w:val="0096233C"/>
    <w:rsid w:val="00963F5A"/>
    <w:rsid w:val="009656A0"/>
    <w:rsid w:val="009664D0"/>
    <w:rsid w:val="00967D55"/>
    <w:rsid w:val="00970B3A"/>
    <w:rsid w:val="00970E0D"/>
    <w:rsid w:val="00973511"/>
    <w:rsid w:val="00976423"/>
    <w:rsid w:val="00981943"/>
    <w:rsid w:val="00981BA8"/>
    <w:rsid w:val="009831EC"/>
    <w:rsid w:val="009834CA"/>
    <w:rsid w:val="00983CB4"/>
    <w:rsid w:val="00984615"/>
    <w:rsid w:val="00986B56"/>
    <w:rsid w:val="00990C89"/>
    <w:rsid w:val="009936C1"/>
    <w:rsid w:val="00994321"/>
    <w:rsid w:val="009945DA"/>
    <w:rsid w:val="009955BB"/>
    <w:rsid w:val="0099782B"/>
    <w:rsid w:val="009A0784"/>
    <w:rsid w:val="009A08DE"/>
    <w:rsid w:val="009A0905"/>
    <w:rsid w:val="009A0B6D"/>
    <w:rsid w:val="009A27C2"/>
    <w:rsid w:val="009A28EB"/>
    <w:rsid w:val="009A359B"/>
    <w:rsid w:val="009A5413"/>
    <w:rsid w:val="009A7188"/>
    <w:rsid w:val="009B36F7"/>
    <w:rsid w:val="009B42DC"/>
    <w:rsid w:val="009B4FC3"/>
    <w:rsid w:val="009B6532"/>
    <w:rsid w:val="009B6CCD"/>
    <w:rsid w:val="009C1F64"/>
    <w:rsid w:val="009C44EE"/>
    <w:rsid w:val="009C48CD"/>
    <w:rsid w:val="009C58D2"/>
    <w:rsid w:val="009C7790"/>
    <w:rsid w:val="009D12EF"/>
    <w:rsid w:val="009D2962"/>
    <w:rsid w:val="009D3FAB"/>
    <w:rsid w:val="009D4B84"/>
    <w:rsid w:val="009D59A1"/>
    <w:rsid w:val="009D6BD7"/>
    <w:rsid w:val="009E1D86"/>
    <w:rsid w:val="009E2933"/>
    <w:rsid w:val="009E3FA9"/>
    <w:rsid w:val="009E44EB"/>
    <w:rsid w:val="009E4DF6"/>
    <w:rsid w:val="009E50A5"/>
    <w:rsid w:val="009E57E8"/>
    <w:rsid w:val="009E76FB"/>
    <w:rsid w:val="009E7E8F"/>
    <w:rsid w:val="009E7F18"/>
    <w:rsid w:val="009F0A9D"/>
    <w:rsid w:val="009F26F1"/>
    <w:rsid w:val="009F26FC"/>
    <w:rsid w:val="009F3200"/>
    <w:rsid w:val="009F695F"/>
    <w:rsid w:val="009F7507"/>
    <w:rsid w:val="00A01548"/>
    <w:rsid w:val="00A015C1"/>
    <w:rsid w:val="00A01A68"/>
    <w:rsid w:val="00A02DEF"/>
    <w:rsid w:val="00A035B2"/>
    <w:rsid w:val="00A04C48"/>
    <w:rsid w:val="00A05880"/>
    <w:rsid w:val="00A05BB6"/>
    <w:rsid w:val="00A079E9"/>
    <w:rsid w:val="00A11194"/>
    <w:rsid w:val="00A137DC"/>
    <w:rsid w:val="00A13FB3"/>
    <w:rsid w:val="00A1456F"/>
    <w:rsid w:val="00A16C86"/>
    <w:rsid w:val="00A16E0D"/>
    <w:rsid w:val="00A21F31"/>
    <w:rsid w:val="00A22F9D"/>
    <w:rsid w:val="00A23C5E"/>
    <w:rsid w:val="00A26189"/>
    <w:rsid w:val="00A3125F"/>
    <w:rsid w:val="00A32921"/>
    <w:rsid w:val="00A331CA"/>
    <w:rsid w:val="00A34EFE"/>
    <w:rsid w:val="00A358C4"/>
    <w:rsid w:val="00A36772"/>
    <w:rsid w:val="00A37100"/>
    <w:rsid w:val="00A40520"/>
    <w:rsid w:val="00A43D49"/>
    <w:rsid w:val="00A4552F"/>
    <w:rsid w:val="00A46909"/>
    <w:rsid w:val="00A47220"/>
    <w:rsid w:val="00A50DF8"/>
    <w:rsid w:val="00A5261E"/>
    <w:rsid w:val="00A526C4"/>
    <w:rsid w:val="00A53C6E"/>
    <w:rsid w:val="00A5424D"/>
    <w:rsid w:val="00A5528A"/>
    <w:rsid w:val="00A56D14"/>
    <w:rsid w:val="00A56D53"/>
    <w:rsid w:val="00A577C3"/>
    <w:rsid w:val="00A6036D"/>
    <w:rsid w:val="00A62392"/>
    <w:rsid w:val="00A626E4"/>
    <w:rsid w:val="00A638C8"/>
    <w:rsid w:val="00A64274"/>
    <w:rsid w:val="00A65647"/>
    <w:rsid w:val="00A65BF6"/>
    <w:rsid w:val="00A66638"/>
    <w:rsid w:val="00A66655"/>
    <w:rsid w:val="00A678BC"/>
    <w:rsid w:val="00A70863"/>
    <w:rsid w:val="00A727E9"/>
    <w:rsid w:val="00A731C2"/>
    <w:rsid w:val="00A734F0"/>
    <w:rsid w:val="00A73564"/>
    <w:rsid w:val="00A76091"/>
    <w:rsid w:val="00A760F3"/>
    <w:rsid w:val="00A7631E"/>
    <w:rsid w:val="00A77404"/>
    <w:rsid w:val="00A77B97"/>
    <w:rsid w:val="00A82CCF"/>
    <w:rsid w:val="00A83E07"/>
    <w:rsid w:val="00A86515"/>
    <w:rsid w:val="00A906DE"/>
    <w:rsid w:val="00A9292E"/>
    <w:rsid w:val="00A933D2"/>
    <w:rsid w:val="00A94B09"/>
    <w:rsid w:val="00A950F3"/>
    <w:rsid w:val="00A962F2"/>
    <w:rsid w:val="00AA03D6"/>
    <w:rsid w:val="00AA0997"/>
    <w:rsid w:val="00AA21E2"/>
    <w:rsid w:val="00AA4798"/>
    <w:rsid w:val="00AA580D"/>
    <w:rsid w:val="00AA697D"/>
    <w:rsid w:val="00AA7876"/>
    <w:rsid w:val="00AB159B"/>
    <w:rsid w:val="00AB15C6"/>
    <w:rsid w:val="00AB201E"/>
    <w:rsid w:val="00AB2E3D"/>
    <w:rsid w:val="00AB3B7D"/>
    <w:rsid w:val="00AB42B6"/>
    <w:rsid w:val="00AB6AFA"/>
    <w:rsid w:val="00AC1773"/>
    <w:rsid w:val="00AC2EF8"/>
    <w:rsid w:val="00AC43DA"/>
    <w:rsid w:val="00AC4496"/>
    <w:rsid w:val="00AC4D15"/>
    <w:rsid w:val="00AC4FC4"/>
    <w:rsid w:val="00AC592A"/>
    <w:rsid w:val="00AC5BED"/>
    <w:rsid w:val="00AC5DAA"/>
    <w:rsid w:val="00AC69E9"/>
    <w:rsid w:val="00AD01B3"/>
    <w:rsid w:val="00AD3693"/>
    <w:rsid w:val="00AD3A5F"/>
    <w:rsid w:val="00AD4227"/>
    <w:rsid w:val="00AD4C68"/>
    <w:rsid w:val="00AD5009"/>
    <w:rsid w:val="00AD59BC"/>
    <w:rsid w:val="00AD5F7D"/>
    <w:rsid w:val="00AD6819"/>
    <w:rsid w:val="00AE241E"/>
    <w:rsid w:val="00AE423F"/>
    <w:rsid w:val="00AE4312"/>
    <w:rsid w:val="00AE79C4"/>
    <w:rsid w:val="00AF06D3"/>
    <w:rsid w:val="00AF19C7"/>
    <w:rsid w:val="00AF1DF2"/>
    <w:rsid w:val="00AF208F"/>
    <w:rsid w:val="00AF3EE9"/>
    <w:rsid w:val="00AF4282"/>
    <w:rsid w:val="00AF5B31"/>
    <w:rsid w:val="00AF7FC7"/>
    <w:rsid w:val="00B017F1"/>
    <w:rsid w:val="00B02AEE"/>
    <w:rsid w:val="00B02EE6"/>
    <w:rsid w:val="00B04004"/>
    <w:rsid w:val="00B07406"/>
    <w:rsid w:val="00B10816"/>
    <w:rsid w:val="00B10C9B"/>
    <w:rsid w:val="00B11D47"/>
    <w:rsid w:val="00B121A4"/>
    <w:rsid w:val="00B21718"/>
    <w:rsid w:val="00B22E1C"/>
    <w:rsid w:val="00B26147"/>
    <w:rsid w:val="00B26465"/>
    <w:rsid w:val="00B26E5F"/>
    <w:rsid w:val="00B27CAD"/>
    <w:rsid w:val="00B3014B"/>
    <w:rsid w:val="00B30E43"/>
    <w:rsid w:val="00B315B9"/>
    <w:rsid w:val="00B31EA3"/>
    <w:rsid w:val="00B35A09"/>
    <w:rsid w:val="00B4130A"/>
    <w:rsid w:val="00B41582"/>
    <w:rsid w:val="00B42117"/>
    <w:rsid w:val="00B44530"/>
    <w:rsid w:val="00B458C0"/>
    <w:rsid w:val="00B46348"/>
    <w:rsid w:val="00B5053C"/>
    <w:rsid w:val="00B52063"/>
    <w:rsid w:val="00B526A0"/>
    <w:rsid w:val="00B5447C"/>
    <w:rsid w:val="00B554E1"/>
    <w:rsid w:val="00B55F28"/>
    <w:rsid w:val="00B57D03"/>
    <w:rsid w:val="00B616EB"/>
    <w:rsid w:val="00B70C6A"/>
    <w:rsid w:val="00B70C6B"/>
    <w:rsid w:val="00B70E7F"/>
    <w:rsid w:val="00B70EF9"/>
    <w:rsid w:val="00B739BD"/>
    <w:rsid w:val="00B76656"/>
    <w:rsid w:val="00B7704E"/>
    <w:rsid w:val="00B77182"/>
    <w:rsid w:val="00B77E72"/>
    <w:rsid w:val="00B80323"/>
    <w:rsid w:val="00B80375"/>
    <w:rsid w:val="00B8065E"/>
    <w:rsid w:val="00B80A5F"/>
    <w:rsid w:val="00B80C01"/>
    <w:rsid w:val="00B80FD6"/>
    <w:rsid w:val="00B811A0"/>
    <w:rsid w:val="00B8638D"/>
    <w:rsid w:val="00B87D90"/>
    <w:rsid w:val="00B901C0"/>
    <w:rsid w:val="00B91C66"/>
    <w:rsid w:val="00B928CE"/>
    <w:rsid w:val="00B939B5"/>
    <w:rsid w:val="00B94BBD"/>
    <w:rsid w:val="00B94D3F"/>
    <w:rsid w:val="00B95B75"/>
    <w:rsid w:val="00B95E0D"/>
    <w:rsid w:val="00B961A7"/>
    <w:rsid w:val="00B96633"/>
    <w:rsid w:val="00B96B1B"/>
    <w:rsid w:val="00B96F15"/>
    <w:rsid w:val="00BA0753"/>
    <w:rsid w:val="00BA0BAE"/>
    <w:rsid w:val="00BA1617"/>
    <w:rsid w:val="00BA2A5E"/>
    <w:rsid w:val="00BA3261"/>
    <w:rsid w:val="00BA7BF6"/>
    <w:rsid w:val="00BB04F7"/>
    <w:rsid w:val="00BB0C65"/>
    <w:rsid w:val="00BB2817"/>
    <w:rsid w:val="00BB2F9D"/>
    <w:rsid w:val="00BB37D8"/>
    <w:rsid w:val="00BB3ADF"/>
    <w:rsid w:val="00BB54D4"/>
    <w:rsid w:val="00BB6181"/>
    <w:rsid w:val="00BB7117"/>
    <w:rsid w:val="00BB787B"/>
    <w:rsid w:val="00BC05F7"/>
    <w:rsid w:val="00BC0ED8"/>
    <w:rsid w:val="00BC12D8"/>
    <w:rsid w:val="00BC38FC"/>
    <w:rsid w:val="00BC45B8"/>
    <w:rsid w:val="00BC4DAE"/>
    <w:rsid w:val="00BC5DA2"/>
    <w:rsid w:val="00BC681E"/>
    <w:rsid w:val="00BC75DD"/>
    <w:rsid w:val="00BD3B97"/>
    <w:rsid w:val="00BD3E99"/>
    <w:rsid w:val="00BD46A6"/>
    <w:rsid w:val="00BD5C19"/>
    <w:rsid w:val="00BD5D20"/>
    <w:rsid w:val="00BD63BB"/>
    <w:rsid w:val="00BD6797"/>
    <w:rsid w:val="00BE11E8"/>
    <w:rsid w:val="00BE2BCB"/>
    <w:rsid w:val="00BE5879"/>
    <w:rsid w:val="00BE6560"/>
    <w:rsid w:val="00BE6670"/>
    <w:rsid w:val="00BE7429"/>
    <w:rsid w:val="00BF0608"/>
    <w:rsid w:val="00BF1BEB"/>
    <w:rsid w:val="00BF7CF4"/>
    <w:rsid w:val="00C0014E"/>
    <w:rsid w:val="00C01141"/>
    <w:rsid w:val="00C02F4E"/>
    <w:rsid w:val="00C05CF3"/>
    <w:rsid w:val="00C0606B"/>
    <w:rsid w:val="00C1070C"/>
    <w:rsid w:val="00C10EEE"/>
    <w:rsid w:val="00C11338"/>
    <w:rsid w:val="00C12505"/>
    <w:rsid w:val="00C13260"/>
    <w:rsid w:val="00C13AC8"/>
    <w:rsid w:val="00C16740"/>
    <w:rsid w:val="00C16F67"/>
    <w:rsid w:val="00C17094"/>
    <w:rsid w:val="00C17389"/>
    <w:rsid w:val="00C175FA"/>
    <w:rsid w:val="00C21BAE"/>
    <w:rsid w:val="00C23712"/>
    <w:rsid w:val="00C24163"/>
    <w:rsid w:val="00C250BD"/>
    <w:rsid w:val="00C25B7B"/>
    <w:rsid w:val="00C2602C"/>
    <w:rsid w:val="00C26A76"/>
    <w:rsid w:val="00C30AAC"/>
    <w:rsid w:val="00C3156E"/>
    <w:rsid w:val="00C336E2"/>
    <w:rsid w:val="00C34FBD"/>
    <w:rsid w:val="00C35328"/>
    <w:rsid w:val="00C414B0"/>
    <w:rsid w:val="00C41968"/>
    <w:rsid w:val="00C427F8"/>
    <w:rsid w:val="00C4390B"/>
    <w:rsid w:val="00C44426"/>
    <w:rsid w:val="00C456F2"/>
    <w:rsid w:val="00C4644E"/>
    <w:rsid w:val="00C46BD7"/>
    <w:rsid w:val="00C474BF"/>
    <w:rsid w:val="00C475BD"/>
    <w:rsid w:val="00C510FF"/>
    <w:rsid w:val="00C52166"/>
    <w:rsid w:val="00C527F4"/>
    <w:rsid w:val="00C533D1"/>
    <w:rsid w:val="00C5432F"/>
    <w:rsid w:val="00C6278F"/>
    <w:rsid w:val="00C6281E"/>
    <w:rsid w:val="00C62B94"/>
    <w:rsid w:val="00C63CA3"/>
    <w:rsid w:val="00C6434A"/>
    <w:rsid w:val="00C65D39"/>
    <w:rsid w:val="00C66F08"/>
    <w:rsid w:val="00C673B7"/>
    <w:rsid w:val="00C70906"/>
    <w:rsid w:val="00C70B62"/>
    <w:rsid w:val="00C7138E"/>
    <w:rsid w:val="00C73EC5"/>
    <w:rsid w:val="00C744E2"/>
    <w:rsid w:val="00C74F78"/>
    <w:rsid w:val="00C75553"/>
    <w:rsid w:val="00C76F48"/>
    <w:rsid w:val="00C77288"/>
    <w:rsid w:val="00C77B28"/>
    <w:rsid w:val="00C77C34"/>
    <w:rsid w:val="00C81000"/>
    <w:rsid w:val="00C830F1"/>
    <w:rsid w:val="00C84C50"/>
    <w:rsid w:val="00C8503B"/>
    <w:rsid w:val="00C871E5"/>
    <w:rsid w:val="00C902B8"/>
    <w:rsid w:val="00C907B5"/>
    <w:rsid w:val="00C91770"/>
    <w:rsid w:val="00C9211F"/>
    <w:rsid w:val="00C93571"/>
    <w:rsid w:val="00C93D79"/>
    <w:rsid w:val="00C94386"/>
    <w:rsid w:val="00C9640B"/>
    <w:rsid w:val="00C96704"/>
    <w:rsid w:val="00C972B2"/>
    <w:rsid w:val="00C9737D"/>
    <w:rsid w:val="00C97CCA"/>
    <w:rsid w:val="00CA48F4"/>
    <w:rsid w:val="00CA568B"/>
    <w:rsid w:val="00CA5D58"/>
    <w:rsid w:val="00CA683E"/>
    <w:rsid w:val="00CA7297"/>
    <w:rsid w:val="00CB0604"/>
    <w:rsid w:val="00CB1126"/>
    <w:rsid w:val="00CB1895"/>
    <w:rsid w:val="00CB29D1"/>
    <w:rsid w:val="00CB2B41"/>
    <w:rsid w:val="00CB2DE7"/>
    <w:rsid w:val="00CB475B"/>
    <w:rsid w:val="00CB537E"/>
    <w:rsid w:val="00CB6278"/>
    <w:rsid w:val="00CC2934"/>
    <w:rsid w:val="00CC2E94"/>
    <w:rsid w:val="00CC5173"/>
    <w:rsid w:val="00CC629F"/>
    <w:rsid w:val="00CC65D6"/>
    <w:rsid w:val="00CC7603"/>
    <w:rsid w:val="00CC7F2C"/>
    <w:rsid w:val="00CD00F7"/>
    <w:rsid w:val="00CD0B05"/>
    <w:rsid w:val="00CD4134"/>
    <w:rsid w:val="00CD4CE1"/>
    <w:rsid w:val="00CD60DF"/>
    <w:rsid w:val="00CD78A3"/>
    <w:rsid w:val="00CD7BE6"/>
    <w:rsid w:val="00CD7FB2"/>
    <w:rsid w:val="00CE018C"/>
    <w:rsid w:val="00CE0792"/>
    <w:rsid w:val="00CE1C95"/>
    <w:rsid w:val="00CE215E"/>
    <w:rsid w:val="00CE342E"/>
    <w:rsid w:val="00CE35FA"/>
    <w:rsid w:val="00CF09B2"/>
    <w:rsid w:val="00CF0D4C"/>
    <w:rsid w:val="00CF1215"/>
    <w:rsid w:val="00CF2073"/>
    <w:rsid w:val="00CF20FF"/>
    <w:rsid w:val="00CF23CB"/>
    <w:rsid w:val="00CF5719"/>
    <w:rsid w:val="00CF62CE"/>
    <w:rsid w:val="00D024AA"/>
    <w:rsid w:val="00D0365A"/>
    <w:rsid w:val="00D03D70"/>
    <w:rsid w:val="00D05AAC"/>
    <w:rsid w:val="00D069B3"/>
    <w:rsid w:val="00D076FB"/>
    <w:rsid w:val="00D07D06"/>
    <w:rsid w:val="00D1038C"/>
    <w:rsid w:val="00D104A5"/>
    <w:rsid w:val="00D17CEB"/>
    <w:rsid w:val="00D21D23"/>
    <w:rsid w:val="00D22523"/>
    <w:rsid w:val="00D2321C"/>
    <w:rsid w:val="00D23CF5"/>
    <w:rsid w:val="00D2612A"/>
    <w:rsid w:val="00D26330"/>
    <w:rsid w:val="00D269C4"/>
    <w:rsid w:val="00D31446"/>
    <w:rsid w:val="00D31ECB"/>
    <w:rsid w:val="00D3296E"/>
    <w:rsid w:val="00D32F03"/>
    <w:rsid w:val="00D3336E"/>
    <w:rsid w:val="00D33417"/>
    <w:rsid w:val="00D33E01"/>
    <w:rsid w:val="00D356BE"/>
    <w:rsid w:val="00D359B1"/>
    <w:rsid w:val="00D36401"/>
    <w:rsid w:val="00D37886"/>
    <w:rsid w:val="00D40D10"/>
    <w:rsid w:val="00D40EB4"/>
    <w:rsid w:val="00D42FD1"/>
    <w:rsid w:val="00D47852"/>
    <w:rsid w:val="00D50A73"/>
    <w:rsid w:val="00D5136E"/>
    <w:rsid w:val="00D52539"/>
    <w:rsid w:val="00D547B8"/>
    <w:rsid w:val="00D547DB"/>
    <w:rsid w:val="00D5774A"/>
    <w:rsid w:val="00D616E3"/>
    <w:rsid w:val="00D61F39"/>
    <w:rsid w:val="00D633FA"/>
    <w:rsid w:val="00D64179"/>
    <w:rsid w:val="00D6463D"/>
    <w:rsid w:val="00D65B63"/>
    <w:rsid w:val="00D662A0"/>
    <w:rsid w:val="00D66C2B"/>
    <w:rsid w:val="00D678CE"/>
    <w:rsid w:val="00D6797C"/>
    <w:rsid w:val="00D67FA8"/>
    <w:rsid w:val="00D70384"/>
    <w:rsid w:val="00D70C6F"/>
    <w:rsid w:val="00D7103A"/>
    <w:rsid w:val="00D71397"/>
    <w:rsid w:val="00D71530"/>
    <w:rsid w:val="00D7295F"/>
    <w:rsid w:val="00D737BE"/>
    <w:rsid w:val="00D73FC8"/>
    <w:rsid w:val="00D743CF"/>
    <w:rsid w:val="00D750E3"/>
    <w:rsid w:val="00D7574B"/>
    <w:rsid w:val="00D7577B"/>
    <w:rsid w:val="00D76371"/>
    <w:rsid w:val="00D77243"/>
    <w:rsid w:val="00D77BBD"/>
    <w:rsid w:val="00D80BDF"/>
    <w:rsid w:val="00D834F9"/>
    <w:rsid w:val="00D836AE"/>
    <w:rsid w:val="00D854C9"/>
    <w:rsid w:val="00D9044B"/>
    <w:rsid w:val="00D90F6F"/>
    <w:rsid w:val="00D90F7C"/>
    <w:rsid w:val="00D918D2"/>
    <w:rsid w:val="00D93F73"/>
    <w:rsid w:val="00D94A7D"/>
    <w:rsid w:val="00D94F03"/>
    <w:rsid w:val="00D95D16"/>
    <w:rsid w:val="00D973AB"/>
    <w:rsid w:val="00D97C19"/>
    <w:rsid w:val="00DA0B8A"/>
    <w:rsid w:val="00DA1A01"/>
    <w:rsid w:val="00DA1F8C"/>
    <w:rsid w:val="00DA2991"/>
    <w:rsid w:val="00DB18B1"/>
    <w:rsid w:val="00DB3F91"/>
    <w:rsid w:val="00DB468F"/>
    <w:rsid w:val="00DB58F3"/>
    <w:rsid w:val="00DB640C"/>
    <w:rsid w:val="00DC05AB"/>
    <w:rsid w:val="00DC0BF8"/>
    <w:rsid w:val="00DC39DD"/>
    <w:rsid w:val="00DC46CC"/>
    <w:rsid w:val="00DC63D1"/>
    <w:rsid w:val="00DC6B10"/>
    <w:rsid w:val="00DD0012"/>
    <w:rsid w:val="00DD1A23"/>
    <w:rsid w:val="00DD21FE"/>
    <w:rsid w:val="00DD2298"/>
    <w:rsid w:val="00DD31C0"/>
    <w:rsid w:val="00DD3ACF"/>
    <w:rsid w:val="00DD3BE0"/>
    <w:rsid w:val="00DD53A7"/>
    <w:rsid w:val="00DE0C99"/>
    <w:rsid w:val="00DE28D7"/>
    <w:rsid w:val="00DE3479"/>
    <w:rsid w:val="00DE3FB6"/>
    <w:rsid w:val="00DE4DD1"/>
    <w:rsid w:val="00DE5C29"/>
    <w:rsid w:val="00DF0C8B"/>
    <w:rsid w:val="00DF1065"/>
    <w:rsid w:val="00DF1087"/>
    <w:rsid w:val="00DF40C6"/>
    <w:rsid w:val="00DF7805"/>
    <w:rsid w:val="00DF7947"/>
    <w:rsid w:val="00DF7B74"/>
    <w:rsid w:val="00E003C3"/>
    <w:rsid w:val="00E00D1A"/>
    <w:rsid w:val="00E01B1C"/>
    <w:rsid w:val="00E02072"/>
    <w:rsid w:val="00E032E5"/>
    <w:rsid w:val="00E03B31"/>
    <w:rsid w:val="00E04682"/>
    <w:rsid w:val="00E050A3"/>
    <w:rsid w:val="00E0533E"/>
    <w:rsid w:val="00E05AC1"/>
    <w:rsid w:val="00E05B71"/>
    <w:rsid w:val="00E05C10"/>
    <w:rsid w:val="00E069C9"/>
    <w:rsid w:val="00E10120"/>
    <w:rsid w:val="00E11506"/>
    <w:rsid w:val="00E11714"/>
    <w:rsid w:val="00E127E5"/>
    <w:rsid w:val="00E147A6"/>
    <w:rsid w:val="00E1545E"/>
    <w:rsid w:val="00E15DBB"/>
    <w:rsid w:val="00E1651F"/>
    <w:rsid w:val="00E17E36"/>
    <w:rsid w:val="00E202E4"/>
    <w:rsid w:val="00E20619"/>
    <w:rsid w:val="00E20A29"/>
    <w:rsid w:val="00E20C44"/>
    <w:rsid w:val="00E21D89"/>
    <w:rsid w:val="00E229D7"/>
    <w:rsid w:val="00E22D1F"/>
    <w:rsid w:val="00E231B5"/>
    <w:rsid w:val="00E26E47"/>
    <w:rsid w:val="00E3025F"/>
    <w:rsid w:val="00E304E1"/>
    <w:rsid w:val="00E31812"/>
    <w:rsid w:val="00E32401"/>
    <w:rsid w:val="00E32BC6"/>
    <w:rsid w:val="00E3615F"/>
    <w:rsid w:val="00E370B1"/>
    <w:rsid w:val="00E41827"/>
    <w:rsid w:val="00E42B25"/>
    <w:rsid w:val="00E432E5"/>
    <w:rsid w:val="00E43364"/>
    <w:rsid w:val="00E43587"/>
    <w:rsid w:val="00E43E23"/>
    <w:rsid w:val="00E456D7"/>
    <w:rsid w:val="00E46D4B"/>
    <w:rsid w:val="00E47507"/>
    <w:rsid w:val="00E47D48"/>
    <w:rsid w:val="00E47F67"/>
    <w:rsid w:val="00E51522"/>
    <w:rsid w:val="00E521E9"/>
    <w:rsid w:val="00E537AF"/>
    <w:rsid w:val="00E54692"/>
    <w:rsid w:val="00E55CF7"/>
    <w:rsid w:val="00E61713"/>
    <w:rsid w:val="00E61EC5"/>
    <w:rsid w:val="00E62947"/>
    <w:rsid w:val="00E64001"/>
    <w:rsid w:val="00E642E5"/>
    <w:rsid w:val="00E64FD5"/>
    <w:rsid w:val="00E66E0D"/>
    <w:rsid w:val="00E707CD"/>
    <w:rsid w:val="00E70AD2"/>
    <w:rsid w:val="00E71745"/>
    <w:rsid w:val="00E71B72"/>
    <w:rsid w:val="00E73BBC"/>
    <w:rsid w:val="00E74263"/>
    <w:rsid w:val="00E74B48"/>
    <w:rsid w:val="00E76699"/>
    <w:rsid w:val="00E775BA"/>
    <w:rsid w:val="00E80783"/>
    <w:rsid w:val="00E80D4B"/>
    <w:rsid w:val="00E829EC"/>
    <w:rsid w:val="00E8322F"/>
    <w:rsid w:val="00E84DA0"/>
    <w:rsid w:val="00E85DC8"/>
    <w:rsid w:val="00E8655A"/>
    <w:rsid w:val="00E86E69"/>
    <w:rsid w:val="00E87E37"/>
    <w:rsid w:val="00E940BB"/>
    <w:rsid w:val="00E95767"/>
    <w:rsid w:val="00E95EDD"/>
    <w:rsid w:val="00E978DD"/>
    <w:rsid w:val="00E97A08"/>
    <w:rsid w:val="00E97F26"/>
    <w:rsid w:val="00EA0054"/>
    <w:rsid w:val="00EA0BDE"/>
    <w:rsid w:val="00EA1248"/>
    <w:rsid w:val="00EA2F4C"/>
    <w:rsid w:val="00EA3256"/>
    <w:rsid w:val="00EA49CE"/>
    <w:rsid w:val="00EA4F91"/>
    <w:rsid w:val="00EA78AF"/>
    <w:rsid w:val="00EA7998"/>
    <w:rsid w:val="00EB409D"/>
    <w:rsid w:val="00EB5E1A"/>
    <w:rsid w:val="00EB79C1"/>
    <w:rsid w:val="00EC0008"/>
    <w:rsid w:val="00EC0B47"/>
    <w:rsid w:val="00EC23B6"/>
    <w:rsid w:val="00EC36A0"/>
    <w:rsid w:val="00EC43E8"/>
    <w:rsid w:val="00EC4401"/>
    <w:rsid w:val="00EC5895"/>
    <w:rsid w:val="00EC64A2"/>
    <w:rsid w:val="00EC7A64"/>
    <w:rsid w:val="00ED0782"/>
    <w:rsid w:val="00ED1E06"/>
    <w:rsid w:val="00ED2229"/>
    <w:rsid w:val="00ED270F"/>
    <w:rsid w:val="00ED31D0"/>
    <w:rsid w:val="00ED3B0E"/>
    <w:rsid w:val="00ED3E75"/>
    <w:rsid w:val="00ED450E"/>
    <w:rsid w:val="00ED48C0"/>
    <w:rsid w:val="00ED7E7C"/>
    <w:rsid w:val="00EE02AC"/>
    <w:rsid w:val="00EE3461"/>
    <w:rsid w:val="00EE3886"/>
    <w:rsid w:val="00EE3DF4"/>
    <w:rsid w:val="00EE729B"/>
    <w:rsid w:val="00EF0025"/>
    <w:rsid w:val="00EF03D9"/>
    <w:rsid w:val="00EF40EF"/>
    <w:rsid w:val="00EF5B9D"/>
    <w:rsid w:val="00EF60AB"/>
    <w:rsid w:val="00EF63B1"/>
    <w:rsid w:val="00EF7BE4"/>
    <w:rsid w:val="00F008A1"/>
    <w:rsid w:val="00F00A43"/>
    <w:rsid w:val="00F010CC"/>
    <w:rsid w:val="00F01187"/>
    <w:rsid w:val="00F02F61"/>
    <w:rsid w:val="00F03346"/>
    <w:rsid w:val="00F03B5D"/>
    <w:rsid w:val="00F04059"/>
    <w:rsid w:val="00F042F7"/>
    <w:rsid w:val="00F04F94"/>
    <w:rsid w:val="00F05AEB"/>
    <w:rsid w:val="00F060DF"/>
    <w:rsid w:val="00F061F7"/>
    <w:rsid w:val="00F06AA6"/>
    <w:rsid w:val="00F10586"/>
    <w:rsid w:val="00F1145D"/>
    <w:rsid w:val="00F12AF2"/>
    <w:rsid w:val="00F130E7"/>
    <w:rsid w:val="00F15EE3"/>
    <w:rsid w:val="00F16EB7"/>
    <w:rsid w:val="00F20D14"/>
    <w:rsid w:val="00F20ED0"/>
    <w:rsid w:val="00F23991"/>
    <w:rsid w:val="00F26E47"/>
    <w:rsid w:val="00F27457"/>
    <w:rsid w:val="00F32C6C"/>
    <w:rsid w:val="00F32DFB"/>
    <w:rsid w:val="00F33352"/>
    <w:rsid w:val="00F35FF5"/>
    <w:rsid w:val="00F36758"/>
    <w:rsid w:val="00F368DB"/>
    <w:rsid w:val="00F407C7"/>
    <w:rsid w:val="00F43481"/>
    <w:rsid w:val="00F45B38"/>
    <w:rsid w:val="00F45FA1"/>
    <w:rsid w:val="00F46AEF"/>
    <w:rsid w:val="00F47798"/>
    <w:rsid w:val="00F47A82"/>
    <w:rsid w:val="00F47BEA"/>
    <w:rsid w:val="00F50232"/>
    <w:rsid w:val="00F50234"/>
    <w:rsid w:val="00F51578"/>
    <w:rsid w:val="00F541B0"/>
    <w:rsid w:val="00F549F3"/>
    <w:rsid w:val="00F55807"/>
    <w:rsid w:val="00F55B0D"/>
    <w:rsid w:val="00F56465"/>
    <w:rsid w:val="00F5754A"/>
    <w:rsid w:val="00F57856"/>
    <w:rsid w:val="00F61A3F"/>
    <w:rsid w:val="00F630F0"/>
    <w:rsid w:val="00F638AF"/>
    <w:rsid w:val="00F64C12"/>
    <w:rsid w:val="00F652D0"/>
    <w:rsid w:val="00F65D85"/>
    <w:rsid w:val="00F671E8"/>
    <w:rsid w:val="00F71C33"/>
    <w:rsid w:val="00F73A37"/>
    <w:rsid w:val="00F73E81"/>
    <w:rsid w:val="00F740DB"/>
    <w:rsid w:val="00F741AA"/>
    <w:rsid w:val="00F74E0C"/>
    <w:rsid w:val="00F76FC9"/>
    <w:rsid w:val="00F77904"/>
    <w:rsid w:val="00F806B5"/>
    <w:rsid w:val="00F81CCB"/>
    <w:rsid w:val="00F81E6B"/>
    <w:rsid w:val="00F82841"/>
    <w:rsid w:val="00F87012"/>
    <w:rsid w:val="00F879C1"/>
    <w:rsid w:val="00F902E5"/>
    <w:rsid w:val="00F91353"/>
    <w:rsid w:val="00F9197E"/>
    <w:rsid w:val="00F92955"/>
    <w:rsid w:val="00F933B5"/>
    <w:rsid w:val="00F93C38"/>
    <w:rsid w:val="00F94A0F"/>
    <w:rsid w:val="00F96D87"/>
    <w:rsid w:val="00FA0A2C"/>
    <w:rsid w:val="00FA14CA"/>
    <w:rsid w:val="00FA2402"/>
    <w:rsid w:val="00FA2C01"/>
    <w:rsid w:val="00FA40AB"/>
    <w:rsid w:val="00FA410F"/>
    <w:rsid w:val="00FA4366"/>
    <w:rsid w:val="00FA7E3B"/>
    <w:rsid w:val="00FB2700"/>
    <w:rsid w:val="00FB497A"/>
    <w:rsid w:val="00FB5BB8"/>
    <w:rsid w:val="00FB7939"/>
    <w:rsid w:val="00FC2D9B"/>
    <w:rsid w:val="00FC3871"/>
    <w:rsid w:val="00FC6F2A"/>
    <w:rsid w:val="00FD101F"/>
    <w:rsid w:val="00FD17AF"/>
    <w:rsid w:val="00FD19C5"/>
    <w:rsid w:val="00FD4D63"/>
    <w:rsid w:val="00FD53C6"/>
    <w:rsid w:val="00FD7166"/>
    <w:rsid w:val="00FE0996"/>
    <w:rsid w:val="00FE3203"/>
    <w:rsid w:val="00FE4308"/>
    <w:rsid w:val="00FE43EB"/>
    <w:rsid w:val="00FE4735"/>
    <w:rsid w:val="00FE4AE9"/>
    <w:rsid w:val="00FE59C8"/>
    <w:rsid w:val="00FE5B96"/>
    <w:rsid w:val="00FE74C9"/>
    <w:rsid w:val="00FF0661"/>
    <w:rsid w:val="00FF1BE0"/>
    <w:rsid w:val="00FF1DF5"/>
    <w:rsid w:val="00FF280A"/>
    <w:rsid w:val="00FF4330"/>
    <w:rsid w:val="00FF4FC1"/>
    <w:rsid w:val="00FF5453"/>
    <w:rsid w:val="00FF5BA0"/>
    <w:rsid w:val="00FF63C4"/>
    <w:rsid w:val="00FF6FA9"/>
    <w:rsid w:val="00FF71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line="240" w:lineRule="exact"/>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338"/>
    <w:pPr>
      <w:widowControl w:val="0"/>
      <w:tabs>
        <w:tab w:val="left" w:pos="1080"/>
        <w:tab w:val="left" w:pos="1440"/>
        <w:tab w:val="left" w:pos="1800"/>
        <w:tab w:val="left" w:pos="2160"/>
      </w:tabs>
    </w:pPr>
    <w:rPr>
      <w:rFonts w:ascii="Arial" w:hAnsi="Arial"/>
      <w:sz w:val="18"/>
    </w:rPr>
  </w:style>
  <w:style w:type="paragraph" w:styleId="Heading1">
    <w:name w:val="heading 1"/>
    <w:aliases w:val="GHman Title 1"/>
    <w:basedOn w:val="Normal"/>
    <w:next w:val="Normal"/>
    <w:link w:val="Heading1Char"/>
    <w:uiPriority w:val="9"/>
    <w:qFormat/>
    <w:rsid w:val="007C04CB"/>
    <w:pPr>
      <w:keepNext/>
      <w:widowControl/>
      <w:tabs>
        <w:tab w:val="clear" w:pos="1080"/>
        <w:tab w:val="clear" w:pos="1440"/>
        <w:tab w:val="clear" w:pos="1800"/>
        <w:tab w:val="clear" w:pos="2160"/>
      </w:tabs>
      <w:spacing w:line="240" w:lineRule="auto"/>
      <w:jc w:val="left"/>
      <w:outlineLvl w:val="0"/>
    </w:pPr>
    <w:rPr>
      <w:rFonts w:eastAsia="Times New Roman"/>
      <w:b/>
      <w:sz w:val="28"/>
      <w:lang w:eastAsia="en-US"/>
    </w:rPr>
  </w:style>
  <w:style w:type="paragraph" w:styleId="Heading2">
    <w:name w:val="heading 2"/>
    <w:aliases w:val="h2"/>
    <w:basedOn w:val="Normal"/>
    <w:next w:val="Normal"/>
    <w:link w:val="Heading2Char"/>
    <w:uiPriority w:val="9"/>
    <w:qFormat/>
    <w:rsid w:val="007C04CB"/>
    <w:pPr>
      <w:keepNext/>
      <w:widowControl/>
      <w:tabs>
        <w:tab w:val="clear" w:pos="1080"/>
        <w:tab w:val="clear" w:pos="1440"/>
        <w:tab w:val="clear" w:pos="1800"/>
        <w:tab w:val="clear" w:pos="2160"/>
      </w:tabs>
      <w:spacing w:before="240" w:after="60" w:line="240" w:lineRule="auto"/>
      <w:jc w:val="left"/>
      <w:outlineLvl w:val="1"/>
    </w:pPr>
    <w:rPr>
      <w:rFonts w:eastAsia="Times New Roman" w:cs="Arial"/>
      <w:b/>
      <w:bCs/>
      <w:i/>
      <w:iCs/>
      <w:sz w:val="28"/>
      <w:szCs w:val="28"/>
      <w:lang w:eastAsia="en-GB"/>
    </w:rPr>
  </w:style>
  <w:style w:type="paragraph" w:styleId="Heading3">
    <w:name w:val="heading 3"/>
    <w:basedOn w:val="Normal"/>
    <w:link w:val="Heading3Char"/>
    <w:uiPriority w:val="99"/>
    <w:semiHidden/>
    <w:qFormat/>
    <w:rsid w:val="007C04CB"/>
    <w:pPr>
      <w:widowControl/>
      <w:tabs>
        <w:tab w:val="clear" w:pos="1080"/>
        <w:tab w:val="clear" w:pos="1440"/>
        <w:tab w:val="clear" w:pos="1800"/>
        <w:tab w:val="clear" w:pos="2160"/>
      </w:tabs>
      <w:spacing w:before="100" w:beforeAutospacing="1" w:after="100" w:afterAutospacing="1" w:line="240" w:lineRule="auto"/>
      <w:jc w:val="left"/>
      <w:outlineLvl w:val="2"/>
    </w:pPr>
    <w:rPr>
      <w:rFonts w:eastAsia="Times New Roman"/>
      <w:b/>
      <w:bCs/>
      <w:sz w:val="27"/>
      <w:szCs w:val="27"/>
      <w:lang w:eastAsia="en-GB"/>
    </w:rPr>
  </w:style>
  <w:style w:type="paragraph" w:styleId="Heading4">
    <w:name w:val="heading 4"/>
    <w:basedOn w:val="Normal"/>
    <w:link w:val="Heading4Char"/>
    <w:uiPriority w:val="99"/>
    <w:semiHidden/>
    <w:qFormat/>
    <w:rsid w:val="007C04CB"/>
    <w:pPr>
      <w:widowControl/>
      <w:tabs>
        <w:tab w:val="clear" w:pos="1080"/>
        <w:tab w:val="clear" w:pos="1440"/>
        <w:tab w:val="clear" w:pos="1800"/>
        <w:tab w:val="clear" w:pos="2160"/>
      </w:tabs>
      <w:spacing w:before="100" w:beforeAutospacing="1" w:after="100" w:afterAutospacing="1" w:line="240" w:lineRule="auto"/>
      <w:jc w:val="left"/>
      <w:outlineLvl w:val="3"/>
    </w:pPr>
    <w:rPr>
      <w:rFonts w:eastAsia="Times New Roman"/>
      <w:b/>
      <w:bCs/>
      <w:sz w:val="20"/>
      <w:szCs w:val="24"/>
      <w:lang w:eastAsia="en-GB"/>
    </w:rPr>
  </w:style>
  <w:style w:type="paragraph" w:styleId="Heading5">
    <w:name w:val="heading 5"/>
    <w:basedOn w:val="Normal"/>
    <w:next w:val="Normal"/>
    <w:link w:val="Heading5Char"/>
    <w:uiPriority w:val="99"/>
    <w:semiHidden/>
    <w:qFormat/>
    <w:rsid w:val="007C04CB"/>
    <w:pPr>
      <w:widowControl/>
      <w:tabs>
        <w:tab w:val="clear" w:pos="1080"/>
        <w:tab w:val="clear" w:pos="1440"/>
        <w:tab w:val="clear" w:pos="1800"/>
        <w:tab w:val="clear" w:pos="2160"/>
      </w:tabs>
      <w:spacing w:before="240" w:after="60" w:line="24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uiPriority w:val="99"/>
    <w:semiHidden/>
    <w:qFormat/>
    <w:rsid w:val="007C04CB"/>
    <w:pPr>
      <w:keepNext/>
      <w:widowControl/>
      <w:tabs>
        <w:tab w:val="clear" w:pos="1440"/>
        <w:tab w:val="clear" w:pos="1800"/>
        <w:tab w:val="clear" w:pos="2160"/>
      </w:tabs>
      <w:spacing w:line="240" w:lineRule="auto"/>
      <w:jc w:val="left"/>
      <w:outlineLvl w:val="5"/>
    </w:pPr>
    <w:rPr>
      <w:rFonts w:eastAsia="Times New Roman"/>
      <w:b/>
      <w:bCs/>
      <w:sz w:val="22"/>
      <w:szCs w:val="22"/>
      <w:lang w:eastAsia="en-US"/>
    </w:rPr>
  </w:style>
  <w:style w:type="paragraph" w:styleId="Heading7">
    <w:name w:val="heading 7"/>
    <w:basedOn w:val="Normal"/>
    <w:next w:val="Normal"/>
    <w:link w:val="Heading7Char"/>
    <w:uiPriority w:val="99"/>
    <w:semiHidden/>
    <w:qFormat/>
    <w:rsid w:val="007C04CB"/>
    <w:pPr>
      <w:widowControl/>
      <w:tabs>
        <w:tab w:val="clear" w:pos="1080"/>
        <w:tab w:val="clear" w:pos="1440"/>
        <w:tab w:val="clear" w:pos="1800"/>
        <w:tab w:val="clear" w:pos="2160"/>
      </w:tabs>
      <w:spacing w:before="240" w:after="60" w:line="240" w:lineRule="auto"/>
      <w:jc w:val="left"/>
      <w:outlineLvl w:val="6"/>
    </w:pPr>
    <w:rPr>
      <w:rFonts w:eastAsia="Times New Roman"/>
      <w:sz w:val="20"/>
      <w:szCs w:val="24"/>
      <w:lang w:eastAsia="en-GB"/>
    </w:rPr>
  </w:style>
  <w:style w:type="paragraph" w:styleId="Heading8">
    <w:name w:val="heading 8"/>
    <w:basedOn w:val="Normal"/>
    <w:next w:val="Normal"/>
    <w:link w:val="Heading8Char"/>
    <w:uiPriority w:val="99"/>
    <w:semiHidden/>
    <w:qFormat/>
    <w:rsid w:val="007C04CB"/>
    <w:pPr>
      <w:widowControl/>
      <w:tabs>
        <w:tab w:val="clear" w:pos="1080"/>
        <w:tab w:val="clear" w:pos="1440"/>
        <w:tab w:val="clear" w:pos="1800"/>
        <w:tab w:val="clear" w:pos="2160"/>
      </w:tabs>
      <w:spacing w:before="240" w:after="60" w:line="240" w:lineRule="auto"/>
      <w:jc w:val="left"/>
      <w:outlineLvl w:val="7"/>
    </w:pPr>
    <w:rPr>
      <w:rFonts w:eastAsia="Times New Roman"/>
      <w:i/>
      <w:iCs/>
      <w:sz w:val="20"/>
      <w:szCs w:val="24"/>
      <w:lang w:eastAsia="en-GB"/>
    </w:rPr>
  </w:style>
  <w:style w:type="paragraph" w:styleId="Heading9">
    <w:name w:val="heading 9"/>
    <w:basedOn w:val="Normal"/>
    <w:next w:val="Normal"/>
    <w:link w:val="Heading9Char"/>
    <w:uiPriority w:val="99"/>
    <w:semiHidden/>
    <w:qFormat/>
    <w:rsid w:val="007C04CB"/>
    <w:pPr>
      <w:widowControl/>
      <w:tabs>
        <w:tab w:val="clear" w:pos="1080"/>
        <w:tab w:val="clear" w:pos="1440"/>
        <w:tab w:val="clear" w:pos="1800"/>
        <w:tab w:val="clear" w:pos="2160"/>
      </w:tabs>
      <w:spacing w:before="240" w:after="60" w:line="240" w:lineRule="auto"/>
      <w:jc w:val="left"/>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entered">
    <w:name w:val="Bold Centered"/>
    <w:basedOn w:val="Normal"/>
    <w:rsid w:val="00192F5C"/>
    <w:pPr>
      <w:jc w:val="center"/>
    </w:pPr>
    <w:rPr>
      <w:b/>
    </w:rPr>
  </w:style>
  <w:style w:type="paragraph" w:customStyle="1" w:styleId="BOLDCAPSCENTERED">
    <w:name w:val="BOLD CAPS CENTERED"/>
    <w:basedOn w:val="BoldCentered"/>
    <w:rsid w:val="00192F5C"/>
    <w:rPr>
      <w:caps/>
    </w:rPr>
  </w:style>
  <w:style w:type="paragraph" w:customStyle="1" w:styleId="Chapter">
    <w:name w:val="Chapter"/>
    <w:rsid w:val="0001297F"/>
    <w:pPr>
      <w:widowControl w:val="0"/>
      <w:spacing w:line="360" w:lineRule="exact"/>
      <w:jc w:val="center"/>
    </w:pPr>
    <w:rPr>
      <w:rFonts w:ascii="Arial" w:hAnsi="Arial" w:cs="Times New Roman Bold"/>
      <w:b/>
      <w:sz w:val="28"/>
      <w:szCs w:val="24"/>
      <w:lang w:eastAsia="en-US"/>
    </w:rPr>
  </w:style>
  <w:style w:type="paragraph" w:styleId="Footer">
    <w:name w:val="footer"/>
    <w:link w:val="FooterChar"/>
    <w:uiPriority w:val="99"/>
    <w:rsid w:val="0001297F"/>
    <w:pPr>
      <w:widowControl w:val="0"/>
      <w:tabs>
        <w:tab w:val="center" w:pos="4800"/>
        <w:tab w:val="right" w:pos="9600"/>
      </w:tabs>
      <w:jc w:val="left"/>
    </w:pPr>
    <w:rPr>
      <w:rFonts w:ascii="Arial" w:hAnsi="Arial" w:cs="Times New Roman Italic"/>
      <w:i/>
      <w:sz w:val="18"/>
    </w:rPr>
  </w:style>
  <w:style w:type="paragraph" w:customStyle="1" w:styleId="Footnote">
    <w:name w:val="Footnote"/>
    <w:basedOn w:val="Normal"/>
    <w:rsid w:val="00192F5C"/>
    <w:pPr>
      <w:tabs>
        <w:tab w:val="left" w:pos="360"/>
      </w:tabs>
      <w:spacing w:line="200" w:lineRule="exact"/>
      <w:ind w:left="360" w:hanging="360"/>
    </w:pPr>
    <w:rPr>
      <w:sz w:val="16"/>
    </w:rPr>
  </w:style>
  <w:style w:type="paragraph" w:styleId="Header">
    <w:name w:val="header"/>
    <w:link w:val="HeaderChar"/>
    <w:rsid w:val="00646EEE"/>
    <w:pPr>
      <w:widowControl w:val="0"/>
      <w:tabs>
        <w:tab w:val="right" w:pos="9600"/>
      </w:tabs>
    </w:pPr>
    <w:rPr>
      <w:rFonts w:ascii="Arial" w:hAnsi="Arial"/>
      <w:i/>
      <w:sz w:val="18"/>
    </w:rPr>
  </w:style>
  <w:style w:type="paragraph" w:customStyle="1" w:styleId="Indent-1">
    <w:name w:val="Indent-1)"/>
    <w:basedOn w:val="Normal"/>
    <w:rsid w:val="0001297F"/>
    <w:pPr>
      <w:ind w:left="1800" w:hanging="1800"/>
    </w:pPr>
    <w:rPr>
      <w:lang w:eastAsia="en-US"/>
    </w:rPr>
  </w:style>
  <w:style w:type="paragraph" w:customStyle="1" w:styleId="Indent-a">
    <w:name w:val="Indent-a)"/>
    <w:basedOn w:val="Normal"/>
    <w:rsid w:val="00C10EEE"/>
    <w:pPr>
      <w:ind w:left="1440" w:hanging="1440"/>
    </w:pPr>
    <w:rPr>
      <w:lang w:eastAsia="en-US"/>
    </w:rPr>
  </w:style>
  <w:style w:type="paragraph" w:customStyle="1" w:styleId="Indent-i">
    <w:name w:val="Indent-i)"/>
    <w:basedOn w:val="Normal"/>
    <w:rsid w:val="00192F5C"/>
    <w:pPr>
      <w:ind w:left="2160" w:hanging="2160"/>
    </w:pPr>
  </w:style>
  <w:style w:type="table" w:styleId="TableGrid">
    <w:name w:val="Table Grid"/>
    <w:basedOn w:val="TableNormal"/>
    <w:uiPriority w:val="39"/>
    <w:rsid w:val="0017079C"/>
    <w:pPr>
      <w:widowControl w:val="0"/>
      <w:tabs>
        <w:tab w:val="left" w:pos="1080"/>
        <w:tab w:val="left" w:pos="1440"/>
        <w:tab w:val="left" w:pos="1800"/>
        <w:tab w:val="left" w:pos="2160"/>
      </w:tabs>
    </w:p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character" w:customStyle="1" w:styleId="Heading1Char">
    <w:name w:val="Heading 1 Char"/>
    <w:aliases w:val="GHman Title 1 Char"/>
    <w:basedOn w:val="DefaultParagraphFont"/>
    <w:link w:val="Heading1"/>
    <w:uiPriority w:val="9"/>
    <w:semiHidden/>
    <w:rsid w:val="00C12505"/>
    <w:rPr>
      <w:rFonts w:ascii="Arial" w:eastAsia="Times New Roman" w:hAnsi="Arial"/>
      <w:b/>
      <w:sz w:val="28"/>
      <w:lang w:eastAsia="en-US"/>
    </w:rPr>
  </w:style>
  <w:style w:type="character" w:customStyle="1" w:styleId="Heading2Char">
    <w:name w:val="Heading 2 Char"/>
    <w:aliases w:val="h2 Char"/>
    <w:basedOn w:val="DefaultParagraphFont"/>
    <w:link w:val="Heading2"/>
    <w:uiPriority w:val="9"/>
    <w:semiHidden/>
    <w:rsid w:val="00C12505"/>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semiHidden/>
    <w:rsid w:val="00CE35FA"/>
    <w:rPr>
      <w:rFonts w:ascii="Arial" w:eastAsia="Times New Roman" w:hAnsi="Arial"/>
      <w:b/>
      <w:bCs/>
      <w:sz w:val="27"/>
      <w:szCs w:val="27"/>
      <w:lang w:eastAsia="en-GB"/>
    </w:rPr>
  </w:style>
  <w:style w:type="character" w:customStyle="1" w:styleId="Heading4Char">
    <w:name w:val="Heading 4 Char"/>
    <w:basedOn w:val="DefaultParagraphFont"/>
    <w:link w:val="Heading4"/>
    <w:uiPriority w:val="99"/>
    <w:semiHidden/>
    <w:rsid w:val="00CE35FA"/>
    <w:rPr>
      <w:rFonts w:ascii="Arial" w:eastAsia="Times New Roman" w:hAnsi="Arial"/>
      <w:b/>
      <w:bCs/>
      <w:szCs w:val="24"/>
      <w:lang w:eastAsia="en-GB"/>
    </w:rPr>
  </w:style>
  <w:style w:type="character" w:customStyle="1" w:styleId="Heading5Char">
    <w:name w:val="Heading 5 Char"/>
    <w:basedOn w:val="DefaultParagraphFont"/>
    <w:link w:val="Heading5"/>
    <w:uiPriority w:val="99"/>
    <w:semiHidden/>
    <w:rsid w:val="00CE35FA"/>
    <w:rPr>
      <w:rFonts w:ascii="Arial" w:eastAsia="Times New Roman" w:hAnsi="Arial"/>
      <w:b/>
      <w:bCs/>
      <w:i/>
      <w:iCs/>
      <w:sz w:val="26"/>
      <w:szCs w:val="26"/>
      <w:lang w:eastAsia="en-GB"/>
    </w:rPr>
  </w:style>
  <w:style w:type="character" w:customStyle="1" w:styleId="Heading6Char">
    <w:name w:val="Heading 6 Char"/>
    <w:basedOn w:val="DefaultParagraphFont"/>
    <w:link w:val="Heading6"/>
    <w:uiPriority w:val="99"/>
    <w:semiHidden/>
    <w:rsid w:val="00CE35FA"/>
    <w:rPr>
      <w:rFonts w:ascii="Arial" w:eastAsia="Times New Roman" w:hAnsi="Arial"/>
      <w:b/>
      <w:bCs/>
      <w:sz w:val="22"/>
      <w:szCs w:val="22"/>
      <w:lang w:eastAsia="en-US"/>
    </w:rPr>
  </w:style>
  <w:style w:type="character" w:customStyle="1" w:styleId="Heading7Char">
    <w:name w:val="Heading 7 Char"/>
    <w:basedOn w:val="DefaultParagraphFont"/>
    <w:link w:val="Heading7"/>
    <w:uiPriority w:val="99"/>
    <w:semiHidden/>
    <w:rsid w:val="00CE35FA"/>
    <w:rPr>
      <w:rFonts w:ascii="Arial" w:eastAsia="Times New Roman" w:hAnsi="Arial"/>
      <w:szCs w:val="24"/>
      <w:lang w:eastAsia="en-GB"/>
    </w:rPr>
  </w:style>
  <w:style w:type="character" w:customStyle="1" w:styleId="Heading8Char">
    <w:name w:val="Heading 8 Char"/>
    <w:basedOn w:val="DefaultParagraphFont"/>
    <w:link w:val="Heading8"/>
    <w:uiPriority w:val="99"/>
    <w:semiHidden/>
    <w:rsid w:val="00CE35FA"/>
    <w:rPr>
      <w:rFonts w:ascii="Arial" w:eastAsia="Times New Roman" w:hAnsi="Arial"/>
      <w:i/>
      <w:iCs/>
      <w:szCs w:val="24"/>
      <w:lang w:eastAsia="en-GB"/>
    </w:rPr>
  </w:style>
  <w:style w:type="character" w:customStyle="1" w:styleId="Heading9Char">
    <w:name w:val="Heading 9 Char"/>
    <w:basedOn w:val="DefaultParagraphFont"/>
    <w:link w:val="Heading9"/>
    <w:uiPriority w:val="99"/>
    <w:semiHidden/>
    <w:rsid w:val="00CE35FA"/>
    <w:rPr>
      <w:rFonts w:ascii="Arial" w:eastAsia="Times New Roman" w:hAnsi="Arial" w:cs="Arial"/>
      <w:sz w:val="22"/>
      <w:szCs w:val="22"/>
      <w:lang w:eastAsia="en-GB"/>
    </w:rPr>
  </w:style>
  <w:style w:type="paragraph" w:styleId="Revision">
    <w:name w:val="Revision"/>
    <w:hidden/>
    <w:uiPriority w:val="99"/>
    <w:semiHidden/>
    <w:rsid w:val="007C04CB"/>
    <w:pPr>
      <w:spacing w:line="240" w:lineRule="auto"/>
      <w:jc w:val="left"/>
    </w:pPr>
    <w:rPr>
      <w:rFonts w:ascii="Arial" w:eastAsia="Times New Roman" w:hAnsi="Arial" w:cs="Arial"/>
      <w:spacing w:val="-10"/>
      <w:kern w:val="24"/>
      <w:sz w:val="24"/>
      <w:szCs w:val="24"/>
      <w:lang w:val="en-CA" w:eastAsia="en-US"/>
    </w:rPr>
  </w:style>
  <w:style w:type="paragraph" w:customStyle="1" w:styleId="Equations">
    <w:name w:val="Equations"/>
    <w:basedOn w:val="Normal"/>
    <w:rsid w:val="00192F5C"/>
    <w:pPr>
      <w:spacing w:line="240" w:lineRule="auto"/>
      <w:jc w:val="center"/>
    </w:pPr>
  </w:style>
  <w:style w:type="character" w:styleId="Hyperlink">
    <w:name w:val="Hyperlink"/>
    <w:basedOn w:val="DefaultParagraphFont"/>
    <w:uiPriority w:val="99"/>
    <w:rsid w:val="00CE35FA"/>
    <w:rPr>
      <w:color w:val="0000FF" w:themeColor="hyperlink"/>
      <w:u w:val="single"/>
    </w:rPr>
  </w:style>
  <w:style w:type="paragraph" w:styleId="BalloonText">
    <w:name w:val="Balloon Text"/>
    <w:basedOn w:val="Normal"/>
    <w:link w:val="BalloonTextChar"/>
    <w:rsid w:val="0033054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30540"/>
    <w:rPr>
      <w:rFonts w:ascii="Tahoma" w:hAnsi="Tahoma" w:cs="Tahoma"/>
      <w:sz w:val="16"/>
      <w:szCs w:val="16"/>
    </w:rPr>
  </w:style>
  <w:style w:type="character" w:customStyle="1" w:styleId="HeaderChar">
    <w:name w:val="Header Char"/>
    <w:basedOn w:val="DefaultParagraphFont"/>
    <w:link w:val="Header"/>
    <w:locked/>
    <w:rsid w:val="008A34A9"/>
    <w:rPr>
      <w:rFonts w:ascii="Arial" w:hAnsi="Arial"/>
      <w:i/>
      <w:sz w:val="18"/>
    </w:rPr>
  </w:style>
  <w:style w:type="character" w:customStyle="1" w:styleId="FooterChar">
    <w:name w:val="Footer Char"/>
    <w:basedOn w:val="DefaultParagraphFont"/>
    <w:link w:val="Footer"/>
    <w:uiPriority w:val="99"/>
    <w:locked/>
    <w:rsid w:val="008A34A9"/>
    <w:rPr>
      <w:rFonts w:ascii="Arial" w:hAnsi="Arial" w:cs="Times New Roman Italic"/>
      <w:i/>
      <w:sz w:val="18"/>
    </w:rPr>
  </w:style>
  <w:style w:type="character" w:styleId="CommentReference">
    <w:name w:val="annotation reference"/>
    <w:basedOn w:val="DefaultParagraphFont"/>
    <w:rsid w:val="00E304E1"/>
    <w:rPr>
      <w:sz w:val="16"/>
      <w:szCs w:val="16"/>
    </w:rPr>
  </w:style>
  <w:style w:type="paragraph" w:styleId="CommentText">
    <w:name w:val="annotation text"/>
    <w:basedOn w:val="Normal"/>
    <w:link w:val="CommentTextChar"/>
    <w:rsid w:val="00E304E1"/>
    <w:pPr>
      <w:spacing w:line="240" w:lineRule="auto"/>
    </w:pPr>
    <w:rPr>
      <w:sz w:val="20"/>
    </w:rPr>
  </w:style>
  <w:style w:type="character" w:customStyle="1" w:styleId="CommentTextChar">
    <w:name w:val="Comment Text Char"/>
    <w:basedOn w:val="DefaultParagraphFont"/>
    <w:link w:val="CommentText"/>
    <w:rsid w:val="00E304E1"/>
    <w:rPr>
      <w:rFonts w:ascii="Arial" w:hAnsi="Arial"/>
    </w:rPr>
  </w:style>
  <w:style w:type="paragraph" w:styleId="CommentSubject">
    <w:name w:val="annotation subject"/>
    <w:basedOn w:val="CommentText"/>
    <w:next w:val="CommentText"/>
    <w:link w:val="CommentSubjectChar"/>
    <w:rsid w:val="00E304E1"/>
    <w:rPr>
      <w:b/>
      <w:bCs/>
    </w:rPr>
  </w:style>
  <w:style w:type="character" w:customStyle="1" w:styleId="CommentSubjectChar">
    <w:name w:val="Comment Subject Char"/>
    <w:basedOn w:val="CommentTextChar"/>
    <w:link w:val="CommentSubject"/>
    <w:rsid w:val="00E304E1"/>
    <w:rPr>
      <w:rFonts w:ascii="Arial" w:hAnsi="Arial"/>
      <w:b/>
      <w:bCs/>
    </w:rPr>
  </w:style>
  <w:style w:type="paragraph" w:styleId="ListParagraph">
    <w:name w:val="List Paragraph"/>
    <w:basedOn w:val="Normal"/>
    <w:uiPriority w:val="34"/>
    <w:qFormat/>
    <w:rsid w:val="00577E80"/>
    <w:pPr>
      <w:ind w:left="720"/>
      <w:contextualSpacing/>
    </w:pPr>
  </w:style>
  <w:style w:type="paragraph" w:styleId="Date">
    <w:name w:val="Date"/>
    <w:basedOn w:val="Normal"/>
    <w:next w:val="Normal"/>
    <w:link w:val="DateChar"/>
    <w:rsid w:val="00B07406"/>
  </w:style>
  <w:style w:type="character" w:customStyle="1" w:styleId="DateChar">
    <w:name w:val="Date Char"/>
    <w:basedOn w:val="DefaultParagraphFont"/>
    <w:link w:val="Date"/>
    <w:rsid w:val="00B07406"/>
    <w:rPr>
      <w:rFonts w:ascii="Arial" w:hAnsi="Arial"/>
      <w:sz w:val="18"/>
    </w:rPr>
  </w:style>
  <w:style w:type="table" w:customStyle="1" w:styleId="TableGrid1">
    <w:name w:val="Table Grid1"/>
    <w:basedOn w:val="TableNormal"/>
    <w:next w:val="TableGrid"/>
    <w:uiPriority w:val="39"/>
    <w:rsid w:val="0068572F"/>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rot">
    <w:name w:val="Normal numéroté"/>
    <w:basedOn w:val="Normal"/>
    <w:qFormat/>
    <w:rsid w:val="00562996"/>
    <w:pPr>
      <w:widowControl/>
      <w:tabs>
        <w:tab w:val="clear" w:pos="1080"/>
        <w:tab w:val="clear" w:pos="1800"/>
        <w:tab w:val="clear" w:pos="2160"/>
        <w:tab w:val="num" w:pos="1440"/>
      </w:tabs>
      <w:spacing w:after="200" w:line="276" w:lineRule="auto"/>
    </w:pPr>
    <w:rPr>
      <w:rFonts w:asciiTheme="minorHAnsi" w:eastAsiaTheme="minorHAnsi" w:hAnsiTheme="minorHAnsi" w:cstheme="minorBidi"/>
      <w:sz w:val="20"/>
      <w:szCs w:val="22"/>
      <w:lang w:eastAsia="en-US"/>
    </w:rPr>
  </w:style>
  <w:style w:type="paragraph" w:customStyle="1" w:styleId="Appendixtitle1">
    <w:name w:val="Appendix title 1"/>
    <w:basedOn w:val="Normal"/>
    <w:next w:val="Normal"/>
    <w:qFormat/>
    <w:rsid w:val="00562996"/>
    <w:pPr>
      <w:keepNext/>
      <w:keepLines/>
      <w:pageBreakBefore/>
      <w:widowControl/>
      <w:tabs>
        <w:tab w:val="clear" w:pos="1080"/>
        <w:tab w:val="clear" w:pos="1440"/>
        <w:tab w:val="clear" w:pos="1800"/>
        <w:tab w:val="clear" w:pos="2160"/>
      </w:tabs>
      <w:spacing w:before="480" w:after="360" w:line="276" w:lineRule="auto"/>
      <w:jc w:val="center"/>
      <w:outlineLvl w:val="0"/>
    </w:pPr>
    <w:rPr>
      <w:rFonts w:asciiTheme="majorHAnsi" w:eastAsiaTheme="minorHAnsi" w:hAnsiTheme="majorHAnsi" w:cstheme="minorBidi"/>
      <w:b/>
      <w:caps/>
      <w:sz w:val="28"/>
      <w:szCs w:val="22"/>
      <w:lang w:eastAsia="en-US"/>
    </w:rPr>
  </w:style>
  <w:style w:type="paragraph" w:customStyle="1" w:styleId="Normalnuma">
    <w:name w:val="Normal num a"/>
    <w:basedOn w:val="Normalnumrot"/>
    <w:qFormat/>
    <w:rsid w:val="00562996"/>
    <w:pPr>
      <w:tabs>
        <w:tab w:val="clear" w:pos="1440"/>
      </w:tabs>
      <w:ind w:left="1800" w:hanging="360"/>
    </w:pPr>
  </w:style>
  <w:style w:type="paragraph" w:customStyle="1" w:styleId="Appendixtitle2">
    <w:name w:val="Appendix title 2"/>
    <w:basedOn w:val="Normal"/>
    <w:next w:val="Normal"/>
    <w:link w:val="Appendixtitle2Car"/>
    <w:qFormat/>
    <w:rsid w:val="00562996"/>
    <w:pPr>
      <w:widowControl/>
      <w:tabs>
        <w:tab w:val="clear" w:pos="1080"/>
        <w:tab w:val="clear" w:pos="1440"/>
        <w:tab w:val="clear" w:pos="1800"/>
        <w:tab w:val="clear" w:pos="2160"/>
        <w:tab w:val="num" w:pos="227"/>
      </w:tabs>
      <w:spacing w:before="600" w:after="120" w:line="276" w:lineRule="auto"/>
      <w:jc w:val="center"/>
      <w:outlineLvl w:val="1"/>
    </w:pPr>
    <w:rPr>
      <w:rFonts w:asciiTheme="majorHAnsi" w:eastAsiaTheme="minorHAnsi" w:hAnsiTheme="majorHAnsi" w:cstheme="minorBidi"/>
      <w:b/>
      <w:sz w:val="22"/>
      <w:szCs w:val="22"/>
      <w:lang w:eastAsia="en-US"/>
    </w:rPr>
  </w:style>
  <w:style w:type="paragraph" w:customStyle="1" w:styleId="Normalnum1">
    <w:name w:val="Normal num 1"/>
    <w:basedOn w:val="Normalnumrot"/>
    <w:qFormat/>
    <w:rsid w:val="00562996"/>
    <w:pPr>
      <w:tabs>
        <w:tab w:val="clear" w:pos="1440"/>
      </w:tabs>
      <w:ind w:left="2160" w:hanging="360"/>
    </w:pPr>
  </w:style>
  <w:style w:type="paragraph" w:customStyle="1" w:styleId="Note">
    <w:name w:val="Note"/>
    <w:basedOn w:val="Normal"/>
    <w:link w:val="NoteCar"/>
    <w:qFormat/>
    <w:rsid w:val="00562996"/>
    <w:pPr>
      <w:widowControl/>
      <w:tabs>
        <w:tab w:val="clear" w:pos="1080"/>
        <w:tab w:val="clear" w:pos="1440"/>
        <w:tab w:val="clear" w:pos="1800"/>
        <w:tab w:val="clear" w:pos="2160"/>
      </w:tabs>
      <w:spacing w:after="200" w:line="276" w:lineRule="auto"/>
      <w:ind w:left="3289" w:firstLine="680"/>
    </w:pPr>
    <w:rPr>
      <w:rFonts w:asciiTheme="minorHAnsi" w:eastAsiaTheme="minorHAnsi" w:hAnsiTheme="minorHAnsi" w:cstheme="minorBidi"/>
      <w:i/>
      <w:sz w:val="20"/>
      <w:szCs w:val="22"/>
      <w:lang w:eastAsia="en-US"/>
    </w:rPr>
  </w:style>
  <w:style w:type="character" w:customStyle="1" w:styleId="NoteCar">
    <w:name w:val="Note Car"/>
    <w:basedOn w:val="DefaultParagraphFont"/>
    <w:link w:val="Note"/>
    <w:rsid w:val="00562996"/>
    <w:rPr>
      <w:rFonts w:asciiTheme="minorHAnsi" w:eastAsiaTheme="minorHAnsi" w:hAnsiTheme="minorHAnsi" w:cstheme="minorBidi"/>
      <w:i/>
      <w:szCs w:val="22"/>
      <w:lang w:eastAsia="en-US"/>
    </w:rPr>
  </w:style>
  <w:style w:type="numbering" w:customStyle="1" w:styleId="ICAOdocdraft">
    <w:name w:val="ICAOdocdraft"/>
    <w:uiPriority w:val="99"/>
    <w:rsid w:val="00562996"/>
    <w:pPr>
      <w:numPr>
        <w:numId w:val="5"/>
      </w:numPr>
    </w:pPr>
  </w:style>
  <w:style w:type="paragraph" w:styleId="FootnoteText">
    <w:name w:val="footnote text"/>
    <w:basedOn w:val="Normal"/>
    <w:link w:val="FootnoteTextChar"/>
    <w:uiPriority w:val="99"/>
    <w:qFormat/>
    <w:rsid w:val="00CE0792"/>
    <w:pPr>
      <w:spacing w:line="240" w:lineRule="auto"/>
    </w:pPr>
    <w:rPr>
      <w:sz w:val="20"/>
    </w:rPr>
  </w:style>
  <w:style w:type="character" w:customStyle="1" w:styleId="FootnoteTextChar">
    <w:name w:val="Footnote Text Char"/>
    <w:basedOn w:val="DefaultParagraphFont"/>
    <w:link w:val="FootnoteText"/>
    <w:uiPriority w:val="99"/>
    <w:rsid w:val="00CE0792"/>
    <w:rPr>
      <w:rFonts w:ascii="Arial" w:hAnsi="Arial"/>
    </w:rPr>
  </w:style>
  <w:style w:type="character" w:styleId="FootnoteReference">
    <w:name w:val="footnote reference"/>
    <w:basedOn w:val="DefaultParagraphFont"/>
    <w:uiPriority w:val="99"/>
    <w:rsid w:val="00CE0792"/>
    <w:rPr>
      <w:vertAlign w:val="superscript"/>
    </w:rPr>
  </w:style>
  <w:style w:type="table" w:customStyle="1" w:styleId="TableGrid2">
    <w:name w:val="Table Grid2"/>
    <w:basedOn w:val="TableNormal"/>
    <w:next w:val="TableGrid"/>
    <w:uiPriority w:val="39"/>
    <w:rsid w:val="009A0784"/>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615F"/>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title2Car">
    <w:name w:val="Appendix title 2 Car"/>
    <w:basedOn w:val="DefaultParagraphFont"/>
    <w:link w:val="Appendixtitle2"/>
    <w:rsid w:val="00433CA4"/>
    <w:rPr>
      <w:rFonts w:asciiTheme="majorHAnsi" w:eastAsiaTheme="minorHAnsi" w:hAnsiTheme="majorHAnsi" w:cstheme="minorBidi"/>
      <w:b/>
      <w:sz w:val="22"/>
      <w:szCs w:val="22"/>
      <w:lang w:eastAsia="en-US"/>
    </w:rPr>
  </w:style>
  <w:style w:type="character" w:customStyle="1" w:styleId="large">
    <w:name w:val="large"/>
    <w:basedOn w:val="DefaultParagraphFont"/>
    <w:rsid w:val="00FD17AF"/>
  </w:style>
  <w:style w:type="table" w:customStyle="1" w:styleId="TableGrid4">
    <w:name w:val="Table Grid4"/>
    <w:basedOn w:val="TableNormal"/>
    <w:next w:val="TableGrid"/>
    <w:uiPriority w:val="39"/>
    <w:rsid w:val="000131FE"/>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11C6"/>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15CDB"/>
    <w:rPr>
      <w:color w:val="800080" w:themeColor="followedHyperlink"/>
      <w:u w:val="single"/>
    </w:rPr>
  </w:style>
  <w:style w:type="paragraph" w:styleId="NormalWeb">
    <w:name w:val="Normal (Web)"/>
    <w:basedOn w:val="Normal"/>
    <w:uiPriority w:val="99"/>
    <w:semiHidden/>
    <w:unhideWhenUsed/>
    <w:rsid w:val="007208A2"/>
    <w:rPr>
      <w:rFonts w:ascii="Times New Roman" w:hAnsi="Times New Roman"/>
      <w:sz w:val="24"/>
      <w:szCs w:val="24"/>
    </w:rPr>
  </w:style>
  <w:style w:type="table" w:customStyle="1" w:styleId="TableGrid6">
    <w:name w:val="Table Grid6"/>
    <w:basedOn w:val="TableNormal"/>
    <w:next w:val="TableGrid"/>
    <w:uiPriority w:val="59"/>
    <w:rsid w:val="00E32BC6"/>
    <w:pPr>
      <w:spacing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32BC6"/>
    <w:pPr>
      <w:spacing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A6279"/>
    <w:pPr>
      <w:tabs>
        <w:tab w:val="clear" w:pos="1080"/>
        <w:tab w:val="clear" w:pos="1440"/>
        <w:tab w:val="clear" w:pos="1800"/>
        <w:tab w:val="clear" w:pos="2160"/>
        <w:tab w:val="left" w:leader="dot" w:pos="8640"/>
        <w:tab w:val="right" w:pos="9600"/>
      </w:tabs>
    </w:pPr>
    <w:rPr>
      <w:rFonts w:cs="Times New Roman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199">
      <w:bodyDiv w:val="1"/>
      <w:marLeft w:val="0"/>
      <w:marRight w:val="0"/>
      <w:marTop w:val="0"/>
      <w:marBottom w:val="0"/>
      <w:divBdr>
        <w:top w:val="none" w:sz="0" w:space="0" w:color="auto"/>
        <w:left w:val="none" w:sz="0" w:space="0" w:color="auto"/>
        <w:bottom w:val="none" w:sz="0" w:space="0" w:color="auto"/>
        <w:right w:val="none" w:sz="0" w:space="0" w:color="auto"/>
      </w:divBdr>
    </w:div>
    <w:div w:id="280308304">
      <w:bodyDiv w:val="1"/>
      <w:marLeft w:val="0"/>
      <w:marRight w:val="0"/>
      <w:marTop w:val="0"/>
      <w:marBottom w:val="0"/>
      <w:divBdr>
        <w:top w:val="none" w:sz="0" w:space="0" w:color="auto"/>
        <w:left w:val="none" w:sz="0" w:space="0" w:color="auto"/>
        <w:bottom w:val="none" w:sz="0" w:space="0" w:color="auto"/>
        <w:right w:val="none" w:sz="0" w:space="0" w:color="auto"/>
      </w:divBdr>
    </w:div>
    <w:div w:id="345136407">
      <w:bodyDiv w:val="1"/>
      <w:marLeft w:val="0"/>
      <w:marRight w:val="0"/>
      <w:marTop w:val="0"/>
      <w:marBottom w:val="0"/>
      <w:divBdr>
        <w:top w:val="none" w:sz="0" w:space="0" w:color="auto"/>
        <w:left w:val="none" w:sz="0" w:space="0" w:color="auto"/>
        <w:bottom w:val="none" w:sz="0" w:space="0" w:color="auto"/>
        <w:right w:val="none" w:sz="0" w:space="0" w:color="auto"/>
      </w:divBdr>
    </w:div>
    <w:div w:id="735007636">
      <w:bodyDiv w:val="1"/>
      <w:marLeft w:val="0"/>
      <w:marRight w:val="0"/>
      <w:marTop w:val="0"/>
      <w:marBottom w:val="0"/>
      <w:divBdr>
        <w:top w:val="none" w:sz="0" w:space="0" w:color="auto"/>
        <w:left w:val="none" w:sz="0" w:space="0" w:color="auto"/>
        <w:bottom w:val="none" w:sz="0" w:space="0" w:color="auto"/>
        <w:right w:val="none" w:sz="0" w:space="0" w:color="auto"/>
      </w:divBdr>
    </w:div>
    <w:div w:id="778185584">
      <w:bodyDiv w:val="1"/>
      <w:marLeft w:val="0"/>
      <w:marRight w:val="0"/>
      <w:marTop w:val="0"/>
      <w:marBottom w:val="0"/>
      <w:divBdr>
        <w:top w:val="none" w:sz="0" w:space="0" w:color="auto"/>
        <w:left w:val="none" w:sz="0" w:space="0" w:color="auto"/>
        <w:bottom w:val="none" w:sz="0" w:space="0" w:color="auto"/>
        <w:right w:val="none" w:sz="0" w:space="0" w:color="auto"/>
      </w:divBdr>
    </w:div>
    <w:div w:id="922027369">
      <w:bodyDiv w:val="1"/>
      <w:marLeft w:val="0"/>
      <w:marRight w:val="0"/>
      <w:marTop w:val="0"/>
      <w:marBottom w:val="0"/>
      <w:divBdr>
        <w:top w:val="none" w:sz="0" w:space="0" w:color="auto"/>
        <w:left w:val="none" w:sz="0" w:space="0" w:color="auto"/>
        <w:bottom w:val="none" w:sz="0" w:space="0" w:color="auto"/>
        <w:right w:val="none" w:sz="0" w:space="0" w:color="auto"/>
      </w:divBdr>
    </w:div>
    <w:div w:id="972439834">
      <w:bodyDiv w:val="1"/>
      <w:marLeft w:val="0"/>
      <w:marRight w:val="0"/>
      <w:marTop w:val="0"/>
      <w:marBottom w:val="0"/>
      <w:divBdr>
        <w:top w:val="none" w:sz="0" w:space="0" w:color="auto"/>
        <w:left w:val="none" w:sz="0" w:space="0" w:color="auto"/>
        <w:bottom w:val="none" w:sz="0" w:space="0" w:color="auto"/>
        <w:right w:val="none" w:sz="0" w:space="0" w:color="auto"/>
      </w:divBdr>
    </w:div>
    <w:div w:id="1357272214">
      <w:bodyDiv w:val="1"/>
      <w:marLeft w:val="0"/>
      <w:marRight w:val="0"/>
      <w:marTop w:val="0"/>
      <w:marBottom w:val="0"/>
      <w:divBdr>
        <w:top w:val="none" w:sz="0" w:space="0" w:color="auto"/>
        <w:left w:val="none" w:sz="0" w:space="0" w:color="auto"/>
        <w:bottom w:val="none" w:sz="0" w:space="0" w:color="auto"/>
        <w:right w:val="none" w:sz="0" w:space="0" w:color="auto"/>
      </w:divBdr>
    </w:div>
    <w:div w:id="1509251414">
      <w:bodyDiv w:val="1"/>
      <w:marLeft w:val="0"/>
      <w:marRight w:val="0"/>
      <w:marTop w:val="0"/>
      <w:marBottom w:val="0"/>
      <w:divBdr>
        <w:top w:val="none" w:sz="0" w:space="0" w:color="auto"/>
        <w:left w:val="none" w:sz="0" w:space="0" w:color="auto"/>
        <w:bottom w:val="none" w:sz="0" w:space="0" w:color="auto"/>
        <w:right w:val="none" w:sz="0" w:space="0" w:color="auto"/>
      </w:divBdr>
    </w:div>
    <w:div w:id="19694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thoring2016.icao.int/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thoring2016.icao.int/safety/airnavigation/AIG/Pages/Taxonomy.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LEN\EDLEN\TEMPLATE\TEMPLATES%20FOR%20DOCUMENTS%20(Word)\Document_RH%201%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Supporting Documents</Category>
    <Type_x0020_Name xmlns="2b0c29a6-a2e0-472b-bfb4-397922b0132f">2024 NASP Workshop</Type_x0020_Name>
    <Presenter xmlns="2b0c29a6-a2e0-472b-bfb4-397922b0132f" xsi:nil="true"/>
    <Update_x0020_Date xmlns="2b0c29a6-a2e0-472b-bfb4-397922b0132f">12 November 2024</Update_x0020_Date>
    <Number xmlns="2b0c29a6-a2e0-472b-bfb4-397922b013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6BF605502F947AEE93F02680247DB" ma:contentTypeVersion="5" ma:contentTypeDescription="Create a new document." ma:contentTypeScope="" ma:versionID="5fcb6e38905de8f87b6ac6badd69d550">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EF26-BA5D-48C7-8615-1DE9A3D7EAF7}">
  <ds:schemaRefs>
    <ds:schemaRef ds:uri="http://schemas.microsoft.com/sharepoint/events"/>
  </ds:schemaRefs>
</ds:datastoreItem>
</file>

<file path=customXml/itemProps2.xml><?xml version="1.0" encoding="utf-8"?>
<ds:datastoreItem xmlns:ds="http://schemas.openxmlformats.org/officeDocument/2006/customXml" ds:itemID="{A919F5D8-3D1B-485D-8DDF-5DB7FF1991B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7b0ce932-0cfe-456f-8102-1a6bc8116a95"/>
  </ds:schemaRefs>
</ds:datastoreItem>
</file>

<file path=customXml/itemProps3.xml><?xml version="1.0" encoding="utf-8"?>
<ds:datastoreItem xmlns:ds="http://schemas.openxmlformats.org/officeDocument/2006/customXml" ds:itemID="{743BD15A-E7DB-4266-B059-8D6C24301347}"/>
</file>

<file path=customXml/itemProps4.xml><?xml version="1.0" encoding="utf-8"?>
<ds:datastoreItem xmlns:ds="http://schemas.openxmlformats.org/officeDocument/2006/customXml" ds:itemID="{7312DCCB-8B9D-4E71-95E0-3D15F4E3934D}">
  <ds:schemaRefs>
    <ds:schemaRef ds:uri="http://schemas.microsoft.com/sharepoint/v3/contenttype/forms"/>
  </ds:schemaRefs>
</ds:datastoreItem>
</file>

<file path=customXml/itemProps5.xml><?xml version="1.0" encoding="utf-8"?>
<ds:datastoreItem xmlns:ds="http://schemas.openxmlformats.org/officeDocument/2006/customXml" ds:itemID="{72FB6DA4-6812-4A3F-A0A7-A82005E5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Document_RH 1 line.dotx</Template>
  <TotalTime>0</TotalTime>
  <Pages>14</Pages>
  <Words>3478</Words>
  <Characters>19760</Characters>
  <Application>Microsoft Office Word</Application>
  <DocSecurity>0</DocSecurity>
  <Lines>760</Lines>
  <Paragraphs>318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Aviation Safety Plan Template</dc:title>
  <dc:creator/>
  <cp:lastModifiedBy/>
  <cp:revision>1</cp:revision>
  <dcterms:created xsi:type="dcterms:W3CDTF">2020-01-23T15:24:00Z</dcterms:created>
  <dcterms:modified xsi:type="dcterms:W3CDTF">2024-05-02T11:43:00Z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0x01010085D6BF605502F947AEE93F02680247DB</vt:lpwstr>
  </property>
  <property fmtid="{D5CDD505-2E9C-101B-9397-08002B2CF9AE}" pid="3" name="_dlc_DocIdItemGuid">
    <vt:lpwstr>4b771721-8b5e-43f7-b82c-aa1421887957</vt:lpwstr>
  </property>
</Properties>
</file>