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Pr="005D09AF" w:rsidRDefault="001C0FDC" w:rsidP="00213B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AF">
        <w:rPr>
          <w:rFonts w:ascii="Times New Roman" w:hAnsi="Times New Roman" w:cs="Times New Roman"/>
          <w:b/>
          <w:bCs/>
        </w:rPr>
        <w:t>Asia/Pacific SWIM Implementation Guidance</w:t>
      </w:r>
    </w:p>
    <w:p w:rsidR="001C0FDC" w:rsidRPr="005D09AF" w:rsidRDefault="001C0FDC" w:rsidP="00213BC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D09AF">
        <w:rPr>
          <w:rFonts w:ascii="Times New Roman" w:hAnsi="Times New Roman" w:cs="Times New Roman"/>
          <w:color w:val="FF0000"/>
          <w:sz w:val="28"/>
          <w:szCs w:val="28"/>
        </w:rPr>
        <w:t>v0.1</w:t>
      </w:r>
    </w:p>
    <w:p w:rsidR="001C0FDC" w:rsidRDefault="001C0FDC" w:rsidP="00213B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C0FDC" w:rsidRDefault="001C0FDC" w:rsidP="0021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350">
        <w:rPr>
          <w:rFonts w:ascii="Times New Roman" w:hAnsi="Times New Roman" w:cs="Times New Roman"/>
          <w:b/>
          <w:bCs/>
        </w:rPr>
        <w:t>Table of Content</w:t>
      </w:r>
    </w:p>
    <w:p w:rsidR="001C0FDC" w:rsidRDefault="001C0FDC" w:rsidP="00213B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C0FDC" w:rsidRPr="00C34350" w:rsidRDefault="001C0FDC" w:rsidP="00213BCD">
      <w:pPr>
        <w:jc w:val="center"/>
        <w:rPr>
          <w:rFonts w:ascii="Times New Roman" w:hAnsi="Times New Roman" w:cs="Times New Roman"/>
          <w:b/>
          <w:bCs/>
        </w:rPr>
      </w:pPr>
      <w:r w:rsidRPr="00C34350">
        <w:rPr>
          <w:rFonts w:ascii="Times New Roman" w:hAnsi="Times New Roman" w:cs="Times New Roman"/>
          <w:b/>
          <w:bCs/>
        </w:rPr>
        <w:t>Forward</w:t>
      </w:r>
    </w:p>
    <w:p w:rsidR="001C0FDC" w:rsidRPr="00C34350" w:rsidRDefault="001C0FDC" w:rsidP="00213BCD">
      <w:pPr>
        <w:jc w:val="center"/>
        <w:rPr>
          <w:rFonts w:ascii="Times New Roman" w:hAnsi="Times New Roman" w:cs="Times New Roman"/>
          <w:b/>
          <w:bCs/>
        </w:rPr>
      </w:pP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350">
        <w:rPr>
          <w:rFonts w:ascii="Times New Roman" w:hAnsi="Times New Roman" w:cs="Times New Roman"/>
          <w:b/>
          <w:bCs/>
          <w:sz w:val="28"/>
          <w:szCs w:val="28"/>
        </w:rPr>
        <w:t>Purpose</w:t>
      </w: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350">
        <w:rPr>
          <w:rFonts w:ascii="Times New Roman" w:hAnsi="Times New Roman" w:cs="Times New Roman"/>
          <w:b/>
          <w:bCs/>
          <w:sz w:val="28"/>
          <w:szCs w:val="28"/>
        </w:rPr>
        <w:t>Scope</w:t>
      </w: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0FDC" w:rsidRDefault="001C0FDC" w:rsidP="00213BC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</w:rPr>
      </w:pPr>
      <w:r w:rsidRPr="00C34350">
        <w:rPr>
          <w:rFonts w:ascii="Times New Roman" w:hAnsi="Times New Roman" w:cs="Times New Roman"/>
          <w:b/>
          <w:bCs/>
        </w:rPr>
        <w:t xml:space="preserve">Chapter </w:t>
      </w:r>
      <w:r w:rsidRPr="00C34350">
        <w:rPr>
          <w:rFonts w:ascii="Times New Roman" w:hAnsi="Times New Roman" w:cs="Times New Roman"/>
          <w:b/>
          <w:bCs/>
          <w:highlight w:val="yellow"/>
        </w:rPr>
        <w:t>X</w:t>
      </w:r>
      <w:r w:rsidRPr="00C34350">
        <w:rPr>
          <w:rFonts w:ascii="Times New Roman" w:hAnsi="Times New Roman" w:cs="Times New Roman"/>
          <w:b/>
          <w:bCs/>
        </w:rPr>
        <w:t xml:space="preserve"> Regional SWIM Governance</w:t>
      </w:r>
    </w:p>
    <w:p w:rsidR="001C0FDC" w:rsidRPr="00C34350" w:rsidRDefault="001C0FDC" w:rsidP="00213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FDC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350">
        <w:rPr>
          <w:rFonts w:ascii="Times New Roman" w:hAnsi="Times New Roman" w:cs="Times New Roman"/>
          <w:b/>
          <w:bCs/>
          <w:sz w:val="28"/>
          <w:szCs w:val="28"/>
        </w:rPr>
        <w:t>Governance Framework</w:t>
      </w:r>
    </w:p>
    <w:p w:rsidR="003366A9" w:rsidRPr="003366A9" w:rsidRDefault="003366A9" w:rsidP="00213BCD">
      <w:pPr>
        <w:jc w:val="both"/>
        <w:rPr>
          <w:rFonts w:ascii="Times New Roman" w:hAnsi="Times New Roman" w:cs="Times New Roman"/>
          <w:sz w:val="22"/>
          <w:szCs w:val="22"/>
        </w:rPr>
      </w:pPr>
      <w:r w:rsidRPr="003366A9">
        <w:rPr>
          <w:rFonts w:ascii="Times New Roman" w:hAnsi="Times New Roman" w:cs="Times New Roman"/>
          <w:sz w:val="22"/>
          <w:szCs w:val="22"/>
          <w:highlight w:val="yellow"/>
        </w:rPr>
        <w:t>(to agree upon the topics to be addressed and the corresponding level of detail)</w:t>
      </w: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350">
        <w:rPr>
          <w:rFonts w:ascii="Times New Roman" w:hAnsi="Times New Roman" w:cs="Times New Roman"/>
          <w:b/>
          <w:bCs/>
          <w:sz w:val="28"/>
          <w:szCs w:val="28"/>
        </w:rPr>
        <w:t>Service Level Agreement (SLA)</w:t>
      </w: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0FDC" w:rsidRPr="00C34350" w:rsidRDefault="001C0FDC" w:rsidP="00213BC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Introduction</w:t>
      </w:r>
    </w:p>
    <w:p w:rsidR="001C0FDC" w:rsidRPr="005D09AF" w:rsidRDefault="001C0FDC" w:rsidP="00213BCD">
      <w:pPr>
        <w:pStyle w:val="ListParagraph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5D09AF">
        <w:rPr>
          <w:rFonts w:eastAsia="SimSun"/>
          <w:bCs/>
          <w:color w:val="000000"/>
          <w:sz w:val="22"/>
          <w:szCs w:val="22"/>
        </w:rPr>
        <w:t>The rapid evolution of the SWIM paradigm is leading to the emergence of new services, new collaborating and interacting models, and new approaches in service governance. A Service Level Agreement (SLA) is universally considered to be an indispensable tool for establishing and sustaining service-centric ecosystems. An SLA is a contract that defines mutual obligations between two parties, i.e. a service consumer and a service provider. It represents a set of obligations by a service provider to perform a service according to agreed-upon service qualities or characteristics, which usually include performance parameters (e.g. availability, response time</w:t>
      </w:r>
      <w:r w:rsidR="00666B2F" w:rsidRPr="005D09AF">
        <w:rPr>
          <w:rFonts w:eastAsia="SimSun"/>
          <w:bCs/>
          <w:color w:val="000000"/>
          <w:sz w:val="22"/>
          <w:szCs w:val="22"/>
        </w:rPr>
        <w:t>, etc.</w:t>
      </w:r>
      <w:r w:rsidRPr="005D09AF">
        <w:rPr>
          <w:rFonts w:eastAsia="SimSun"/>
          <w:bCs/>
          <w:color w:val="000000"/>
          <w:sz w:val="22"/>
          <w:szCs w:val="22"/>
        </w:rPr>
        <w:t xml:space="preserve">) </w:t>
      </w:r>
      <w:r w:rsidR="00666B2F" w:rsidRPr="005D09AF">
        <w:rPr>
          <w:rFonts w:eastAsia="SimSun"/>
          <w:bCs/>
          <w:color w:val="000000"/>
          <w:sz w:val="22"/>
          <w:szCs w:val="22"/>
        </w:rPr>
        <w:t>and/</w:t>
      </w:r>
      <w:r w:rsidRPr="005D09AF">
        <w:rPr>
          <w:rFonts w:eastAsia="SimSun"/>
          <w:bCs/>
          <w:color w:val="000000"/>
          <w:sz w:val="22"/>
          <w:szCs w:val="22"/>
        </w:rPr>
        <w:t>or other attributes that may affect the delivery of the service. It may also include policies or conditions of use defined by the service provider.</w:t>
      </w:r>
    </w:p>
    <w:p w:rsidR="001C0FDC" w:rsidRPr="003366A9" w:rsidRDefault="001C0FDC" w:rsidP="00213B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34350" w:rsidRPr="00C34350" w:rsidRDefault="00C34350" w:rsidP="00213BC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Objectives</w:t>
      </w:r>
    </w:p>
    <w:p w:rsidR="00C34350" w:rsidRPr="005D09AF" w:rsidRDefault="00C34350" w:rsidP="00213BCD">
      <w:pPr>
        <w:rPr>
          <w:rStyle w:val="Emphasis"/>
          <w:rFonts w:ascii="Times New Roman" w:hAnsi="Times New Roman" w:cs="Times New Roman"/>
          <w:i w:val="0"/>
          <w:iCs w:val="0"/>
          <w:color w:val="0E101A"/>
          <w:sz w:val="22"/>
          <w:szCs w:val="22"/>
        </w:rPr>
      </w:pPr>
      <w:r w:rsidRPr="005D09AF">
        <w:rPr>
          <w:rStyle w:val="Emphasis"/>
          <w:rFonts w:ascii="Times New Roman" w:hAnsi="Times New Roman" w:cs="Times New Roman"/>
          <w:i w:val="0"/>
          <w:iCs w:val="0"/>
          <w:color w:val="0E101A"/>
          <w:sz w:val="22"/>
          <w:szCs w:val="22"/>
        </w:rPr>
        <w:t>Commonly recognized objectives for deploying an SLA are:</w:t>
      </w:r>
    </w:p>
    <w:p w:rsidR="00C34350" w:rsidRPr="005D09AF" w:rsidRDefault="00C34350" w:rsidP="00213BCD">
      <w:pPr>
        <w:pStyle w:val="ListParagraph"/>
        <w:numPr>
          <w:ilvl w:val="0"/>
          <w:numId w:val="3"/>
        </w:numPr>
        <w:rPr>
          <w:rFonts w:eastAsia="SimSun"/>
          <w:bCs/>
          <w:color w:val="000000"/>
          <w:sz w:val="22"/>
          <w:szCs w:val="22"/>
          <w:lang w:eastAsia="ko-KR"/>
        </w:rPr>
      </w:pPr>
      <w:r w:rsidRPr="005D09AF">
        <w:rPr>
          <w:rFonts w:eastAsia="SimSun"/>
          <w:bCs/>
          <w:color w:val="000000"/>
          <w:sz w:val="22"/>
          <w:szCs w:val="22"/>
          <w:lang w:eastAsia="ko-KR"/>
        </w:rPr>
        <w:t>To provide a clear reference to service ownership and identify all parties entering the SLA, including their respective roles;</w:t>
      </w:r>
    </w:p>
    <w:p w:rsidR="00C34350" w:rsidRPr="005D09AF" w:rsidRDefault="00C34350" w:rsidP="00213BCD">
      <w:pPr>
        <w:pStyle w:val="ListParagraph"/>
        <w:numPr>
          <w:ilvl w:val="0"/>
          <w:numId w:val="3"/>
        </w:numPr>
        <w:rPr>
          <w:rFonts w:eastAsia="SimSun"/>
          <w:bCs/>
          <w:color w:val="000000"/>
          <w:sz w:val="22"/>
          <w:szCs w:val="22"/>
          <w:lang w:eastAsia="ko-KR"/>
        </w:rPr>
      </w:pPr>
      <w:r w:rsidRPr="005D09AF">
        <w:rPr>
          <w:rFonts w:eastAsia="SimSun"/>
          <w:bCs/>
          <w:color w:val="000000"/>
          <w:sz w:val="22"/>
          <w:szCs w:val="22"/>
          <w:lang w:eastAsia="ko-KR"/>
        </w:rPr>
        <w:t xml:space="preserve">To present a clear, concise, and measurable description of service provision to a service consumer; </w:t>
      </w:r>
    </w:p>
    <w:p w:rsidR="00C34350" w:rsidRPr="005D09AF" w:rsidRDefault="00C34350" w:rsidP="00213BCD">
      <w:pPr>
        <w:pStyle w:val="ListParagraph"/>
        <w:numPr>
          <w:ilvl w:val="0"/>
          <w:numId w:val="3"/>
        </w:numPr>
        <w:rPr>
          <w:rFonts w:eastAsia="SimSun"/>
          <w:bCs/>
          <w:color w:val="000000"/>
          <w:sz w:val="22"/>
          <w:szCs w:val="22"/>
          <w:lang w:eastAsia="ko-KR"/>
        </w:rPr>
      </w:pPr>
      <w:r w:rsidRPr="005D09AF">
        <w:rPr>
          <w:rFonts w:eastAsia="SimSun"/>
          <w:bCs/>
          <w:color w:val="000000"/>
          <w:sz w:val="22"/>
          <w:szCs w:val="22"/>
          <w:lang w:eastAsia="ko-KR"/>
        </w:rPr>
        <w:t>To establish a commitment to quality levels required by service consumers and providers to interact effectively; and</w:t>
      </w:r>
    </w:p>
    <w:p w:rsidR="00C34350" w:rsidRPr="005D09AF" w:rsidRDefault="00C34350" w:rsidP="00213BCD">
      <w:pPr>
        <w:pStyle w:val="ListParagraph"/>
        <w:numPr>
          <w:ilvl w:val="0"/>
          <w:numId w:val="3"/>
        </w:numPr>
        <w:rPr>
          <w:rFonts w:eastAsia="SimSun"/>
          <w:bCs/>
          <w:color w:val="000000"/>
          <w:sz w:val="22"/>
          <w:szCs w:val="22"/>
          <w:lang w:eastAsia="ko-KR"/>
        </w:rPr>
      </w:pPr>
      <w:r w:rsidRPr="005D09AF">
        <w:rPr>
          <w:rFonts w:eastAsia="SimSun"/>
          <w:bCs/>
          <w:color w:val="000000"/>
          <w:sz w:val="22"/>
          <w:szCs w:val="22"/>
          <w:lang w:eastAsia="ko-KR"/>
        </w:rPr>
        <w:t>To match perceptions of expected service provision with actual service support and delivery.</w:t>
      </w:r>
    </w:p>
    <w:p w:rsidR="005D09AF" w:rsidRDefault="005D09AF" w:rsidP="00213BC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D09AF" w:rsidRDefault="005D09AF" w:rsidP="0021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Cases</w:t>
      </w:r>
    </w:p>
    <w:p w:rsidR="005D09AF" w:rsidRDefault="005D09AF" w:rsidP="00213BCD">
      <w:pPr>
        <w:pStyle w:val="ListParagraph"/>
        <w:numPr>
          <w:ilvl w:val="0"/>
          <w:numId w:val="4"/>
        </w:numPr>
        <w:ind w:left="936" w:hanging="576"/>
        <w:rPr>
          <w:rFonts w:cs="Angsana New"/>
          <w:b/>
          <w:bCs/>
        </w:rPr>
      </w:pPr>
      <w:r>
        <w:rPr>
          <w:rFonts w:cs="Angsana New"/>
          <w:b/>
          <w:bCs/>
        </w:rPr>
        <w:t>Direct SLA between Service Provider and Consumer</w:t>
      </w:r>
    </w:p>
    <w:p w:rsidR="003366A9" w:rsidRPr="003366A9" w:rsidRDefault="003366A9" w:rsidP="00213BCD">
      <w:pPr>
        <w:pStyle w:val="ListParagraph"/>
        <w:ind w:left="936" w:firstLine="0"/>
        <w:rPr>
          <w:rFonts w:cs="Angsana New"/>
          <w:sz w:val="22"/>
          <w:szCs w:val="22"/>
        </w:rPr>
      </w:pPr>
      <w:r w:rsidRPr="003366A9">
        <w:rPr>
          <w:rFonts w:cs="Angsana New"/>
          <w:sz w:val="22"/>
          <w:szCs w:val="22"/>
          <w:highlight w:val="yellow"/>
        </w:rPr>
        <w:t>(to add refined details)</w:t>
      </w:r>
    </w:p>
    <w:p w:rsidR="005D09AF" w:rsidRDefault="005D09AF" w:rsidP="00213BCD">
      <w:pPr>
        <w:pStyle w:val="ListParagraph"/>
        <w:numPr>
          <w:ilvl w:val="0"/>
          <w:numId w:val="4"/>
        </w:numPr>
        <w:ind w:left="936" w:hanging="576"/>
        <w:rPr>
          <w:rFonts w:cs="Angsana New"/>
          <w:b/>
          <w:bCs/>
        </w:rPr>
      </w:pPr>
      <w:r>
        <w:rPr>
          <w:rFonts w:cs="Angsana New"/>
          <w:b/>
          <w:bCs/>
        </w:rPr>
        <w:t>SLA with Intermediate Service Provider</w:t>
      </w:r>
    </w:p>
    <w:p w:rsidR="003366A9" w:rsidRPr="003366A9" w:rsidRDefault="003366A9" w:rsidP="00213BCD">
      <w:pPr>
        <w:pStyle w:val="ListParagraph"/>
        <w:ind w:left="936" w:firstLine="0"/>
        <w:rPr>
          <w:rFonts w:cs="Angsana New"/>
          <w:sz w:val="22"/>
          <w:szCs w:val="22"/>
        </w:rPr>
      </w:pPr>
      <w:r w:rsidRPr="003366A9">
        <w:rPr>
          <w:rFonts w:cs="Angsana New"/>
          <w:sz w:val="22"/>
          <w:szCs w:val="22"/>
          <w:highlight w:val="yellow"/>
        </w:rPr>
        <w:t>(to add refined details)</w:t>
      </w:r>
    </w:p>
    <w:p w:rsidR="005D09AF" w:rsidRDefault="005D09AF" w:rsidP="00213BCD">
      <w:pPr>
        <w:pStyle w:val="ListParagraph"/>
        <w:numPr>
          <w:ilvl w:val="0"/>
          <w:numId w:val="4"/>
        </w:numPr>
        <w:ind w:left="936" w:hanging="576"/>
        <w:rPr>
          <w:rFonts w:cs="Angsana New"/>
          <w:b/>
          <w:bCs/>
        </w:rPr>
      </w:pPr>
      <w:r>
        <w:rPr>
          <w:rFonts w:cs="Angsana New"/>
          <w:b/>
          <w:bCs/>
        </w:rPr>
        <w:t>SLA in Multi-Organizational Environment</w:t>
      </w:r>
    </w:p>
    <w:p w:rsidR="003366A9" w:rsidRPr="003366A9" w:rsidRDefault="003366A9" w:rsidP="00213BCD">
      <w:pPr>
        <w:pStyle w:val="ListParagraph"/>
        <w:ind w:left="936" w:firstLine="0"/>
        <w:rPr>
          <w:rFonts w:cs="Angsana New"/>
          <w:sz w:val="22"/>
          <w:szCs w:val="22"/>
        </w:rPr>
      </w:pPr>
      <w:r w:rsidRPr="003366A9">
        <w:rPr>
          <w:rFonts w:cs="Angsana New"/>
          <w:sz w:val="22"/>
          <w:szCs w:val="22"/>
          <w:highlight w:val="yellow"/>
        </w:rPr>
        <w:t>(to add refined details)</w:t>
      </w:r>
    </w:p>
    <w:p w:rsidR="003366A9" w:rsidRPr="003366A9" w:rsidRDefault="003366A9" w:rsidP="00213BC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366A9" w:rsidRDefault="003366A9" w:rsidP="00213B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SLA Template</w:t>
      </w:r>
    </w:p>
    <w:p w:rsidR="003366A9" w:rsidRPr="003366A9" w:rsidRDefault="003366A9" w:rsidP="00213BCD">
      <w:pPr>
        <w:rPr>
          <w:rFonts w:ascii="Times New Roman" w:hAnsi="Times New Roman" w:cs="Times New Roman"/>
          <w:sz w:val="22"/>
          <w:szCs w:val="22"/>
        </w:rPr>
      </w:pPr>
      <w:r w:rsidRPr="003366A9">
        <w:rPr>
          <w:rFonts w:ascii="Times New Roman" w:hAnsi="Times New Roman" w:cs="Times New Roman"/>
          <w:sz w:val="22"/>
          <w:szCs w:val="22"/>
          <w:highlight w:val="yellow"/>
        </w:rPr>
        <w:t>(referring to SWIM TF/6-WP12)</w:t>
      </w:r>
    </w:p>
    <w:p w:rsidR="001C0FDC" w:rsidRDefault="001C0FDC" w:rsidP="00213B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C0FDC" w:rsidRDefault="001C0FDC" w:rsidP="0021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 w:rsidRPr="001C0F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Information Exchange Model</w:t>
      </w:r>
    </w:p>
    <w:p w:rsidR="001C0FDC" w:rsidRDefault="001C0FDC" w:rsidP="0021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0FDC" w:rsidRDefault="001C0FDC" w:rsidP="00213B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C0FDC" w:rsidRDefault="001C0FDC" w:rsidP="00213BC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1C0FDC" w:rsidRDefault="001C0FDC" w:rsidP="0021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 w:rsidRPr="001C0F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Registry</w:t>
      </w:r>
    </w:p>
    <w:p w:rsidR="001C0FDC" w:rsidRDefault="001C0FDC" w:rsidP="00213B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3BCD" w:rsidRDefault="00213BCD" w:rsidP="00213BCD">
      <w:pPr>
        <w:jc w:val="both"/>
        <w:rPr>
          <w:rFonts w:ascii="Times New Roman" w:hAnsi="Times New Roman" w:cs="Times New Roman"/>
          <w:snapToGrid w:val="0"/>
          <w:sz w:val="22"/>
          <w:szCs w:val="22"/>
          <w:lang w:val="en-GB"/>
        </w:rPr>
      </w:pPr>
      <w:r w:rsidRPr="00213BCD">
        <w:rPr>
          <w:rFonts w:ascii="Times New Roman" w:hAnsi="Times New Roman" w:cs="Times New Roman"/>
          <w:snapToGrid w:val="0"/>
          <w:sz w:val="22"/>
          <w:szCs w:val="22"/>
          <w:lang w:val="en-GB"/>
        </w:rPr>
        <w:t>The SWIM registry allows for the discovery of services and related information</w:t>
      </w:r>
      <w:r>
        <w:rPr>
          <w:rFonts w:ascii="Times New Roman" w:hAnsi="Times New Roman" w:cs="Times New Roman"/>
          <w:snapToGrid w:val="0"/>
          <w:sz w:val="22"/>
          <w:szCs w:val="22"/>
          <w:lang w:val="en-GB"/>
        </w:rPr>
        <w:t xml:space="preserve"> </w:t>
      </w:r>
      <w:r w:rsidRPr="00213BCD">
        <w:rPr>
          <w:rFonts w:ascii="Times New Roman" w:hAnsi="Times New Roman" w:cs="Times New Roman"/>
          <w:snapToGrid w:val="0"/>
          <w:sz w:val="22"/>
          <w:szCs w:val="22"/>
          <w:lang w:val="en-GB"/>
        </w:rPr>
        <w:t>such as standards used in the service, service specifications</w:t>
      </w:r>
      <w:r>
        <w:rPr>
          <w:rFonts w:ascii="Times New Roman" w:hAnsi="Times New Roman" w:cs="Times New Roman"/>
          <w:snapToGrid w:val="0"/>
          <w:sz w:val="22"/>
          <w:szCs w:val="22"/>
          <w:lang w:val="en-GB"/>
        </w:rPr>
        <w:t xml:space="preserve">, service </w:t>
      </w:r>
      <w:r w:rsidRPr="00213BCD">
        <w:rPr>
          <w:rFonts w:ascii="Times New Roman" w:hAnsi="Times New Roman" w:cs="Times New Roman"/>
          <w:snapToGrid w:val="0"/>
          <w:sz w:val="22"/>
          <w:szCs w:val="22"/>
          <w:lang w:val="en-GB"/>
        </w:rPr>
        <w:t>subscription information</w:t>
      </w:r>
      <w:r>
        <w:rPr>
          <w:rFonts w:ascii="Times New Roman" w:hAnsi="Times New Roman" w:cs="Times New Roman"/>
          <w:snapToGrid w:val="0"/>
          <w:sz w:val="22"/>
          <w:szCs w:val="22"/>
          <w:lang w:val="en-GB"/>
        </w:rPr>
        <w:t>, etc</w:t>
      </w:r>
      <w:r w:rsidRPr="00213BCD">
        <w:rPr>
          <w:rFonts w:ascii="Times New Roman" w:hAnsi="Times New Roman" w:cs="Times New Roman"/>
          <w:snapToGrid w:val="0"/>
          <w:sz w:val="22"/>
          <w:szCs w:val="22"/>
          <w:lang w:val="en-GB"/>
        </w:rPr>
        <w:t>. The registry allows information providers to publish information about their services and for information consumers to discover available services</w:t>
      </w:r>
      <w:r>
        <w:rPr>
          <w:rFonts w:ascii="Times New Roman" w:hAnsi="Times New Roman" w:cs="Times New Roman"/>
          <w:snapToGrid w:val="0"/>
          <w:sz w:val="22"/>
          <w:szCs w:val="22"/>
          <w:lang w:val="en-GB"/>
        </w:rPr>
        <w:t>.</w:t>
      </w:r>
    </w:p>
    <w:p w:rsidR="00213BCD" w:rsidRPr="00213BCD" w:rsidRDefault="00213BCD" w:rsidP="00213BCD">
      <w:pPr>
        <w:jc w:val="both"/>
        <w:rPr>
          <w:rFonts w:ascii="Times New Roman" w:hAnsi="Times New Roman" w:cs="Times New Roman"/>
          <w:snapToGrid w:val="0"/>
          <w:sz w:val="22"/>
          <w:szCs w:val="22"/>
          <w:lang w:val="en-GB"/>
        </w:rPr>
      </w:pPr>
    </w:p>
    <w:p w:rsidR="00213BCD" w:rsidRPr="00213BCD" w:rsidRDefault="00213BCD" w:rsidP="00213BCD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napToGrid w:val="0"/>
          <w:sz w:val="22"/>
          <w:szCs w:val="22"/>
          <w:lang w:val="en-GB"/>
        </w:rPr>
      </w:pPr>
      <w:r w:rsidRPr="00213BCD">
        <w:rPr>
          <w:rFonts w:ascii="Times New Roman" w:hAnsi="Times New Roman" w:cs="Times New Roman"/>
          <w:snapToGrid w:val="0"/>
          <w:sz w:val="22"/>
          <w:szCs w:val="22"/>
          <w:lang w:val="en-GB"/>
        </w:rPr>
        <w:t>There are potentially three models of SWIM registry implementation for the Asia</w:t>
      </w:r>
      <w:r>
        <w:rPr>
          <w:rFonts w:ascii="Times New Roman" w:hAnsi="Times New Roman" w:cs="Times New Roman"/>
          <w:snapToGrid w:val="0"/>
          <w:sz w:val="22"/>
          <w:szCs w:val="22"/>
          <w:lang w:val="en-GB"/>
        </w:rPr>
        <w:t>/</w:t>
      </w:r>
      <w:r w:rsidRPr="00213BCD">
        <w:rPr>
          <w:rFonts w:ascii="Times New Roman" w:hAnsi="Times New Roman" w:cs="Times New Roman"/>
          <w:snapToGrid w:val="0"/>
          <w:sz w:val="22"/>
          <w:szCs w:val="22"/>
          <w:lang w:val="en-GB"/>
        </w:rPr>
        <w:t>Pacific SWIM</w:t>
      </w:r>
      <w:r>
        <w:rPr>
          <w:rFonts w:ascii="Times New Roman" w:hAnsi="Times New Roman" w:cs="Times New Roman"/>
          <w:snapToGrid w:val="0"/>
          <w:sz w:val="22"/>
          <w:szCs w:val="22"/>
          <w:lang w:val="en-GB"/>
        </w:rPr>
        <w:t xml:space="preserve"> as follows.</w:t>
      </w:r>
    </w:p>
    <w:p w:rsidR="00213BCD" w:rsidRDefault="00213BCD" w:rsidP="00213BCD">
      <w:pPr>
        <w:pStyle w:val="ListParagraph"/>
        <w:widowControl w:val="0"/>
        <w:numPr>
          <w:ilvl w:val="0"/>
          <w:numId w:val="7"/>
        </w:numPr>
        <w:tabs>
          <w:tab w:val="left" w:pos="1134"/>
        </w:tabs>
        <w:rPr>
          <w:snapToGrid w:val="0"/>
          <w:sz w:val="22"/>
          <w:szCs w:val="22"/>
          <w:lang w:val="en-GB"/>
        </w:rPr>
      </w:pPr>
      <w:r w:rsidRPr="00213BCD">
        <w:rPr>
          <w:snapToGrid w:val="0"/>
          <w:sz w:val="22"/>
          <w:szCs w:val="22"/>
          <w:lang w:val="en-GB"/>
        </w:rPr>
        <w:t xml:space="preserve">One </w:t>
      </w:r>
      <w:r>
        <w:rPr>
          <w:snapToGrid w:val="0"/>
          <w:sz w:val="22"/>
          <w:szCs w:val="22"/>
          <w:lang w:val="en-GB"/>
        </w:rPr>
        <w:t>c</w:t>
      </w:r>
      <w:r w:rsidRPr="00213BCD">
        <w:rPr>
          <w:snapToGrid w:val="0"/>
          <w:sz w:val="22"/>
          <w:szCs w:val="22"/>
          <w:lang w:val="en-GB"/>
        </w:rPr>
        <w:t xml:space="preserve">entralized </w:t>
      </w:r>
      <w:r>
        <w:rPr>
          <w:snapToGrid w:val="0"/>
          <w:sz w:val="22"/>
          <w:szCs w:val="22"/>
          <w:lang w:val="en-GB"/>
        </w:rPr>
        <w:t>r</w:t>
      </w:r>
      <w:r w:rsidRPr="00213BCD">
        <w:rPr>
          <w:snapToGrid w:val="0"/>
          <w:sz w:val="22"/>
          <w:szCs w:val="22"/>
          <w:lang w:val="en-GB"/>
        </w:rPr>
        <w:t>egistry</w:t>
      </w:r>
    </w:p>
    <w:p w:rsidR="00213BCD" w:rsidRDefault="00213BCD" w:rsidP="00213BCD">
      <w:pPr>
        <w:pStyle w:val="ListParagraph"/>
        <w:widowControl w:val="0"/>
        <w:tabs>
          <w:tab w:val="left" w:pos="1134"/>
        </w:tabs>
        <w:ind w:firstLine="0"/>
        <w:rPr>
          <w:snapToGrid w:val="0"/>
          <w:sz w:val="22"/>
          <w:szCs w:val="22"/>
          <w:lang w:val="en-GB"/>
        </w:rPr>
      </w:pPr>
      <w:r w:rsidRPr="00213BCD">
        <w:rPr>
          <w:snapToGrid w:val="0"/>
          <w:sz w:val="22"/>
          <w:szCs w:val="22"/>
          <w:lang w:val="en-GB"/>
        </w:rPr>
        <w:t>This model involves the notion of one centralized repository of services, which aggregates information and provides for a “one stop shop” for all SWIM services</w:t>
      </w:r>
      <w:r>
        <w:rPr>
          <w:snapToGrid w:val="0"/>
          <w:sz w:val="22"/>
          <w:szCs w:val="22"/>
          <w:lang w:val="en-GB"/>
        </w:rPr>
        <w:t xml:space="preserve"> available in Asia/Pacific</w:t>
      </w:r>
      <w:r w:rsidRPr="00213BCD">
        <w:rPr>
          <w:snapToGrid w:val="0"/>
          <w:sz w:val="22"/>
          <w:szCs w:val="22"/>
          <w:lang w:val="en-GB"/>
        </w:rPr>
        <w:t>.</w:t>
      </w:r>
    </w:p>
    <w:p w:rsidR="00213BCD" w:rsidRDefault="00213BCD" w:rsidP="00213BCD">
      <w:pPr>
        <w:pStyle w:val="ListParagraph"/>
        <w:widowControl w:val="0"/>
        <w:numPr>
          <w:ilvl w:val="0"/>
          <w:numId w:val="7"/>
        </w:numPr>
        <w:tabs>
          <w:tab w:val="left" w:pos="1134"/>
        </w:tabs>
        <w:rPr>
          <w:snapToGrid w:val="0"/>
          <w:sz w:val="22"/>
          <w:szCs w:val="22"/>
          <w:lang w:val="en-GB"/>
        </w:rPr>
      </w:pPr>
      <w:r w:rsidRPr="00213BCD">
        <w:rPr>
          <w:snapToGrid w:val="0"/>
          <w:sz w:val="22"/>
          <w:szCs w:val="22"/>
          <w:lang w:val="en-GB"/>
        </w:rPr>
        <w:t xml:space="preserve">Independent </w:t>
      </w:r>
      <w:r>
        <w:rPr>
          <w:snapToGrid w:val="0"/>
          <w:sz w:val="22"/>
          <w:szCs w:val="22"/>
          <w:lang w:val="en-GB"/>
        </w:rPr>
        <w:t>r</w:t>
      </w:r>
      <w:r w:rsidRPr="00213BCD">
        <w:rPr>
          <w:snapToGrid w:val="0"/>
          <w:sz w:val="22"/>
          <w:szCs w:val="22"/>
          <w:lang w:val="en-GB"/>
        </w:rPr>
        <w:t>egistries</w:t>
      </w:r>
    </w:p>
    <w:p w:rsidR="00213BCD" w:rsidRPr="00213BCD" w:rsidRDefault="00213BCD" w:rsidP="00213BCD">
      <w:pPr>
        <w:pStyle w:val="ListParagraph"/>
        <w:widowControl w:val="0"/>
        <w:tabs>
          <w:tab w:val="left" w:pos="1134"/>
        </w:tabs>
        <w:ind w:firstLine="0"/>
        <w:rPr>
          <w:snapToGrid w:val="0"/>
          <w:sz w:val="22"/>
          <w:szCs w:val="22"/>
          <w:lang w:val="en-GB"/>
        </w:rPr>
      </w:pPr>
      <w:r w:rsidRPr="00213BCD">
        <w:rPr>
          <w:snapToGrid w:val="0"/>
          <w:sz w:val="22"/>
          <w:szCs w:val="22"/>
          <w:lang w:val="en-GB"/>
        </w:rPr>
        <w:t xml:space="preserve">This model calls for each </w:t>
      </w:r>
      <w:r>
        <w:rPr>
          <w:snapToGrid w:val="0"/>
          <w:sz w:val="22"/>
          <w:szCs w:val="22"/>
          <w:lang w:val="en-GB"/>
        </w:rPr>
        <w:t>State/Organization</w:t>
      </w:r>
      <w:r w:rsidRPr="00213BCD">
        <w:rPr>
          <w:snapToGrid w:val="0"/>
          <w:sz w:val="22"/>
          <w:szCs w:val="22"/>
          <w:lang w:val="en-GB"/>
        </w:rPr>
        <w:t xml:space="preserve"> to implement and maintain its own registry with no communication </w:t>
      </w:r>
      <w:r>
        <w:rPr>
          <w:snapToGrid w:val="0"/>
          <w:sz w:val="22"/>
          <w:szCs w:val="22"/>
          <w:lang w:val="en-GB"/>
        </w:rPr>
        <w:t>among them</w:t>
      </w:r>
      <w:r w:rsidRPr="00213BCD">
        <w:rPr>
          <w:snapToGrid w:val="0"/>
          <w:sz w:val="22"/>
          <w:szCs w:val="22"/>
          <w:lang w:val="en-GB"/>
        </w:rPr>
        <w:t xml:space="preserve"> regarding the services that are published within each registry.</w:t>
      </w:r>
    </w:p>
    <w:p w:rsidR="00213BCD" w:rsidRDefault="00213BCD" w:rsidP="00213BCD">
      <w:pPr>
        <w:pStyle w:val="ListParagraph"/>
        <w:numPr>
          <w:ilvl w:val="0"/>
          <w:numId w:val="7"/>
        </w:numPr>
        <w:rPr>
          <w:snapToGrid w:val="0"/>
          <w:sz w:val="22"/>
          <w:szCs w:val="22"/>
          <w:lang w:val="en-GB"/>
        </w:rPr>
      </w:pPr>
      <w:r w:rsidRPr="00213BCD">
        <w:rPr>
          <w:snapToGrid w:val="0"/>
          <w:sz w:val="22"/>
          <w:szCs w:val="22"/>
          <w:lang w:val="en-GB"/>
        </w:rPr>
        <w:t>Inter</w:t>
      </w:r>
      <w:r w:rsidR="00C71F5C">
        <w:rPr>
          <w:snapToGrid w:val="0"/>
          <w:sz w:val="22"/>
          <w:szCs w:val="22"/>
          <w:lang w:val="en-GB"/>
        </w:rPr>
        <w:t>operable</w:t>
      </w:r>
      <w:r w:rsidRPr="00213BCD">
        <w:rPr>
          <w:snapToGrid w:val="0"/>
          <w:sz w:val="22"/>
          <w:szCs w:val="22"/>
          <w:lang w:val="en-GB"/>
        </w:rPr>
        <w:t xml:space="preserve"> </w:t>
      </w:r>
      <w:r>
        <w:rPr>
          <w:snapToGrid w:val="0"/>
          <w:sz w:val="22"/>
          <w:szCs w:val="22"/>
          <w:lang w:val="en-GB"/>
        </w:rPr>
        <w:t>r</w:t>
      </w:r>
      <w:r w:rsidRPr="00213BCD">
        <w:rPr>
          <w:snapToGrid w:val="0"/>
          <w:sz w:val="22"/>
          <w:szCs w:val="22"/>
          <w:lang w:val="en-GB"/>
        </w:rPr>
        <w:t>egistries</w:t>
      </w:r>
    </w:p>
    <w:p w:rsidR="00213BCD" w:rsidRDefault="00213BCD" w:rsidP="00213BCD">
      <w:pPr>
        <w:pStyle w:val="ListParagraph"/>
        <w:ind w:firstLine="0"/>
        <w:rPr>
          <w:snapToGrid w:val="0"/>
          <w:sz w:val="22"/>
          <w:szCs w:val="22"/>
          <w:lang w:val="en-GB"/>
        </w:rPr>
      </w:pPr>
      <w:r w:rsidRPr="00213BCD">
        <w:rPr>
          <w:snapToGrid w:val="0"/>
          <w:sz w:val="22"/>
          <w:szCs w:val="22"/>
          <w:lang w:val="en-GB"/>
        </w:rPr>
        <w:t xml:space="preserve">This model allows for several registries to co-exist and these registries maintain communications with each other on the statuses of the services published in </w:t>
      </w:r>
      <w:r>
        <w:rPr>
          <w:snapToGrid w:val="0"/>
          <w:sz w:val="22"/>
          <w:szCs w:val="22"/>
          <w:lang w:val="en-GB"/>
        </w:rPr>
        <w:t>each</w:t>
      </w:r>
      <w:r w:rsidRPr="00213BCD">
        <w:rPr>
          <w:snapToGrid w:val="0"/>
          <w:sz w:val="22"/>
          <w:szCs w:val="22"/>
          <w:lang w:val="en-GB"/>
        </w:rPr>
        <w:t xml:space="preserve"> registr</w:t>
      </w:r>
      <w:r>
        <w:rPr>
          <w:snapToGrid w:val="0"/>
          <w:sz w:val="22"/>
          <w:szCs w:val="22"/>
          <w:lang w:val="en-GB"/>
        </w:rPr>
        <w:t>y</w:t>
      </w:r>
      <w:r w:rsidRPr="00213BCD">
        <w:rPr>
          <w:snapToGrid w:val="0"/>
          <w:sz w:val="22"/>
          <w:szCs w:val="22"/>
          <w:lang w:val="en-GB"/>
        </w:rPr>
        <w:t>.</w:t>
      </w:r>
    </w:p>
    <w:p w:rsidR="00213BCD" w:rsidRDefault="00213BCD" w:rsidP="00213BCD">
      <w:pPr>
        <w:rPr>
          <w:rFonts w:ascii="Times New Roman" w:hAnsi="Times New Roman" w:cs="Times New Roman"/>
          <w:snapToGrid w:val="0"/>
          <w:sz w:val="22"/>
          <w:szCs w:val="22"/>
          <w:lang w:val="en-GB"/>
        </w:rPr>
      </w:pPr>
    </w:p>
    <w:p w:rsidR="00C71F5C" w:rsidRDefault="00C71F5C" w:rsidP="00C71F5C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From these three possible SWIM registry models, SWIM TF/3 and CNS SG/23 endorsed and adopted, respectively, an interoperable registry model, which consists of interdependent registries exchanging registration data with each other, to be a model for SWIM registry implementation in Asia/Pacific.</w:t>
      </w:r>
    </w:p>
    <w:p w:rsidR="00C71F5C" w:rsidRDefault="00C71F5C" w:rsidP="00C71F5C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DF6A1D" w:rsidRDefault="00DF6A1D" w:rsidP="00C71F5C">
      <w:pPr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Service Discovery Service (SDS)</w:t>
      </w:r>
    </w:p>
    <w:p w:rsidR="00213BCD" w:rsidRPr="00213BCD" w:rsidRDefault="00DF6A1D" w:rsidP="00C71F5C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DF6A1D">
        <w:rPr>
          <w:rFonts w:ascii="Times New Roman" w:hAnsi="Times New Roman" w:cs="Times New Roman"/>
          <w:snapToGrid w:val="0"/>
          <w:sz w:val="22"/>
          <w:szCs w:val="22"/>
          <w:highlight w:val="yellow"/>
        </w:rPr>
        <w:t>(to add details about SDS and its specifications)</w:t>
      </w:r>
    </w:p>
    <w:p w:rsidR="00213BCD" w:rsidRPr="00213BCD" w:rsidRDefault="00213BCD" w:rsidP="00213BCD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13BCD" w:rsidRPr="00213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6D8F" w:rsidRDefault="00DD6D8F" w:rsidP="001C0FDC">
      <w:r>
        <w:separator/>
      </w:r>
    </w:p>
  </w:endnote>
  <w:endnote w:type="continuationSeparator" w:id="0">
    <w:p w:rsidR="00DD6D8F" w:rsidRDefault="00DD6D8F" w:rsidP="001C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Browallia New"/>
    <w:charset w:val="DE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FDC" w:rsidRDefault="001C0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FDC" w:rsidRDefault="001C0F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FDC" w:rsidRDefault="001C0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6D8F" w:rsidRDefault="00DD6D8F" w:rsidP="001C0FDC">
      <w:r>
        <w:separator/>
      </w:r>
    </w:p>
  </w:footnote>
  <w:footnote w:type="continuationSeparator" w:id="0">
    <w:p w:rsidR="00DD6D8F" w:rsidRDefault="00DD6D8F" w:rsidP="001C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FDC" w:rsidRDefault="00DD6D8F">
    <w:pPr>
      <w:pStyle w:val="Header"/>
    </w:pPr>
    <w:r>
      <w:rPr>
        <w:noProof/>
      </w:rPr>
      <w:pict w14:anchorId="0E006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4552" o:spid="_x0000_s1027" type="#_x0000_t136" alt="" style="position:absolute;margin-left:0;margin-top:0;width:485.55pt;height:174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FDC" w:rsidRDefault="00DD6D8F">
    <w:pPr>
      <w:pStyle w:val="Header"/>
    </w:pPr>
    <w:r>
      <w:rPr>
        <w:noProof/>
      </w:rPr>
      <w:pict w14:anchorId="3FF4F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4553" o:spid="_x0000_s1026" type="#_x0000_t136" alt="" style="position:absolute;margin-left:0;margin-top:0;width:485.55pt;height:174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FDC" w:rsidRDefault="00DD6D8F">
    <w:pPr>
      <w:pStyle w:val="Header"/>
    </w:pPr>
    <w:r>
      <w:rPr>
        <w:noProof/>
      </w:rPr>
      <w:pict w14:anchorId="331ECD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4551" o:spid="_x0000_s1025" type="#_x0000_t136" alt="" style="position:absolute;margin-left:0;margin-top:0;width:485.55pt;height:174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537"/>
    <w:multiLevelType w:val="hybridMultilevel"/>
    <w:tmpl w:val="33B8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9AE"/>
    <w:multiLevelType w:val="multilevel"/>
    <w:tmpl w:val="185AB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4D341E"/>
    <w:multiLevelType w:val="hybridMultilevel"/>
    <w:tmpl w:val="B5948DB2"/>
    <w:lvl w:ilvl="0" w:tplc="F0569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47C5"/>
    <w:multiLevelType w:val="hybridMultilevel"/>
    <w:tmpl w:val="07CC6708"/>
    <w:lvl w:ilvl="0" w:tplc="9A30AE6E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87F"/>
    <w:multiLevelType w:val="multilevel"/>
    <w:tmpl w:val="8920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2.%2"/>
      <w:lvlJc w:val="left"/>
      <w:pPr>
        <w:ind w:left="6030" w:hanging="1800"/>
      </w:pPr>
    </w:lvl>
    <w:lvl w:ilvl="2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435717A6"/>
    <w:multiLevelType w:val="multilevel"/>
    <w:tmpl w:val="BB542C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6C67D0"/>
    <w:multiLevelType w:val="hybridMultilevel"/>
    <w:tmpl w:val="B940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1360">
    <w:abstractNumId w:val="1"/>
  </w:num>
  <w:num w:numId="2" w16cid:durableId="13042058">
    <w:abstractNumId w:val="5"/>
  </w:num>
  <w:num w:numId="3" w16cid:durableId="70470383">
    <w:abstractNumId w:val="0"/>
  </w:num>
  <w:num w:numId="4" w16cid:durableId="1427338944">
    <w:abstractNumId w:val="2"/>
  </w:num>
  <w:num w:numId="5" w16cid:durableId="123315217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129140">
    <w:abstractNumId w:val="3"/>
  </w:num>
  <w:num w:numId="7" w16cid:durableId="1628662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tzQzNDc1sTQ1NTVW0lEKTi0uzszPAykwrAUAEw73NywAAAA="/>
  </w:docVars>
  <w:rsids>
    <w:rsidRoot w:val="001C0FDC"/>
    <w:rsid w:val="00115A57"/>
    <w:rsid w:val="001C0FDC"/>
    <w:rsid w:val="00213BCD"/>
    <w:rsid w:val="003366A9"/>
    <w:rsid w:val="005D09AF"/>
    <w:rsid w:val="00666B2F"/>
    <w:rsid w:val="007002A4"/>
    <w:rsid w:val="0071657C"/>
    <w:rsid w:val="008626BC"/>
    <w:rsid w:val="00896ECA"/>
    <w:rsid w:val="00A1789F"/>
    <w:rsid w:val="00C34350"/>
    <w:rsid w:val="00C71F5C"/>
    <w:rsid w:val="00DD6D8F"/>
    <w:rsid w:val="00D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A9A66"/>
  <w15:chartTrackingRefBased/>
  <w15:docId w15:val="{EA090D19-FB32-4F46-AE64-BA3E0FFA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 AS" w:eastAsiaTheme="minorHAnsi" w:hAnsi="TH Niramit AS" w:cs="TH Niramit AS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FD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C0F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C0FD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C0FDC"/>
    <w:rPr>
      <w:rFonts w:cs="Angsana New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1C0FDC"/>
    <w:pPr>
      <w:spacing w:before="360"/>
    </w:pPr>
    <w:rPr>
      <w:rFonts w:asciiTheme="majorHAnsi" w:hAnsiTheme="majorHAnsi" w:cstheme="majorBidi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1C0FDC"/>
    <w:pPr>
      <w:spacing w:before="240"/>
    </w:pPr>
    <w:rPr>
      <w:rFonts w:asciiTheme="minorHAnsi" w:hAnsiTheme="minorHAnsi" w:cstheme="majorBidi"/>
      <w:b/>
      <w:bC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1C0FDC"/>
    <w:pPr>
      <w:ind w:left="320"/>
    </w:pPr>
    <w:rPr>
      <w:rFonts w:asciiTheme="minorHAnsi" w:hAnsiTheme="minorHAnsi" w:cstheme="majorBidi"/>
      <w:sz w:val="20"/>
      <w:szCs w:val="23"/>
    </w:rPr>
  </w:style>
  <w:style w:type="paragraph" w:styleId="TOC4">
    <w:name w:val="toc 4"/>
    <w:basedOn w:val="Normal"/>
    <w:next w:val="Normal"/>
    <w:autoRedefine/>
    <w:uiPriority w:val="39"/>
    <w:unhideWhenUsed/>
    <w:rsid w:val="001C0FDC"/>
    <w:pPr>
      <w:ind w:left="640"/>
    </w:pPr>
    <w:rPr>
      <w:rFonts w:asciiTheme="minorHAnsi" w:hAnsiTheme="minorHAnsi" w:cstheme="majorBidi"/>
      <w:sz w:val="20"/>
      <w:szCs w:val="23"/>
    </w:rPr>
  </w:style>
  <w:style w:type="paragraph" w:styleId="TOC5">
    <w:name w:val="toc 5"/>
    <w:basedOn w:val="Normal"/>
    <w:next w:val="Normal"/>
    <w:autoRedefine/>
    <w:uiPriority w:val="39"/>
    <w:unhideWhenUsed/>
    <w:rsid w:val="001C0FDC"/>
    <w:pPr>
      <w:ind w:left="960"/>
    </w:pPr>
    <w:rPr>
      <w:rFonts w:asciiTheme="minorHAnsi" w:hAnsiTheme="minorHAnsi" w:cstheme="majorBidi"/>
      <w:sz w:val="20"/>
      <w:szCs w:val="23"/>
    </w:rPr>
  </w:style>
  <w:style w:type="paragraph" w:styleId="TOC6">
    <w:name w:val="toc 6"/>
    <w:basedOn w:val="Normal"/>
    <w:next w:val="Normal"/>
    <w:autoRedefine/>
    <w:uiPriority w:val="39"/>
    <w:unhideWhenUsed/>
    <w:rsid w:val="001C0FDC"/>
    <w:pPr>
      <w:ind w:left="1280"/>
    </w:pPr>
    <w:rPr>
      <w:rFonts w:asciiTheme="minorHAnsi" w:hAnsiTheme="minorHAnsi" w:cstheme="majorBidi"/>
      <w:sz w:val="20"/>
      <w:szCs w:val="23"/>
    </w:rPr>
  </w:style>
  <w:style w:type="paragraph" w:styleId="TOC7">
    <w:name w:val="toc 7"/>
    <w:basedOn w:val="Normal"/>
    <w:next w:val="Normal"/>
    <w:autoRedefine/>
    <w:uiPriority w:val="39"/>
    <w:unhideWhenUsed/>
    <w:rsid w:val="001C0FDC"/>
    <w:pPr>
      <w:ind w:left="1600"/>
    </w:pPr>
    <w:rPr>
      <w:rFonts w:asciiTheme="minorHAnsi" w:hAnsiTheme="minorHAnsi" w:cstheme="majorBidi"/>
      <w:sz w:val="20"/>
      <w:szCs w:val="23"/>
    </w:rPr>
  </w:style>
  <w:style w:type="paragraph" w:styleId="TOC8">
    <w:name w:val="toc 8"/>
    <w:basedOn w:val="Normal"/>
    <w:next w:val="Normal"/>
    <w:autoRedefine/>
    <w:uiPriority w:val="39"/>
    <w:unhideWhenUsed/>
    <w:rsid w:val="001C0FDC"/>
    <w:pPr>
      <w:ind w:left="1920"/>
    </w:pPr>
    <w:rPr>
      <w:rFonts w:asciiTheme="minorHAnsi" w:hAnsiTheme="minorHAnsi" w:cstheme="majorBidi"/>
      <w:sz w:val="20"/>
      <w:szCs w:val="23"/>
    </w:rPr>
  </w:style>
  <w:style w:type="paragraph" w:styleId="TOC9">
    <w:name w:val="toc 9"/>
    <w:basedOn w:val="Normal"/>
    <w:next w:val="Normal"/>
    <w:autoRedefine/>
    <w:uiPriority w:val="39"/>
    <w:unhideWhenUsed/>
    <w:rsid w:val="001C0FDC"/>
    <w:pPr>
      <w:ind w:left="2240"/>
    </w:pPr>
    <w:rPr>
      <w:rFonts w:asciiTheme="minorHAnsi" w:hAnsiTheme="minorHAnsi" w:cstheme="majorBidi"/>
      <w:sz w:val="20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1C0FDC"/>
    <w:pPr>
      <w:ind w:left="720" w:hanging="36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0FD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C34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700AB5D88AD4C9E91F5D17A89F654" ma:contentTypeVersion="5" ma:contentTypeDescription="Create a new document." ma:contentTypeScope="" ma:versionID="24dfcc33e1292aa282ab690ef14c594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5-Presentations</Category>
    <Type_x0020_Name xmlns="2b0c29a6-a2e0-472b-bfb4-397922b0132f">SWIM TF8</Type_x0020_Name>
    <Presenter xmlns="2b0c29a6-a2e0-472b-bfb4-397922b0132f">Secretariat</Presenter>
    <Update_x0020_Date xmlns="2b0c29a6-a2e0-472b-bfb4-397922b0132f">08 November 2023</Update_x0020_Date>
    <Number xmlns="2b0c29a6-a2e0-472b-bfb4-397922b0132f">SP/01-APX. A</Number>
  </documentManagement>
</p:properties>
</file>

<file path=customXml/itemProps1.xml><?xml version="1.0" encoding="utf-8"?>
<ds:datastoreItem xmlns:ds="http://schemas.openxmlformats.org/officeDocument/2006/customXml" ds:itemID="{685C1577-FE0B-7747-8C54-7D6617916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22E54-3320-48A6-8552-00FF4FD71964}"/>
</file>

<file path=customXml/itemProps3.xml><?xml version="1.0" encoding="utf-8"?>
<ds:datastoreItem xmlns:ds="http://schemas.openxmlformats.org/officeDocument/2006/customXml" ds:itemID="{D3E1A0E1-C037-4A9C-BEE7-13D37558F2EA}"/>
</file>

<file path=customXml/itemProps4.xml><?xml version="1.0" encoding="utf-8"?>
<ds:datastoreItem xmlns:ds="http://schemas.openxmlformats.org/officeDocument/2006/customXml" ds:itemID="{35F2B4CA-42FE-4F34-B59F-641FB60D1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Asia/Pacific SWIM Implementation Guidance V.0.1</dc:title>
  <dc:subject/>
  <dc:creator>Amornrat Jirattigalachote</dc:creator>
  <cp:keywords/>
  <dc:description/>
  <cp:lastModifiedBy>Nibhani, Soniya</cp:lastModifiedBy>
  <cp:revision>1</cp:revision>
  <dcterms:created xsi:type="dcterms:W3CDTF">2023-11-08T01:15:00Z</dcterms:created>
  <dcterms:modified xsi:type="dcterms:W3CDTF">2023-11-08T01:15:00Z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0x01010086C700AB5D88AD4C9E91F5D17A89F654</vt:lpwstr>
  </property>
</Properties>
</file>