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40" w:rsidRPr="009B687E" w:rsidRDefault="00052B40" w:rsidP="00052B40">
      <w:pPr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COVID-19 NOTIFICATION OF </w:t>
      </w:r>
      <w:r w:rsidR="00CF35C4">
        <w:rPr>
          <w:b/>
          <w:bCs/>
          <w:sz w:val="20"/>
          <w:szCs w:val="20"/>
          <w:lang w:val="en-US"/>
        </w:rPr>
        <w:t xml:space="preserve">TEMPORARY </w:t>
      </w:r>
      <w:r w:rsidR="00CF35C4">
        <w:rPr>
          <w:b/>
          <w:bCs/>
          <w:sz w:val="20"/>
          <w:szCs w:val="20"/>
          <w:lang w:val="en-US"/>
        </w:rPr>
        <w:t xml:space="preserve">EXTENDED </w:t>
      </w:r>
      <w:r>
        <w:rPr>
          <w:b/>
          <w:bCs/>
          <w:sz w:val="20"/>
          <w:szCs w:val="20"/>
          <w:lang w:val="en-US"/>
        </w:rPr>
        <w:t xml:space="preserve">DIFFERENCES </w:t>
      </w:r>
      <w:r w:rsidR="00CF35C4">
        <w:rPr>
          <w:b/>
          <w:bCs/>
          <w:sz w:val="20"/>
          <w:szCs w:val="20"/>
          <w:lang w:val="en-US"/>
        </w:rPr>
        <w:t>TEMPLATE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>With re</w:t>
      </w:r>
      <w:r>
        <w:rPr>
          <w:b/>
          <w:bCs/>
          <w:sz w:val="20"/>
          <w:szCs w:val="20"/>
          <w:lang w:val="en-US"/>
        </w:rPr>
        <w:t xml:space="preserve">ference to </w:t>
      </w:r>
      <w:r w:rsidR="00325F89">
        <w:rPr>
          <w:b/>
          <w:bCs/>
          <w:sz w:val="20"/>
          <w:szCs w:val="20"/>
          <w:lang w:val="en-US"/>
        </w:rPr>
        <w:t xml:space="preserve">State requests to extend the scope of </w:t>
      </w:r>
      <w:r>
        <w:rPr>
          <w:b/>
          <w:bCs/>
          <w:sz w:val="20"/>
          <w:szCs w:val="20"/>
          <w:lang w:val="en-US"/>
        </w:rPr>
        <w:t>State Letter AN/</w:t>
      </w:r>
      <w:r w:rsidRPr="008E7C95">
        <w:rPr>
          <w:b/>
          <w:sz w:val="20"/>
          <w:szCs w:val="20"/>
          <w:u w:val="single"/>
          <w:lang w:val="en-US"/>
        </w:rPr>
        <w:t>11/55-20/50</w:t>
      </w:r>
      <w:r w:rsidRPr="008E7C95">
        <w:rPr>
          <w:b/>
          <w:sz w:val="20"/>
          <w:szCs w:val="20"/>
          <w:lang w:val="en-US"/>
        </w:rPr>
        <w:t>,</w:t>
      </w:r>
      <w:r w:rsidRPr="009B687E">
        <w:rPr>
          <w:b/>
          <w:bCs/>
          <w:sz w:val="20"/>
          <w:szCs w:val="20"/>
          <w:lang w:val="en-US"/>
        </w:rPr>
        <w:t xml:space="preserve"> the CCRD</w:t>
      </w:r>
      <w:r>
        <w:rPr>
          <w:b/>
          <w:bCs/>
          <w:sz w:val="20"/>
          <w:szCs w:val="20"/>
          <w:lang w:val="en-US"/>
        </w:rPr>
        <w:t xml:space="preserve"> sub-</w:t>
      </w:r>
      <w:r w:rsidRPr="009B687E">
        <w:rPr>
          <w:b/>
          <w:bCs/>
          <w:sz w:val="20"/>
          <w:szCs w:val="20"/>
          <w:lang w:val="en-US"/>
        </w:rPr>
        <w:t xml:space="preserve">system has been </w:t>
      </w:r>
      <w:r w:rsidR="00325F89">
        <w:rPr>
          <w:b/>
          <w:bCs/>
          <w:sz w:val="20"/>
          <w:szCs w:val="20"/>
          <w:lang w:val="en-US"/>
        </w:rPr>
        <w:t xml:space="preserve">expanded to accommodate filing of additional temporary differences </w:t>
      </w:r>
      <w:r>
        <w:rPr>
          <w:b/>
          <w:bCs/>
          <w:sz w:val="20"/>
          <w:szCs w:val="20"/>
          <w:lang w:val="en-US"/>
        </w:rPr>
        <w:t xml:space="preserve">in the existing Electronic Filing of Differences (EFOD) system </w:t>
      </w:r>
      <w:r w:rsidRPr="009B687E">
        <w:rPr>
          <w:b/>
          <w:bCs/>
          <w:sz w:val="20"/>
          <w:szCs w:val="20"/>
          <w:lang w:val="en-US"/>
        </w:rPr>
        <w:t xml:space="preserve">that may arise </w:t>
      </w:r>
      <w:r>
        <w:rPr>
          <w:b/>
          <w:bCs/>
          <w:sz w:val="20"/>
          <w:szCs w:val="20"/>
          <w:lang w:val="en-US"/>
        </w:rPr>
        <w:t xml:space="preserve">from </w:t>
      </w:r>
      <w:proofErr w:type="spellStart"/>
      <w:r w:rsidR="00325F89">
        <w:rPr>
          <w:b/>
          <w:bCs/>
          <w:sz w:val="20"/>
          <w:szCs w:val="20"/>
          <w:lang w:val="en-US"/>
        </w:rPr>
        <w:t>additionl</w:t>
      </w:r>
      <w:proofErr w:type="spellEnd"/>
      <w:r w:rsidR="00325F89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mitigation measures </w:t>
      </w:r>
      <w:r w:rsidRPr="009B687E">
        <w:rPr>
          <w:b/>
          <w:bCs/>
          <w:sz w:val="20"/>
          <w:szCs w:val="20"/>
          <w:lang w:val="en-US"/>
        </w:rPr>
        <w:t>due to the spread of COVID-19.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 xml:space="preserve">What </w:t>
      </w:r>
    </w:p>
    <w:p w:rsidR="00052B40" w:rsidRPr="009B687E" w:rsidRDefault="00052B40" w:rsidP="00052B40">
      <w:pPr>
        <w:rPr>
          <w:sz w:val="20"/>
          <w:szCs w:val="20"/>
          <w:lang w:val="en-US"/>
        </w:rPr>
      </w:pPr>
      <w:r w:rsidRPr="009B687E">
        <w:rPr>
          <w:sz w:val="20"/>
          <w:szCs w:val="20"/>
          <w:lang w:val="en-US"/>
        </w:rPr>
        <w:t xml:space="preserve">It is recognized that States may need to take flexible approaches to </w:t>
      </w:r>
      <w:r w:rsidR="00CF35C4">
        <w:rPr>
          <w:sz w:val="20"/>
          <w:szCs w:val="20"/>
          <w:lang w:val="en-US"/>
        </w:rPr>
        <w:t xml:space="preserve">provide information of temporary extensions and exemptions </w:t>
      </w:r>
      <w:r w:rsidR="00325F89">
        <w:rPr>
          <w:sz w:val="20"/>
          <w:szCs w:val="20"/>
          <w:lang w:val="en-US"/>
        </w:rPr>
        <w:t>that affect</w:t>
      </w:r>
      <w:r w:rsidR="00325F89">
        <w:rPr>
          <w:sz w:val="20"/>
          <w:szCs w:val="20"/>
          <w:lang w:val="en-US"/>
        </w:rPr>
        <w:t xml:space="preserve"> </w:t>
      </w:r>
      <w:r w:rsidR="00CF35C4">
        <w:rPr>
          <w:sz w:val="20"/>
          <w:szCs w:val="20"/>
          <w:lang w:val="en-US"/>
        </w:rPr>
        <w:t xml:space="preserve">foreign air operators </w:t>
      </w:r>
      <w:r w:rsidRPr="009B687E">
        <w:rPr>
          <w:sz w:val="20"/>
          <w:szCs w:val="20"/>
          <w:lang w:val="en-US"/>
        </w:rPr>
        <w:t>and</w:t>
      </w:r>
      <w:r w:rsidR="00CF35C4">
        <w:rPr>
          <w:sz w:val="20"/>
          <w:szCs w:val="20"/>
          <w:lang w:val="en-US"/>
        </w:rPr>
        <w:t xml:space="preserve"> other stakeholders</w:t>
      </w:r>
      <w:r w:rsidRPr="009B687E">
        <w:rPr>
          <w:sz w:val="20"/>
          <w:szCs w:val="20"/>
          <w:lang w:val="en-US"/>
        </w:rPr>
        <w:t xml:space="preserve"> as a re</w:t>
      </w:r>
      <w:r>
        <w:rPr>
          <w:sz w:val="20"/>
          <w:szCs w:val="20"/>
          <w:lang w:val="en-US"/>
        </w:rPr>
        <w:t xml:space="preserve">sult of the COVID-19 pandemic. 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>Why</w:t>
      </w:r>
    </w:p>
    <w:p w:rsidR="002A77CF" w:rsidRDefault="002A77CF" w:rsidP="00052B40">
      <w:pPr>
        <w:rPr>
          <w:sz w:val="20"/>
          <w:szCs w:val="20"/>
          <w:lang w:val="en-US"/>
        </w:rPr>
      </w:pPr>
      <w:r w:rsidRPr="009B687E">
        <w:rPr>
          <w:sz w:val="20"/>
          <w:szCs w:val="20"/>
          <w:lang w:val="en-US"/>
        </w:rPr>
        <w:t xml:space="preserve">This </w:t>
      </w:r>
      <w:r>
        <w:rPr>
          <w:sz w:val="20"/>
          <w:szCs w:val="20"/>
          <w:lang w:val="en-US"/>
        </w:rPr>
        <w:t>template</w:t>
      </w:r>
      <w:r w:rsidRPr="009B687E">
        <w:rPr>
          <w:sz w:val="20"/>
          <w:szCs w:val="20"/>
          <w:lang w:val="en-US"/>
        </w:rPr>
        <w:t xml:space="preserve"> </w:t>
      </w:r>
      <w:r w:rsidRPr="009B687E">
        <w:rPr>
          <w:sz w:val="20"/>
          <w:szCs w:val="20"/>
          <w:lang w:val="en-US"/>
        </w:rPr>
        <w:t xml:space="preserve">allows a State to </w:t>
      </w:r>
      <w:r>
        <w:rPr>
          <w:sz w:val="20"/>
          <w:szCs w:val="20"/>
          <w:lang w:val="en-US"/>
        </w:rPr>
        <w:t>inform the international community of those extensions and exemptions.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>When</w:t>
      </w:r>
    </w:p>
    <w:p w:rsidR="00052B40" w:rsidRPr="009B687E" w:rsidRDefault="00052B40" w:rsidP="00052B40">
      <w:pPr>
        <w:rPr>
          <w:sz w:val="20"/>
          <w:szCs w:val="20"/>
          <w:lang w:val="en-US"/>
        </w:rPr>
      </w:pPr>
      <w:r w:rsidRPr="009B687E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 xml:space="preserve">hese temporary measures </w:t>
      </w:r>
      <w:r w:rsidR="002A77CF">
        <w:rPr>
          <w:sz w:val="20"/>
          <w:szCs w:val="20"/>
          <w:lang w:val="en-US"/>
        </w:rPr>
        <w:t xml:space="preserve">may </w:t>
      </w:r>
      <w:r>
        <w:rPr>
          <w:sz w:val="20"/>
          <w:szCs w:val="20"/>
          <w:lang w:val="en-US"/>
        </w:rPr>
        <w:t>apply until 31 March 2021. This date is subject to review.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>Who</w:t>
      </w:r>
    </w:p>
    <w:p w:rsidR="00052B40" w:rsidRPr="009B687E" w:rsidRDefault="00052B40" w:rsidP="00052B4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There is no restriction on who can fill out the form. However, it may </w:t>
      </w:r>
      <w:r w:rsidRPr="009B687E">
        <w:rPr>
          <w:sz w:val="20"/>
          <w:szCs w:val="20"/>
          <w:lang w:val="en-US"/>
        </w:rPr>
        <w:t>only</w:t>
      </w:r>
      <w:r>
        <w:rPr>
          <w:sz w:val="20"/>
          <w:szCs w:val="20"/>
          <w:lang w:val="en-US"/>
        </w:rPr>
        <w:t xml:space="preserve"> be</w:t>
      </w:r>
      <w:r w:rsidRPr="009B687E">
        <w:rPr>
          <w:sz w:val="20"/>
          <w:szCs w:val="20"/>
          <w:lang w:val="en-US"/>
        </w:rPr>
        <w:t xml:space="preserve"> submitted by </w:t>
      </w:r>
      <w:r>
        <w:rPr>
          <w:sz w:val="20"/>
          <w:szCs w:val="20"/>
          <w:lang w:val="en-US"/>
        </w:rPr>
        <w:t xml:space="preserve">the national continuous monitoring coordinator or an authorized user from a </w:t>
      </w:r>
      <w:r w:rsidRPr="009B687E">
        <w:rPr>
          <w:sz w:val="20"/>
          <w:szCs w:val="20"/>
          <w:lang w:val="en-US"/>
        </w:rPr>
        <w:t>Member State, who are responsible f</w:t>
      </w:r>
      <w:r>
        <w:rPr>
          <w:sz w:val="20"/>
          <w:szCs w:val="20"/>
          <w:lang w:val="en-US"/>
        </w:rPr>
        <w:t>or ensuring the accuracy of the i</w:t>
      </w:r>
      <w:r w:rsidRPr="009B687E">
        <w:rPr>
          <w:sz w:val="20"/>
          <w:szCs w:val="20"/>
          <w:lang w:val="en-US"/>
        </w:rPr>
        <w:t>nformation provided.</w:t>
      </w:r>
    </w:p>
    <w:p w:rsidR="00052B40" w:rsidRPr="009B687E" w:rsidRDefault="00052B40" w:rsidP="00052B40">
      <w:pPr>
        <w:rPr>
          <w:b/>
          <w:bCs/>
          <w:sz w:val="20"/>
          <w:szCs w:val="20"/>
          <w:lang w:val="en-US"/>
        </w:rPr>
      </w:pPr>
      <w:r w:rsidRPr="009B687E">
        <w:rPr>
          <w:b/>
          <w:bCs/>
          <w:sz w:val="20"/>
          <w:szCs w:val="20"/>
          <w:lang w:val="en-US"/>
        </w:rPr>
        <w:t>How</w:t>
      </w:r>
    </w:p>
    <w:p w:rsidR="00052B40" w:rsidRPr="009B687E" w:rsidRDefault="00FF0738" w:rsidP="00052B4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Fill the template using the guidance below.</w:t>
      </w:r>
    </w:p>
    <w:p w:rsidR="002A77CF" w:rsidRPr="009B687E" w:rsidRDefault="002A77CF" w:rsidP="002A77CF">
      <w:pPr>
        <w:ind w:left="720"/>
        <w:rPr>
          <w:sz w:val="20"/>
          <w:szCs w:val="20"/>
          <w:lang w:val="en-US"/>
        </w:rPr>
      </w:pPr>
      <w:r w:rsidRPr="009B687E">
        <w:rPr>
          <w:b/>
          <w:sz w:val="20"/>
          <w:szCs w:val="20"/>
          <w:lang w:val="en-US"/>
        </w:rPr>
        <w:t xml:space="preserve">Column </w:t>
      </w:r>
      <w:r>
        <w:rPr>
          <w:b/>
          <w:sz w:val="20"/>
          <w:szCs w:val="20"/>
          <w:lang w:val="en-US"/>
        </w:rPr>
        <w:t>1</w:t>
      </w:r>
      <w:r w:rsidRPr="009B687E">
        <w:rPr>
          <w:b/>
          <w:sz w:val="20"/>
          <w:szCs w:val="20"/>
          <w:lang w:val="en-US"/>
        </w:rPr>
        <w:t xml:space="preserve">:  </w:t>
      </w:r>
      <w:r>
        <w:rPr>
          <w:b/>
          <w:sz w:val="20"/>
          <w:szCs w:val="20"/>
          <w:lang w:val="en-US"/>
        </w:rPr>
        <w:t>Annex</w:t>
      </w:r>
    </w:p>
    <w:p w:rsidR="002A77CF" w:rsidRPr="009B687E" w:rsidRDefault="002A77CF" w:rsidP="002A77CF">
      <w:pPr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Indicate the Annex number</w:t>
      </w:r>
      <w:r>
        <w:rPr>
          <w:sz w:val="20"/>
          <w:szCs w:val="20"/>
          <w:lang w:val="en-US"/>
        </w:rPr>
        <w:t>.</w:t>
      </w:r>
    </w:p>
    <w:p w:rsidR="002A77CF" w:rsidRPr="009B687E" w:rsidRDefault="002A77CF" w:rsidP="002A77CF">
      <w:pPr>
        <w:ind w:left="720"/>
        <w:rPr>
          <w:sz w:val="20"/>
          <w:szCs w:val="20"/>
          <w:lang w:val="en-US"/>
        </w:rPr>
      </w:pPr>
      <w:r w:rsidRPr="009B687E">
        <w:rPr>
          <w:b/>
          <w:sz w:val="20"/>
          <w:szCs w:val="20"/>
          <w:lang w:val="en-US"/>
        </w:rPr>
        <w:t xml:space="preserve">Column </w:t>
      </w:r>
      <w:r>
        <w:rPr>
          <w:b/>
          <w:sz w:val="20"/>
          <w:szCs w:val="20"/>
          <w:lang w:val="en-US"/>
        </w:rPr>
        <w:t>2</w:t>
      </w:r>
      <w:r w:rsidRPr="009B687E">
        <w:rPr>
          <w:b/>
          <w:sz w:val="20"/>
          <w:szCs w:val="20"/>
          <w:lang w:val="en-US"/>
        </w:rPr>
        <w:t xml:space="preserve">:  </w:t>
      </w:r>
      <w:r>
        <w:rPr>
          <w:b/>
          <w:sz w:val="20"/>
          <w:szCs w:val="20"/>
          <w:lang w:val="en-US"/>
        </w:rPr>
        <w:t xml:space="preserve">Standard or Recommended Practice </w:t>
      </w:r>
      <w:r w:rsidR="006B6517">
        <w:rPr>
          <w:b/>
          <w:sz w:val="20"/>
          <w:szCs w:val="20"/>
          <w:lang w:val="en-US"/>
        </w:rPr>
        <w:t xml:space="preserve">(SARP) </w:t>
      </w:r>
      <w:r>
        <w:rPr>
          <w:b/>
          <w:sz w:val="20"/>
          <w:szCs w:val="20"/>
          <w:lang w:val="en-US"/>
        </w:rPr>
        <w:t>Reference</w:t>
      </w:r>
      <w:r w:rsidRPr="009B687E">
        <w:rPr>
          <w:sz w:val="20"/>
          <w:szCs w:val="20"/>
          <w:lang w:val="en-US"/>
        </w:rPr>
        <w:t>.</w:t>
      </w:r>
    </w:p>
    <w:p w:rsidR="002A77CF" w:rsidRPr="009B687E" w:rsidRDefault="006B6517" w:rsidP="002A77CF">
      <w:pPr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Provide the SARP reference and relevant text.</w:t>
      </w:r>
    </w:p>
    <w:p w:rsidR="00052B40" w:rsidRPr="009B687E" w:rsidRDefault="00052B40" w:rsidP="00052B40">
      <w:pPr>
        <w:ind w:left="720"/>
        <w:rPr>
          <w:sz w:val="20"/>
          <w:szCs w:val="20"/>
          <w:lang w:val="en-US"/>
        </w:rPr>
      </w:pPr>
      <w:r w:rsidRPr="009B687E">
        <w:rPr>
          <w:b/>
          <w:sz w:val="20"/>
          <w:szCs w:val="20"/>
          <w:lang w:val="en-US"/>
        </w:rPr>
        <w:t>Column 3:  Details of Difference</w:t>
      </w:r>
      <w:r w:rsidRPr="009B687E">
        <w:rPr>
          <w:sz w:val="20"/>
          <w:szCs w:val="20"/>
          <w:lang w:val="en-US"/>
        </w:rPr>
        <w:t>.</w:t>
      </w:r>
    </w:p>
    <w:p w:rsidR="00052B40" w:rsidRPr="009B687E" w:rsidRDefault="00052B40" w:rsidP="00052B40">
      <w:pPr>
        <w:ind w:left="14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Summarize the</w:t>
      </w:r>
      <w:r w:rsidRPr="009B687E">
        <w:rPr>
          <w:sz w:val="20"/>
          <w:szCs w:val="20"/>
          <w:lang w:val="en-US"/>
        </w:rPr>
        <w:t xml:space="preserve"> difference to </w:t>
      </w:r>
      <w:r w:rsidR="006B6517">
        <w:rPr>
          <w:sz w:val="20"/>
          <w:szCs w:val="20"/>
          <w:lang w:val="en-US"/>
        </w:rPr>
        <w:t>the SARP</w:t>
      </w:r>
      <w:r w:rsidRPr="009B687E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Reference the related regulatory documents where appropriate.</w:t>
      </w:r>
    </w:p>
    <w:p w:rsidR="00052B40" w:rsidRPr="009B687E" w:rsidRDefault="00052B40" w:rsidP="00052B40">
      <w:pPr>
        <w:ind w:left="720"/>
        <w:rPr>
          <w:sz w:val="20"/>
          <w:szCs w:val="20"/>
          <w:lang w:val="en-US"/>
        </w:rPr>
      </w:pPr>
      <w:r w:rsidRPr="009B687E">
        <w:rPr>
          <w:b/>
          <w:sz w:val="20"/>
          <w:szCs w:val="20"/>
          <w:lang w:val="en-US"/>
        </w:rPr>
        <w:t>Column 4:  Remarks</w:t>
      </w:r>
      <w:r w:rsidRPr="009B687E">
        <w:rPr>
          <w:sz w:val="20"/>
          <w:szCs w:val="20"/>
          <w:lang w:val="en-US"/>
        </w:rPr>
        <w:t>.</w:t>
      </w:r>
    </w:p>
    <w:p w:rsidR="00052B40" w:rsidRPr="009B687E" w:rsidRDefault="00052B40" w:rsidP="00052B40">
      <w:pPr>
        <w:ind w:left="1440"/>
        <w:rPr>
          <w:sz w:val="20"/>
          <w:szCs w:val="20"/>
          <w:lang w:val="en-US"/>
        </w:rPr>
      </w:pPr>
      <w:r w:rsidRPr="009B687E">
        <w:rPr>
          <w:sz w:val="20"/>
          <w:szCs w:val="20"/>
          <w:lang w:val="en-US"/>
        </w:rPr>
        <w:t>Provide your rational</w:t>
      </w:r>
      <w:r>
        <w:rPr>
          <w:sz w:val="20"/>
          <w:szCs w:val="20"/>
          <w:lang w:val="en-US"/>
        </w:rPr>
        <w:t>e</w:t>
      </w:r>
      <w:r w:rsidRPr="009B687E">
        <w:rPr>
          <w:sz w:val="20"/>
          <w:szCs w:val="20"/>
          <w:lang w:val="en-US"/>
        </w:rPr>
        <w:t xml:space="preserve"> for these differences and </w:t>
      </w:r>
      <w:r>
        <w:rPr>
          <w:sz w:val="20"/>
          <w:szCs w:val="20"/>
          <w:lang w:val="en-US"/>
        </w:rPr>
        <w:t xml:space="preserve">the </w:t>
      </w:r>
      <w:r w:rsidRPr="009B687E">
        <w:rPr>
          <w:sz w:val="20"/>
          <w:szCs w:val="20"/>
          <w:lang w:val="en-US"/>
        </w:rPr>
        <w:t>details of any conditions and mitigations where necessary.</w:t>
      </w:r>
    </w:p>
    <w:p w:rsidR="00052B40" w:rsidRPr="009B687E" w:rsidRDefault="00052B40" w:rsidP="00052B40">
      <w:pPr>
        <w:ind w:left="720"/>
        <w:rPr>
          <w:sz w:val="20"/>
          <w:szCs w:val="20"/>
          <w:lang w:val="en-US"/>
        </w:rPr>
      </w:pPr>
      <w:r w:rsidRPr="009B687E">
        <w:rPr>
          <w:b/>
          <w:sz w:val="20"/>
          <w:szCs w:val="20"/>
          <w:lang w:val="en-US"/>
        </w:rPr>
        <w:t>Column 5: Recognition of other State Differences</w:t>
      </w:r>
      <w:r w:rsidRPr="009B687E">
        <w:rPr>
          <w:sz w:val="20"/>
          <w:szCs w:val="20"/>
          <w:lang w:val="en-US"/>
        </w:rPr>
        <w:t xml:space="preserve">. </w:t>
      </w:r>
    </w:p>
    <w:p w:rsidR="00052B40" w:rsidRDefault="00052B40" w:rsidP="00052B40">
      <w:pPr>
        <w:ind w:left="1440"/>
        <w:rPr>
          <w:sz w:val="20"/>
          <w:szCs w:val="20"/>
          <w:lang w:val="en-US"/>
        </w:rPr>
      </w:pPr>
      <w:r w:rsidRPr="009B687E">
        <w:rPr>
          <w:sz w:val="20"/>
          <w:szCs w:val="20"/>
          <w:lang w:val="en-US"/>
        </w:rPr>
        <w:t xml:space="preserve">Indicate whether your State will recognize or accept </w:t>
      </w:r>
      <w:r w:rsidR="006B6517">
        <w:rPr>
          <w:sz w:val="20"/>
          <w:szCs w:val="20"/>
          <w:lang w:val="en-US"/>
        </w:rPr>
        <w:t>differences associated with th</w:t>
      </w:r>
      <w:r w:rsidR="00FF0738">
        <w:rPr>
          <w:sz w:val="20"/>
          <w:szCs w:val="20"/>
          <w:lang w:val="en-US"/>
        </w:rPr>
        <w:t xml:space="preserve">e particular SARP </w:t>
      </w:r>
      <w:r>
        <w:rPr>
          <w:sz w:val="20"/>
          <w:szCs w:val="20"/>
          <w:lang w:val="en-US"/>
        </w:rPr>
        <w:t xml:space="preserve">on their </w:t>
      </w:r>
      <w:r w:rsidRPr="009B687E">
        <w:rPr>
          <w:sz w:val="20"/>
          <w:szCs w:val="20"/>
          <w:lang w:val="en-US"/>
        </w:rPr>
        <w:t xml:space="preserve">temporary </w:t>
      </w:r>
      <w:r>
        <w:rPr>
          <w:sz w:val="20"/>
          <w:szCs w:val="20"/>
          <w:lang w:val="en-US"/>
        </w:rPr>
        <w:t>differences submitted via the CCRD</w:t>
      </w:r>
      <w:r w:rsidRPr="009B687E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For simplicity this may be stated as an exclusion (what other States temporary differences are not acceptable) rather than listing what would be acceptable.</w:t>
      </w:r>
    </w:p>
    <w:p w:rsidR="00691CC9" w:rsidRPr="009B687E" w:rsidRDefault="00691CC9" w:rsidP="00052B40">
      <w:pPr>
        <w:ind w:left="1440"/>
        <w:rPr>
          <w:sz w:val="20"/>
          <w:szCs w:val="20"/>
          <w:lang w:val="en-US"/>
        </w:rPr>
      </w:pPr>
    </w:p>
    <w:p w:rsidR="00052B40" w:rsidRDefault="00052B40" w:rsidP="00052B40">
      <w:r w:rsidRPr="009B687E">
        <w:rPr>
          <w:b/>
          <w:sz w:val="20"/>
          <w:szCs w:val="20"/>
          <w:lang w:val="en-US"/>
        </w:rPr>
        <w:t xml:space="preserve">Please submit this Form by </w:t>
      </w:r>
      <w:r w:rsidRPr="009B687E">
        <w:rPr>
          <w:rFonts w:cstheme="majorBidi"/>
          <w:b/>
          <w:sz w:val="20"/>
          <w:szCs w:val="20"/>
        </w:rPr>
        <w:t xml:space="preserve">email to </w:t>
      </w:r>
      <w:hyperlink r:id="rId8" w:history="1">
        <w:r w:rsidRPr="0028754A">
          <w:rPr>
            <w:rStyle w:val="Hyperlink"/>
            <w:rFonts w:cstheme="majorBidi"/>
            <w:b/>
            <w:sz w:val="20"/>
            <w:szCs w:val="20"/>
          </w:rPr>
          <w:t>ops@icao.int</w:t>
        </w:r>
      </w:hyperlink>
      <w:r>
        <w:t xml:space="preserve"> </w:t>
      </w:r>
    </w:p>
    <w:p w:rsidR="00052B40" w:rsidRDefault="00052B40">
      <w:pPr>
        <w:sectPr w:rsidR="00052B40" w:rsidSect="00052B4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289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3689"/>
        <w:gridCol w:w="2879"/>
        <w:gridCol w:w="2499"/>
      </w:tblGrid>
      <w:tr w:rsidR="00052B40" w:rsidTr="00691CC9">
        <w:trPr>
          <w:trHeight w:val="841"/>
        </w:trPr>
        <w:tc>
          <w:tcPr>
            <w:tcW w:w="846" w:type="dxa"/>
            <w:shd w:val="clear" w:color="auto" w:fill="BFBFBF" w:themeFill="background1" w:themeFillShade="BF"/>
          </w:tcPr>
          <w:p w:rsidR="00052B40" w:rsidRPr="007B5BD0" w:rsidRDefault="00052B40" w:rsidP="00691CC9">
            <w:pPr>
              <w:ind w:right="-236"/>
              <w:rPr>
                <w:b/>
                <w:bCs/>
              </w:rPr>
            </w:pPr>
            <w:r w:rsidRPr="007B5BD0">
              <w:rPr>
                <w:b/>
                <w:bCs/>
              </w:rPr>
              <w:t xml:space="preserve">Annex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2A77CF" w:rsidRPr="007B5BD0" w:rsidRDefault="00052B40" w:rsidP="00691CC9">
            <w:pPr>
              <w:rPr>
                <w:b/>
                <w:bCs/>
              </w:rPr>
            </w:pPr>
            <w:r w:rsidRPr="007B5BD0">
              <w:rPr>
                <w:b/>
                <w:bCs/>
              </w:rPr>
              <w:t>Standard or Recommendation Practice</w:t>
            </w:r>
            <w:r w:rsidR="002A77CF">
              <w:rPr>
                <w:b/>
                <w:bCs/>
              </w:rPr>
              <w:t xml:space="preserve"> reference</w:t>
            </w:r>
          </w:p>
        </w:tc>
        <w:tc>
          <w:tcPr>
            <w:tcW w:w="3689" w:type="dxa"/>
            <w:shd w:val="clear" w:color="auto" w:fill="BFBFBF" w:themeFill="background1" w:themeFillShade="BF"/>
          </w:tcPr>
          <w:p w:rsidR="00052B40" w:rsidRPr="007B5BD0" w:rsidRDefault="00052B40" w:rsidP="00333DDF">
            <w:pPr>
              <w:rPr>
                <w:b/>
                <w:bCs/>
              </w:rPr>
            </w:pPr>
            <w:r w:rsidRPr="007B5BD0">
              <w:rPr>
                <w:b/>
                <w:bCs/>
              </w:rPr>
              <w:t>Details of Difference</w:t>
            </w:r>
          </w:p>
          <w:p w:rsidR="00052B40" w:rsidRPr="007B5BD0" w:rsidRDefault="00052B40" w:rsidP="00333DDF">
            <w:pPr>
              <w:rPr>
                <w:b/>
                <w:bCs/>
              </w:rPr>
            </w:pPr>
            <w:r w:rsidRPr="007B5BD0">
              <w:rPr>
                <w:b/>
                <w:bCs/>
              </w:rPr>
              <w:t>( COVID-19 Related)</w:t>
            </w:r>
          </w:p>
        </w:tc>
        <w:tc>
          <w:tcPr>
            <w:tcW w:w="2879" w:type="dxa"/>
            <w:shd w:val="clear" w:color="auto" w:fill="BFBFBF" w:themeFill="background1" w:themeFillShade="BF"/>
          </w:tcPr>
          <w:p w:rsidR="00052B40" w:rsidRPr="007B5BD0" w:rsidRDefault="00052B40" w:rsidP="00333DDF">
            <w:pPr>
              <w:rPr>
                <w:b/>
                <w:bCs/>
              </w:rPr>
            </w:pPr>
            <w:r w:rsidRPr="007B5BD0">
              <w:rPr>
                <w:b/>
                <w:bCs/>
              </w:rPr>
              <w:t>Remarks</w:t>
            </w:r>
            <w:r>
              <w:rPr>
                <w:b/>
                <w:bCs/>
              </w:rPr>
              <w:t>:</w:t>
            </w:r>
          </w:p>
          <w:p w:rsidR="00052B40" w:rsidRPr="007B5BD0" w:rsidRDefault="00052B40" w:rsidP="00333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B5BD0">
              <w:rPr>
                <w:b/>
                <w:bCs/>
              </w:rPr>
              <w:t>Rational</w:t>
            </w:r>
          </w:p>
          <w:p w:rsidR="00052B40" w:rsidRPr="007B5BD0" w:rsidRDefault="00052B40" w:rsidP="00333DD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B5BD0">
              <w:rPr>
                <w:b/>
                <w:bCs/>
              </w:rPr>
              <w:t>Condition/Mitigation</w:t>
            </w:r>
          </w:p>
        </w:tc>
        <w:tc>
          <w:tcPr>
            <w:tcW w:w="2499" w:type="dxa"/>
            <w:shd w:val="clear" w:color="auto" w:fill="BFBFBF" w:themeFill="background1" w:themeFillShade="BF"/>
          </w:tcPr>
          <w:p w:rsidR="00052B40" w:rsidRPr="007B5BD0" w:rsidRDefault="00052B40" w:rsidP="00333DDF">
            <w:pPr>
              <w:rPr>
                <w:b/>
                <w:bCs/>
              </w:rPr>
            </w:pPr>
            <w:r w:rsidRPr="007B5BD0">
              <w:rPr>
                <w:b/>
                <w:bCs/>
              </w:rPr>
              <w:t xml:space="preserve">Recognition of </w:t>
            </w:r>
            <w:r>
              <w:rPr>
                <w:b/>
                <w:bCs/>
              </w:rPr>
              <w:t>o</w:t>
            </w:r>
            <w:r w:rsidRPr="007B5BD0">
              <w:rPr>
                <w:b/>
                <w:bCs/>
              </w:rPr>
              <w:t xml:space="preserve">ther </w:t>
            </w:r>
            <w:r w:rsidR="002A77CF">
              <w:rPr>
                <w:b/>
                <w:bCs/>
              </w:rPr>
              <w:t>S</w:t>
            </w:r>
            <w:r w:rsidRPr="007B5BD0">
              <w:rPr>
                <w:b/>
                <w:bCs/>
              </w:rPr>
              <w:t xml:space="preserve">tate </w:t>
            </w:r>
            <w:r>
              <w:rPr>
                <w:b/>
                <w:bCs/>
              </w:rPr>
              <w:t>d</w:t>
            </w:r>
            <w:r w:rsidRPr="007B5BD0">
              <w:rPr>
                <w:b/>
                <w:bCs/>
              </w:rPr>
              <w:t>ifferences</w:t>
            </w:r>
          </w:p>
        </w:tc>
      </w:tr>
      <w:tr w:rsidR="00052B40" w:rsidTr="00691CC9">
        <w:trPr>
          <w:trHeight w:val="3582"/>
        </w:trPr>
        <w:tc>
          <w:tcPr>
            <w:tcW w:w="846" w:type="dxa"/>
          </w:tcPr>
          <w:p w:rsidR="00052B40" w:rsidRDefault="00052B40" w:rsidP="00333DDF"/>
        </w:tc>
        <w:tc>
          <w:tcPr>
            <w:tcW w:w="2977" w:type="dxa"/>
          </w:tcPr>
          <w:p w:rsidR="00052B40" w:rsidRDefault="00052B40" w:rsidP="00333DDF"/>
        </w:tc>
        <w:tc>
          <w:tcPr>
            <w:tcW w:w="3689" w:type="dxa"/>
          </w:tcPr>
          <w:p w:rsidR="00052B40" w:rsidRDefault="00052B40" w:rsidP="00333DDF"/>
        </w:tc>
        <w:tc>
          <w:tcPr>
            <w:tcW w:w="2879" w:type="dxa"/>
          </w:tcPr>
          <w:p w:rsidR="00052B40" w:rsidRDefault="00052B40" w:rsidP="00333DDF"/>
        </w:tc>
        <w:tc>
          <w:tcPr>
            <w:tcW w:w="2499" w:type="dxa"/>
          </w:tcPr>
          <w:p w:rsidR="00052B40" w:rsidRDefault="00052B40" w:rsidP="00333DDF"/>
        </w:tc>
      </w:tr>
      <w:tr w:rsidR="00052B40" w:rsidTr="00691CC9">
        <w:trPr>
          <w:trHeight w:val="3582"/>
        </w:trPr>
        <w:tc>
          <w:tcPr>
            <w:tcW w:w="846" w:type="dxa"/>
          </w:tcPr>
          <w:p w:rsidR="00052B40" w:rsidRDefault="00052B40" w:rsidP="00333DDF"/>
        </w:tc>
        <w:tc>
          <w:tcPr>
            <w:tcW w:w="2977" w:type="dxa"/>
          </w:tcPr>
          <w:p w:rsidR="00052B40" w:rsidRDefault="00052B40" w:rsidP="00333DDF"/>
        </w:tc>
        <w:tc>
          <w:tcPr>
            <w:tcW w:w="3689" w:type="dxa"/>
          </w:tcPr>
          <w:p w:rsidR="00052B40" w:rsidRDefault="00052B40" w:rsidP="00333DDF"/>
        </w:tc>
        <w:tc>
          <w:tcPr>
            <w:tcW w:w="2879" w:type="dxa"/>
          </w:tcPr>
          <w:p w:rsidR="00052B40" w:rsidRDefault="00052B40" w:rsidP="00333DDF"/>
        </w:tc>
        <w:tc>
          <w:tcPr>
            <w:tcW w:w="2499" w:type="dxa"/>
          </w:tcPr>
          <w:p w:rsidR="00052B40" w:rsidRDefault="00052B40" w:rsidP="00333DDF"/>
        </w:tc>
      </w:tr>
    </w:tbl>
    <w:p w:rsidR="00052B40" w:rsidRDefault="00052B40"/>
    <w:p w:rsidR="00052B40" w:rsidRDefault="00052B40"/>
    <w:p w:rsidR="00052B40" w:rsidRDefault="00052B40"/>
    <w:sectPr w:rsidR="00052B40" w:rsidSect="007B5BD0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08" w:rsidRDefault="00EF6808" w:rsidP="007B5BD0">
      <w:pPr>
        <w:spacing w:after="0" w:line="240" w:lineRule="auto"/>
      </w:pPr>
      <w:r>
        <w:separator/>
      </w:r>
    </w:p>
  </w:endnote>
  <w:endnote w:type="continuationSeparator" w:id="0">
    <w:p w:rsidR="00EF6808" w:rsidRDefault="00EF6808" w:rsidP="007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08" w:rsidRDefault="00EF6808" w:rsidP="007B5BD0">
      <w:pPr>
        <w:spacing w:after="0" w:line="240" w:lineRule="auto"/>
      </w:pPr>
      <w:r>
        <w:separator/>
      </w:r>
    </w:p>
  </w:footnote>
  <w:footnote w:type="continuationSeparator" w:id="0">
    <w:p w:rsidR="00EF6808" w:rsidRDefault="00EF6808" w:rsidP="007B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C9" w:rsidRDefault="00691C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0F7EC2D" wp14:editId="13A1F4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49950" cy="26987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CC9" w:rsidRDefault="00691CC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256878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Extended COVID-19 Contingency related Difference (E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-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CCRD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)</w:t>
                              </w:r>
                              <w:proofErr w:type="gramEnd"/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br/>
                            <w:t xml:space="preserve">Template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F7EC2D" id="Rectangle 1" o:spid="_x0000_s1026" style="position:absolute;margin-left:0;margin-top:0;width:468.5pt;height:21.25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" o:allowoverlap="f" fillcolor="#7f7f7f [1612]" stroked="f" strokeweight="1pt">
              <v:textbox style="mso-fit-shape-to-text:t">
                <w:txbxContent>
                  <w:p w:rsidR="00691CC9" w:rsidRDefault="00691CC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256878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Extended COVID-19 Contingency related Difference (E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-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CCRD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)</w:t>
                        </w:r>
                        <w:proofErr w:type="gramEnd"/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br/>
                      <w:t xml:space="preserve">Template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5103"/>
    <w:multiLevelType w:val="hybridMultilevel"/>
    <w:tmpl w:val="823E17F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M7YwszSxMDU2MTdR0lEKTi0uzszPAykwrAUA135uPSwAAAA="/>
  </w:docVars>
  <w:rsids>
    <w:rsidRoot w:val="004F5AB0"/>
    <w:rsid w:val="00052581"/>
    <w:rsid w:val="00052B40"/>
    <w:rsid w:val="002A77CF"/>
    <w:rsid w:val="00325F89"/>
    <w:rsid w:val="004F5AB0"/>
    <w:rsid w:val="00691CC9"/>
    <w:rsid w:val="006B6517"/>
    <w:rsid w:val="007370D8"/>
    <w:rsid w:val="007767AE"/>
    <w:rsid w:val="007B5BD0"/>
    <w:rsid w:val="00817BA4"/>
    <w:rsid w:val="00CF35C4"/>
    <w:rsid w:val="00CF65C9"/>
    <w:rsid w:val="00E901DE"/>
    <w:rsid w:val="00EB49BD"/>
    <w:rsid w:val="00EF6808"/>
    <w:rsid w:val="00FC64FC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EDAC"/>
  <w15:chartTrackingRefBased/>
  <w15:docId w15:val="{CB8669C9-8E1C-4FBE-B76E-87CC6567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0"/>
  </w:style>
  <w:style w:type="paragraph" w:styleId="Footer">
    <w:name w:val="footer"/>
    <w:basedOn w:val="Normal"/>
    <w:link w:val="FooterChar"/>
    <w:uiPriority w:val="99"/>
    <w:unhideWhenUsed/>
    <w:rsid w:val="007B5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0"/>
  </w:style>
  <w:style w:type="paragraph" w:styleId="ListParagraph">
    <w:name w:val="List Paragraph"/>
    <w:basedOn w:val="Normal"/>
    <w:uiPriority w:val="34"/>
    <w:qFormat/>
    <w:rsid w:val="007B5B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B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icao.in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83440FAD8849A321B3162FCAB20B" ma:contentTypeVersion="1" ma:contentTypeDescription="Create a new document." ma:contentTypeScope="" ma:versionID="9ba5507ca0d7041f68e9e3e5bd201b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24728D-5925-4F21-B044-1CF762D51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94E38-6AF4-46E2-AEC5-EA52FC38010B}"/>
</file>

<file path=customXml/itemProps3.xml><?xml version="1.0" encoding="utf-8"?>
<ds:datastoreItem xmlns:ds="http://schemas.openxmlformats.org/officeDocument/2006/customXml" ds:itemID="{4E858B4D-917D-4DCE-95E4-1A009D1F6099}"/>
</file>

<file path=customXml/itemProps4.xml><?xml version="1.0" encoding="utf-8"?>
<ds:datastoreItem xmlns:ds="http://schemas.openxmlformats.org/officeDocument/2006/customXml" ds:itemID="{C624C90E-5A86-493F-8A46-F2440539C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324</Words>
  <Characters>1867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COVID-19 Contingency related Difference (E-CCRD)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COVID-19 Contingency related Difference (E-CCRD)</dc:title>
  <dc:subject/>
  <dc:creator>Naini, Zahra</dc:creator>
  <cp:keywords/>
  <dc:description/>
  <cp:lastModifiedBy>Marin, Miguel</cp:lastModifiedBy>
  <cp:revision>7</cp:revision>
  <dcterms:created xsi:type="dcterms:W3CDTF">2020-06-05T21:29:00Z</dcterms:created>
  <dcterms:modified xsi:type="dcterms:W3CDTF">2020-06-12T22:38:00Z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0x010100856B83440FAD8849A321B3162FCAB20B</vt:lpwstr>
  </property>
</Properties>
</file>