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65136" w14:textId="23FE0032" w:rsidR="004366C0" w:rsidRPr="007776AD" w:rsidRDefault="004366C0" w:rsidP="007776AD">
      <w:pPr>
        <w:pStyle w:val="Heading1"/>
        <w:jc w:val="center"/>
        <w:rPr>
          <w:b w:val="0"/>
          <w:bCs w:val="0"/>
          <w:sz w:val="24"/>
          <w:szCs w:val="24"/>
          <w:lang w:val="en-US"/>
        </w:rPr>
      </w:pPr>
      <w:r>
        <w:rPr>
          <w:b w:val="0"/>
          <w:bCs w:val="0"/>
          <w:sz w:val="24"/>
          <w:lang w:val="en-US"/>
        </w:rPr>
        <w:t xml:space="preserve">ICAO response to the </w:t>
      </w:r>
      <w:r w:rsidRPr="003B14CA">
        <w:rPr>
          <w:b w:val="0"/>
          <w:bCs w:val="0"/>
          <w:sz w:val="24"/>
          <w:szCs w:val="24"/>
          <w:lang w:val="en-US"/>
        </w:rPr>
        <w:t xml:space="preserve">Public Consultation </w:t>
      </w:r>
      <w:r>
        <w:rPr>
          <w:b w:val="0"/>
          <w:bCs w:val="0"/>
          <w:sz w:val="24"/>
          <w:lang w:val="en-US"/>
        </w:rPr>
        <w:t xml:space="preserve">on </w:t>
      </w:r>
      <w:r w:rsidRPr="003B14CA">
        <w:rPr>
          <w:b w:val="0"/>
          <w:bCs w:val="0"/>
          <w:sz w:val="24"/>
          <w:szCs w:val="24"/>
          <w:lang w:val="en-US"/>
        </w:rPr>
        <w:t>ECC Report 306</w:t>
      </w:r>
    </w:p>
    <w:p w14:paraId="7E067FDF" w14:textId="77777777" w:rsidR="004366C0" w:rsidRPr="000C341A" w:rsidRDefault="004366C0" w:rsidP="004366C0">
      <w:pPr>
        <w:pStyle w:val="Heading1"/>
        <w:numPr>
          <w:ilvl w:val="0"/>
          <w:numId w:val="1"/>
        </w:numPr>
        <w:spacing w:line="480" w:lineRule="auto"/>
        <w:rPr>
          <w:rFonts w:asciiTheme="minorHAnsi" w:hAnsiTheme="minorHAnsi"/>
          <w:b w:val="0"/>
          <w:bCs w:val="0"/>
          <w:sz w:val="22"/>
          <w:szCs w:val="22"/>
          <w:lang w:val="en-US"/>
        </w:rPr>
      </w:pPr>
      <w:r w:rsidRPr="000C341A">
        <w:rPr>
          <w:rFonts w:asciiTheme="minorHAnsi" w:hAnsiTheme="minorHAnsi"/>
          <w:b w:val="0"/>
          <w:bCs w:val="0"/>
          <w:sz w:val="22"/>
          <w:szCs w:val="22"/>
          <w:lang w:val="en-US"/>
        </w:rPr>
        <w:t>Appendix 1 – Regulatory and legal issues</w:t>
      </w:r>
    </w:p>
    <w:p w14:paraId="5A64867F" w14:textId="77777777" w:rsidR="004366C0" w:rsidRPr="000C341A" w:rsidRDefault="004366C0" w:rsidP="004366C0">
      <w:pPr>
        <w:pStyle w:val="Subtitle"/>
        <w:numPr>
          <w:ilvl w:val="1"/>
          <w:numId w:val="1"/>
        </w:numPr>
        <w:rPr>
          <w:rFonts w:asciiTheme="minorHAnsi" w:hAnsiTheme="minorHAnsi"/>
          <w:sz w:val="22"/>
          <w:szCs w:val="22"/>
          <w:lang w:val="en-US"/>
        </w:rPr>
      </w:pPr>
      <w:r w:rsidRPr="000C341A">
        <w:rPr>
          <w:rFonts w:asciiTheme="minorHAnsi" w:hAnsiTheme="minorHAnsi"/>
          <w:sz w:val="22"/>
          <w:szCs w:val="22"/>
          <w:lang w:val="en-US"/>
        </w:rPr>
        <w:t>General view</w:t>
      </w:r>
    </w:p>
    <w:p w14:paraId="5D8892F9" w14:textId="77777777" w:rsidR="004366C0" w:rsidRPr="000C341A" w:rsidRDefault="004366C0" w:rsidP="004366C0">
      <w:pPr>
        <w:rPr>
          <w:lang w:val="en-US"/>
        </w:rPr>
      </w:pPr>
      <w:r w:rsidRPr="000C341A">
        <w:rPr>
          <w:lang w:val="en-US"/>
        </w:rPr>
        <w:t>Contrary to opinion expressed by some spectrum regulators, PMSE users are described in the report as professional users who respect all rules. No definition of a PMSE professional user is provided.</w:t>
      </w:r>
    </w:p>
    <w:p w14:paraId="20DFB5CB" w14:textId="1CBAE9DB" w:rsidR="004366C0" w:rsidRPr="000C341A" w:rsidRDefault="004366C0" w:rsidP="004366C0">
      <w:pPr>
        <w:rPr>
          <w:lang w:val="en-US"/>
        </w:rPr>
      </w:pPr>
      <w:r w:rsidRPr="000C341A">
        <w:rPr>
          <w:lang w:val="en-US"/>
        </w:rPr>
        <w:t xml:space="preserve">On the other hand, Air Traffic Safety Electronics Personnel (ATSEP) are trained professionals which install and maintain safety of life critical aeronautical equipment, thus also reflected appropriately in safety cases. One can find a reference in the following link: </w:t>
      </w:r>
      <w:hyperlink r:id="rId8" w:history="1">
        <w:r w:rsidRPr="000C341A">
          <w:rPr>
            <w:rStyle w:val="Hyperlink"/>
            <w:lang w:val="en-US"/>
          </w:rPr>
          <w:t>ESARR 5</w:t>
        </w:r>
      </w:hyperlink>
      <w:r w:rsidRPr="000C341A">
        <w:rPr>
          <w:rStyle w:val="FootnoteReference"/>
          <w:lang w:val="en-US"/>
        </w:rPr>
        <w:footnoteReference w:id="1"/>
      </w:r>
      <w:r w:rsidRPr="000C341A">
        <w:rPr>
          <w:lang w:val="en-US"/>
        </w:rPr>
        <w:t>.</w:t>
      </w:r>
    </w:p>
    <w:p w14:paraId="414DE398" w14:textId="77777777" w:rsidR="004366C0" w:rsidRPr="000C341A" w:rsidRDefault="004366C0" w:rsidP="004366C0">
      <w:pPr>
        <w:pStyle w:val="Subtitle"/>
        <w:numPr>
          <w:ilvl w:val="1"/>
          <w:numId w:val="1"/>
        </w:numPr>
        <w:rPr>
          <w:rFonts w:asciiTheme="minorHAnsi" w:hAnsiTheme="minorHAnsi"/>
          <w:sz w:val="22"/>
          <w:szCs w:val="22"/>
          <w:lang w:val="en-US"/>
        </w:rPr>
      </w:pPr>
      <w:r w:rsidRPr="000C341A">
        <w:rPr>
          <w:rFonts w:asciiTheme="minorHAnsi" w:hAnsiTheme="minorHAnsi"/>
          <w:sz w:val="22"/>
          <w:szCs w:val="22"/>
          <w:lang w:val="en-US"/>
        </w:rPr>
        <w:t>Detailed comment</w:t>
      </w:r>
    </w:p>
    <w:p w14:paraId="6421168F" w14:textId="77777777" w:rsidR="004366C0" w:rsidRDefault="004366C0" w:rsidP="004366C0">
      <w:pPr>
        <w:rPr>
          <w:iCs/>
          <w:lang w:val="en-US"/>
        </w:rPr>
      </w:pPr>
      <w:r>
        <w:rPr>
          <w:lang w:val="en-US"/>
        </w:rPr>
        <w:t>An additional sentence is proposed</w:t>
      </w:r>
      <w:r w:rsidRPr="000C341A">
        <w:rPr>
          <w:lang w:val="en-US"/>
        </w:rPr>
        <w:t xml:space="preserve"> in </w:t>
      </w:r>
      <w:r>
        <w:rPr>
          <w:lang w:val="en-US"/>
        </w:rPr>
        <w:t>section</w:t>
      </w:r>
      <w:r w:rsidRPr="000C341A">
        <w:rPr>
          <w:lang w:val="en-US"/>
        </w:rPr>
        <w:t xml:space="preserve"> 5.2 after the sentence: </w:t>
      </w:r>
      <w:r w:rsidRPr="000C341A">
        <w:rPr>
          <w:i/>
          <w:lang w:val="en-US"/>
        </w:rPr>
        <w:t>“In many sectors the definition of an expert is well established by consensus and therefore it is not necessary for individuals to have a professional or academic qualification for them to be accepted as an expert, and this is the case across the PMSE sector”</w:t>
      </w:r>
      <w:r w:rsidRPr="000C341A">
        <w:rPr>
          <w:iCs/>
          <w:lang w:val="en-US"/>
        </w:rPr>
        <w:t xml:space="preserve">:  </w:t>
      </w:r>
    </w:p>
    <w:p w14:paraId="03443DD8" w14:textId="49AA43F6" w:rsidR="004366C0" w:rsidRPr="000C341A" w:rsidRDefault="004366C0" w:rsidP="004366C0">
      <w:pPr>
        <w:rPr>
          <w:color w:val="FF0000"/>
          <w:lang w:val="en-US"/>
        </w:rPr>
      </w:pPr>
      <w:proofErr w:type="gramStart"/>
      <w:r w:rsidRPr="000C341A">
        <w:rPr>
          <w:color w:val="FF0000"/>
          <w:lang w:val="en-US"/>
        </w:rPr>
        <w:t>However</w:t>
      </w:r>
      <w:proofErr w:type="gramEnd"/>
      <w:r w:rsidRPr="000C341A">
        <w:rPr>
          <w:color w:val="FF0000"/>
          <w:lang w:val="en-US"/>
        </w:rPr>
        <w:t xml:space="preserve"> as there is no formal training of PMSE users, it is impossible to assess their proficiency by an officially recognized body in which the aviation community could trust, in order to ensure that the required level of safety for the usage of spectrum is maintained. </w:t>
      </w:r>
    </w:p>
    <w:p w14:paraId="6C0527D6" w14:textId="77777777" w:rsidR="004366C0" w:rsidRPr="000C341A" w:rsidRDefault="004366C0" w:rsidP="004366C0">
      <w:pPr>
        <w:rPr>
          <w:rStyle w:val="ECCParagraph"/>
          <w:rFonts w:asciiTheme="minorHAnsi" w:hAnsiTheme="minorHAnsi"/>
          <w:sz w:val="22"/>
          <w:lang w:val="en-US"/>
        </w:rPr>
      </w:pPr>
      <w:r w:rsidRPr="000C341A">
        <w:rPr>
          <w:lang w:val="en-US"/>
        </w:rPr>
        <w:t>Proposed new paragraph</w:t>
      </w:r>
      <w:r>
        <w:rPr>
          <w:lang w:val="en-US"/>
        </w:rPr>
        <w:t xml:space="preserve"> at the end of</w:t>
      </w:r>
      <w:r w:rsidRPr="000C341A">
        <w:rPr>
          <w:lang w:val="en-US"/>
        </w:rPr>
        <w:t xml:space="preserve"> </w:t>
      </w:r>
      <w:r>
        <w:rPr>
          <w:lang w:val="en-US"/>
        </w:rPr>
        <w:t>section</w:t>
      </w:r>
      <w:r w:rsidRPr="000C341A">
        <w:rPr>
          <w:lang w:val="en-US"/>
        </w:rPr>
        <w:t xml:space="preserve"> 5.1.2.1</w:t>
      </w:r>
      <w:r>
        <w:rPr>
          <w:lang w:val="en-US"/>
        </w:rPr>
        <w:t>,</w:t>
      </w:r>
      <w:r w:rsidRPr="000C341A">
        <w:rPr>
          <w:lang w:val="en-US"/>
        </w:rPr>
        <w:t xml:space="preserve"> after the sentence: </w:t>
      </w:r>
      <w:r>
        <w:rPr>
          <w:lang w:val="en-US"/>
        </w:rPr>
        <w:t>“</w:t>
      </w:r>
      <w:r w:rsidRPr="000C341A">
        <w:rPr>
          <w:rStyle w:val="ECCParagraph"/>
          <w:rFonts w:asciiTheme="minorHAnsi" w:hAnsiTheme="minorHAnsi"/>
          <w:i/>
          <w:sz w:val="22"/>
          <w:lang w:val="en-US"/>
        </w:rPr>
        <w:t>If the safety risk assessment identifies PMSE to have a potential impact on aeronautical navigation or surveillance systems then mitigation measures would have to be identified and put in place</w:t>
      </w:r>
      <w:r>
        <w:rPr>
          <w:rStyle w:val="ECCParagraph"/>
          <w:i/>
          <w:lang w:val="en-US"/>
        </w:rPr>
        <w:t>”</w:t>
      </w:r>
      <w:r w:rsidRPr="000C341A">
        <w:rPr>
          <w:rStyle w:val="ECCParagraph"/>
          <w:rFonts w:asciiTheme="minorHAnsi" w:hAnsiTheme="minorHAnsi"/>
          <w:sz w:val="22"/>
          <w:lang w:val="en-US"/>
        </w:rPr>
        <w:t xml:space="preserve">: </w:t>
      </w:r>
    </w:p>
    <w:p w14:paraId="5EDF1BC4" w14:textId="433FAD58" w:rsidR="004366C0" w:rsidRDefault="004366C0" w:rsidP="004366C0">
      <w:pPr>
        <w:rPr>
          <w:color w:val="FF0000"/>
          <w:lang w:val="en-US"/>
        </w:rPr>
      </w:pPr>
      <w:r w:rsidRPr="000C341A">
        <w:rPr>
          <w:color w:val="FF0000"/>
          <w:lang w:val="en-US"/>
        </w:rPr>
        <w:t xml:space="preserve">Any administration </w:t>
      </w:r>
      <w:r w:rsidR="003B313B">
        <w:rPr>
          <w:color w:val="FF0000"/>
          <w:lang w:val="en-US"/>
        </w:rPr>
        <w:t>planning</w:t>
      </w:r>
      <w:r w:rsidRPr="000C341A">
        <w:rPr>
          <w:color w:val="FF0000"/>
          <w:lang w:val="en-US"/>
        </w:rPr>
        <w:t xml:space="preserve"> to introduce a non-aeronautical system in the 960-1164 MHz band should put a training and licensing scheme in place, to ensure that the new non-aeronautical systems users can only operate equipment in the band after providing evidence that their equipment, processes, operational procedures, SMS, safety cases and mitigation techni</w:t>
      </w:r>
      <w:r w:rsidR="003B313B">
        <w:rPr>
          <w:color w:val="FF0000"/>
          <w:lang w:val="en-US"/>
        </w:rPr>
        <w:t>ques</w:t>
      </w:r>
      <w:r w:rsidRPr="000C341A">
        <w:rPr>
          <w:color w:val="FF0000"/>
          <w:lang w:val="en-US"/>
        </w:rPr>
        <w:t xml:space="preserve"> are approved by the National Supervisory Authority (NSA). It is also the responsibility of the NSA to coordinate with the CAA and ANSPs.</w:t>
      </w:r>
    </w:p>
    <w:p w14:paraId="403B7F4D" w14:textId="458F8354" w:rsidR="007776AD" w:rsidRPr="000C341A" w:rsidRDefault="007776AD" w:rsidP="004366C0">
      <w:pPr>
        <w:rPr>
          <w:color w:val="FF0000"/>
          <w:lang w:val="en-US"/>
        </w:rPr>
      </w:pPr>
      <w:r>
        <w:rPr>
          <w:color w:val="FF0000"/>
          <w:lang w:val="en-US"/>
        </w:rPr>
        <w:br w:type="page"/>
      </w:r>
    </w:p>
    <w:p w14:paraId="303906EB" w14:textId="77777777" w:rsidR="004366C0" w:rsidRPr="000C341A" w:rsidRDefault="004366C0" w:rsidP="004366C0">
      <w:pPr>
        <w:pStyle w:val="Heading1"/>
        <w:numPr>
          <w:ilvl w:val="0"/>
          <w:numId w:val="1"/>
        </w:numPr>
        <w:rPr>
          <w:rFonts w:asciiTheme="minorHAnsi" w:hAnsiTheme="minorHAnsi"/>
          <w:b w:val="0"/>
          <w:bCs w:val="0"/>
          <w:sz w:val="22"/>
          <w:szCs w:val="22"/>
          <w:lang w:val="en-US"/>
        </w:rPr>
      </w:pPr>
      <w:r w:rsidRPr="000C341A">
        <w:rPr>
          <w:rFonts w:asciiTheme="minorHAnsi" w:hAnsiTheme="minorHAnsi"/>
          <w:b w:val="0"/>
          <w:bCs w:val="0"/>
          <w:sz w:val="22"/>
          <w:szCs w:val="22"/>
          <w:lang w:val="en-US"/>
        </w:rPr>
        <w:lastRenderedPageBreak/>
        <w:t>Appendix 2 – Sharing studies</w:t>
      </w:r>
    </w:p>
    <w:p w14:paraId="16CB419C" w14:textId="77777777" w:rsidR="004366C0" w:rsidRPr="000C341A" w:rsidRDefault="004366C0" w:rsidP="004366C0">
      <w:pPr>
        <w:rPr>
          <w:lang w:val="en-US"/>
        </w:rPr>
      </w:pPr>
    </w:p>
    <w:p w14:paraId="0EA0C827" w14:textId="77777777" w:rsidR="004366C0" w:rsidRPr="000C341A" w:rsidRDefault="004366C0" w:rsidP="004366C0">
      <w:pPr>
        <w:pStyle w:val="Subtitle"/>
        <w:numPr>
          <w:ilvl w:val="1"/>
          <w:numId w:val="1"/>
        </w:numPr>
        <w:rPr>
          <w:rFonts w:asciiTheme="minorHAnsi" w:hAnsiTheme="minorHAnsi"/>
          <w:sz w:val="22"/>
          <w:szCs w:val="22"/>
          <w:lang w:val="en-US"/>
        </w:rPr>
      </w:pPr>
      <w:r w:rsidRPr="000C341A">
        <w:rPr>
          <w:rFonts w:asciiTheme="minorHAnsi" w:hAnsiTheme="minorHAnsi"/>
          <w:sz w:val="22"/>
          <w:szCs w:val="22"/>
          <w:lang w:val="en-US"/>
        </w:rPr>
        <w:t>General view</w:t>
      </w:r>
    </w:p>
    <w:p w14:paraId="492B48C6" w14:textId="77777777" w:rsidR="004366C0" w:rsidRPr="000C341A" w:rsidRDefault="004366C0" w:rsidP="004366C0">
      <w:pPr>
        <w:spacing w:before="100" w:beforeAutospacing="1" w:after="100" w:afterAutospacing="1" w:line="240" w:lineRule="auto"/>
        <w:rPr>
          <w:rFonts w:eastAsia="Times New Roman" w:cs="Times New Roman"/>
          <w:b/>
          <w:bCs/>
          <w:lang w:val="en-US" w:eastAsia="fr-FR"/>
        </w:rPr>
      </w:pPr>
      <w:r w:rsidRPr="000C341A">
        <w:rPr>
          <w:rFonts w:eastAsia="Times New Roman" w:cs="Times New Roman"/>
          <w:b/>
          <w:bCs/>
          <w:lang w:val="en-US" w:eastAsia="fr-FR"/>
        </w:rPr>
        <w:t>Protection Criteria to be considered</w:t>
      </w:r>
    </w:p>
    <w:p w14:paraId="1C93AE25" w14:textId="77777777" w:rsidR="004366C0" w:rsidRPr="000C341A" w:rsidRDefault="004366C0" w:rsidP="004366C0">
      <w:pPr>
        <w:rPr>
          <w:rFonts w:eastAsia="Times New Roman" w:cs="Times New Roman"/>
          <w:lang w:val="en-US" w:eastAsia="fr-FR"/>
        </w:rPr>
      </w:pPr>
      <w:r w:rsidRPr="000C341A">
        <w:rPr>
          <w:lang w:val="en-US"/>
        </w:rPr>
        <w:t>Due to the need of high availability, integrity and continuity of service, I/N protection criteria is normally used in ITU-R studies when performing sharing studies with aeronautical safety of life services.</w:t>
      </w:r>
    </w:p>
    <w:p w14:paraId="688C8F97" w14:textId="77777777" w:rsidR="004366C0" w:rsidRPr="000C341A" w:rsidRDefault="004366C0" w:rsidP="004366C0">
      <w:pPr>
        <w:spacing w:before="100" w:beforeAutospacing="1" w:after="100" w:afterAutospacing="1" w:line="240" w:lineRule="auto"/>
        <w:rPr>
          <w:rFonts w:eastAsia="Times New Roman" w:cs="Times New Roman"/>
          <w:lang w:val="en-US" w:eastAsia="fr-FR"/>
        </w:rPr>
      </w:pPr>
      <w:r w:rsidRPr="000C341A">
        <w:rPr>
          <w:rFonts w:eastAsia="Times New Roman" w:cs="Times New Roman"/>
          <w:b/>
          <w:bCs/>
          <w:lang w:val="en-US" w:eastAsia="fr-FR"/>
        </w:rPr>
        <w:t>Propagation model</w:t>
      </w:r>
    </w:p>
    <w:p w14:paraId="736D7F00" w14:textId="77777777" w:rsidR="004366C0" w:rsidRPr="000C341A" w:rsidRDefault="004366C0" w:rsidP="004366C0">
      <w:pPr>
        <w:rPr>
          <w:lang w:val="en-US"/>
        </w:rPr>
      </w:pPr>
      <w:r w:rsidRPr="000C341A">
        <w:rPr>
          <w:lang w:val="en-US"/>
        </w:rPr>
        <w:t>When considering scenarios involving aircraft, the propagation models contained in ITU-R Recommendations P.525-2 (or P.525-4) and P.528-3 are generally used</w:t>
      </w:r>
      <w:r>
        <w:rPr>
          <w:lang w:val="en-US"/>
        </w:rPr>
        <w:t>.</w:t>
      </w:r>
    </w:p>
    <w:p w14:paraId="4AAE1976" w14:textId="77777777" w:rsidR="004366C0" w:rsidRPr="000C341A" w:rsidRDefault="004366C0" w:rsidP="004366C0">
      <w:pPr>
        <w:spacing w:before="100" w:beforeAutospacing="1" w:after="100" w:afterAutospacing="1" w:line="240" w:lineRule="auto"/>
        <w:rPr>
          <w:rFonts w:eastAsia="Times New Roman" w:cs="Times New Roman"/>
          <w:lang w:val="en-US" w:eastAsia="fr-FR"/>
        </w:rPr>
      </w:pPr>
      <w:r w:rsidRPr="000C341A">
        <w:rPr>
          <w:rFonts w:eastAsia="Times New Roman" w:cs="Times New Roman"/>
          <w:b/>
          <w:bCs/>
          <w:lang w:val="en-US" w:eastAsia="fr-FR"/>
        </w:rPr>
        <w:t>Consideration of body loss</w:t>
      </w:r>
    </w:p>
    <w:p w14:paraId="1413A474" w14:textId="77777777" w:rsidR="004366C0" w:rsidRPr="000C341A" w:rsidRDefault="004366C0" w:rsidP="004366C0">
      <w:pPr>
        <w:rPr>
          <w:lang w:val="en-US"/>
        </w:rPr>
      </w:pPr>
      <w:r w:rsidRPr="000C341A">
        <w:rPr>
          <w:lang w:val="en-US"/>
        </w:rPr>
        <w:t xml:space="preserve">For the sake of completeness and in order to consider the </w:t>
      </w:r>
      <w:proofErr w:type="gramStart"/>
      <w:r w:rsidRPr="000C341A">
        <w:rPr>
          <w:lang w:val="en-US"/>
        </w:rPr>
        <w:t>worst case</w:t>
      </w:r>
      <w:proofErr w:type="gramEnd"/>
      <w:r w:rsidRPr="000C341A">
        <w:rPr>
          <w:lang w:val="en-US"/>
        </w:rPr>
        <w:t xml:space="preserve"> scenario, body loss should not be considered. There are some concerns regarding the validity of ECC report 286.</w:t>
      </w:r>
    </w:p>
    <w:p w14:paraId="5098AEC9" w14:textId="77777777" w:rsidR="004366C0" w:rsidRPr="000C341A" w:rsidRDefault="004366C0" w:rsidP="004366C0">
      <w:pPr>
        <w:spacing w:before="100" w:beforeAutospacing="1" w:after="100" w:afterAutospacing="1" w:line="240" w:lineRule="auto"/>
        <w:rPr>
          <w:rFonts w:eastAsia="Times New Roman" w:cs="Times New Roman"/>
          <w:b/>
          <w:bCs/>
          <w:lang w:val="en-US" w:eastAsia="fr-FR"/>
        </w:rPr>
      </w:pPr>
      <w:r w:rsidRPr="000C341A">
        <w:rPr>
          <w:rFonts w:eastAsia="Times New Roman" w:cs="Times New Roman"/>
          <w:b/>
          <w:bCs/>
          <w:lang w:val="en-US" w:eastAsia="fr-FR"/>
        </w:rPr>
        <w:t xml:space="preserve">Use of </w:t>
      </w:r>
      <w:proofErr w:type="gramStart"/>
      <w:r w:rsidRPr="000C341A">
        <w:rPr>
          <w:rFonts w:eastAsia="Times New Roman" w:cs="Times New Roman"/>
          <w:b/>
          <w:bCs/>
          <w:lang w:val="en-US" w:eastAsia="fr-FR"/>
        </w:rPr>
        <w:t>worst case</w:t>
      </w:r>
      <w:proofErr w:type="gramEnd"/>
      <w:r w:rsidRPr="000C341A">
        <w:rPr>
          <w:rFonts w:eastAsia="Times New Roman" w:cs="Times New Roman"/>
          <w:b/>
          <w:bCs/>
          <w:lang w:val="en-US" w:eastAsia="fr-FR"/>
        </w:rPr>
        <w:t xml:space="preserve"> aircraft receiver</w:t>
      </w:r>
    </w:p>
    <w:p w14:paraId="0C763B26" w14:textId="77777777" w:rsidR="004366C0" w:rsidRPr="000C341A" w:rsidRDefault="004366C0" w:rsidP="004366C0">
      <w:pPr>
        <w:rPr>
          <w:lang w:val="en-US"/>
        </w:rPr>
      </w:pPr>
      <w:r w:rsidRPr="000C341A">
        <w:rPr>
          <w:lang w:val="en-US"/>
        </w:rPr>
        <w:t xml:space="preserve">When performing sharing studies, the </w:t>
      </w:r>
      <w:proofErr w:type="gramStart"/>
      <w:r w:rsidRPr="000C341A">
        <w:rPr>
          <w:lang w:val="en-US"/>
        </w:rPr>
        <w:t>worst case</w:t>
      </w:r>
      <w:proofErr w:type="gramEnd"/>
      <w:r w:rsidRPr="000C341A">
        <w:rPr>
          <w:lang w:val="en-US"/>
        </w:rPr>
        <w:t xml:space="preserve"> receiver characteristics should be considered. </w:t>
      </w:r>
    </w:p>
    <w:p w14:paraId="2EC7EA63" w14:textId="77777777" w:rsidR="004366C0" w:rsidRPr="000C341A" w:rsidRDefault="004366C0" w:rsidP="004366C0">
      <w:pPr>
        <w:rPr>
          <w:lang w:val="en-US"/>
        </w:rPr>
      </w:pPr>
      <w:r w:rsidRPr="000C341A">
        <w:rPr>
          <w:lang w:val="en-US"/>
        </w:rPr>
        <w:t>For the 1030 &amp; 1090 MHz, it is important to take account of the receivers with the widest input bandwidth, certified and in operation onboard aircraft. The guard band that is defined for protecting aviation systems should not be minimized.</w:t>
      </w:r>
    </w:p>
    <w:p w14:paraId="467799AD" w14:textId="77777777" w:rsidR="004366C0" w:rsidRPr="000C341A" w:rsidRDefault="004366C0" w:rsidP="004366C0">
      <w:pPr>
        <w:spacing w:before="100" w:beforeAutospacing="1" w:after="100" w:afterAutospacing="1" w:line="240" w:lineRule="auto"/>
        <w:rPr>
          <w:rFonts w:eastAsia="Times New Roman" w:cs="Times New Roman"/>
          <w:b/>
          <w:bCs/>
          <w:lang w:val="en-US" w:eastAsia="fr-FR"/>
        </w:rPr>
      </w:pPr>
      <w:r w:rsidRPr="000C341A">
        <w:rPr>
          <w:rFonts w:eastAsia="Times New Roman" w:cs="Times New Roman"/>
          <w:b/>
          <w:bCs/>
          <w:lang w:val="en-US" w:eastAsia="fr-FR"/>
        </w:rPr>
        <w:t>Use of aggregated effect</w:t>
      </w:r>
    </w:p>
    <w:p w14:paraId="754F6726" w14:textId="77777777" w:rsidR="004366C0" w:rsidRPr="000C341A" w:rsidRDefault="004366C0" w:rsidP="004366C0">
      <w:pPr>
        <w:rPr>
          <w:lang w:val="en-US"/>
        </w:rPr>
      </w:pPr>
      <w:r w:rsidRPr="000C341A">
        <w:rPr>
          <w:lang w:val="en-US"/>
        </w:rPr>
        <w:t>The defined protection criteria should account for the aggregated effect of several PMSE channels which may be active simultaneously within the wider channel of the aircraft receiver. For a DME receiver it can be envisaged that up to 5 consecutive 200 kHz channels could be active at the same time within a 1 MHz segment (3 channels in one location), corresponding to the receive bandwidth of a DME receiver.  In case of an SSR receiver, the receive bandwidth can be very wide.</w:t>
      </w:r>
    </w:p>
    <w:p w14:paraId="02350CD4" w14:textId="77777777" w:rsidR="004366C0" w:rsidRPr="000C341A" w:rsidRDefault="004366C0" w:rsidP="004366C0">
      <w:pPr>
        <w:rPr>
          <w:lang w:val="en-US"/>
        </w:rPr>
      </w:pPr>
      <w:r w:rsidRPr="000C341A">
        <w:rPr>
          <w:lang w:val="en-US"/>
        </w:rPr>
        <w:t>An example of an apportionment methodology is found within the Recommendation ITU-R M.1639-1 which describes a comparable scenario of CW interference from GNSS into DME in the band 1164</w:t>
      </w:r>
      <w:r w:rsidRPr="000C341A">
        <w:rPr>
          <w:lang w:val="en-US"/>
        </w:rPr>
        <w:noBreakHyphen/>
        <w:t>1215 </w:t>
      </w:r>
      <w:proofErr w:type="spellStart"/>
      <w:r w:rsidRPr="000C341A">
        <w:rPr>
          <w:lang w:val="en-US"/>
        </w:rPr>
        <w:t>MHz.</w:t>
      </w:r>
      <w:proofErr w:type="spellEnd"/>
    </w:p>
    <w:p w14:paraId="4839C368" w14:textId="77777777" w:rsidR="004366C0" w:rsidRPr="000C341A" w:rsidRDefault="004366C0" w:rsidP="004366C0">
      <w:pPr>
        <w:rPr>
          <w:lang w:val="en-US"/>
        </w:rPr>
      </w:pPr>
    </w:p>
    <w:p w14:paraId="6B0A54EE" w14:textId="77777777" w:rsidR="004366C0" w:rsidRPr="000C341A" w:rsidRDefault="004366C0" w:rsidP="004366C0">
      <w:pPr>
        <w:pStyle w:val="Subtitle"/>
        <w:numPr>
          <w:ilvl w:val="1"/>
          <w:numId w:val="1"/>
        </w:numPr>
        <w:rPr>
          <w:rFonts w:asciiTheme="minorHAnsi" w:hAnsiTheme="minorHAnsi"/>
          <w:sz w:val="22"/>
          <w:szCs w:val="22"/>
          <w:lang w:val="en-US"/>
        </w:rPr>
      </w:pPr>
      <w:r w:rsidRPr="000C341A">
        <w:rPr>
          <w:rFonts w:asciiTheme="minorHAnsi" w:hAnsiTheme="minorHAnsi"/>
          <w:sz w:val="22"/>
          <w:szCs w:val="22"/>
          <w:lang w:val="en-US"/>
        </w:rPr>
        <w:t xml:space="preserve"> Detailed comment</w:t>
      </w:r>
    </w:p>
    <w:p w14:paraId="066931BD" w14:textId="77777777" w:rsidR="004366C0" w:rsidRPr="000C341A" w:rsidRDefault="004366C0" w:rsidP="004366C0">
      <w:pPr>
        <w:rPr>
          <w:lang w:val="en-US"/>
        </w:rPr>
      </w:pPr>
      <w:r w:rsidRPr="000C341A">
        <w:rPr>
          <w:lang w:val="en-US"/>
        </w:rPr>
        <w:t>Proposed comments to be added at the end of the summary of Annex 2:</w:t>
      </w:r>
    </w:p>
    <w:p w14:paraId="0CA5DC21" w14:textId="5AA50C51" w:rsidR="004366C0" w:rsidRPr="000C341A" w:rsidRDefault="004366C0" w:rsidP="004366C0">
      <w:pPr>
        <w:rPr>
          <w:color w:val="FF0000"/>
          <w:lang w:val="en-US"/>
        </w:rPr>
      </w:pPr>
      <w:r w:rsidRPr="000C341A">
        <w:rPr>
          <w:color w:val="FF0000"/>
          <w:lang w:val="en-US"/>
        </w:rPr>
        <w:t>It remains unknown whether and to which extent there may have been interference to DME during the trials</w:t>
      </w:r>
      <w:r w:rsidR="009F25A0">
        <w:rPr>
          <w:color w:val="FF0000"/>
          <w:lang w:val="en-US"/>
        </w:rPr>
        <w:t xml:space="preserve"> as t</w:t>
      </w:r>
      <w:r w:rsidR="00793E05">
        <w:rPr>
          <w:color w:val="FF0000"/>
          <w:lang w:val="en-US"/>
        </w:rPr>
        <w:t>h</w:t>
      </w:r>
      <w:r w:rsidRPr="000C341A">
        <w:rPr>
          <w:color w:val="FF0000"/>
          <w:lang w:val="en-US"/>
        </w:rPr>
        <w:t xml:space="preserve">ere are no good means of measuring degradation in DME performance </w:t>
      </w:r>
      <w:r w:rsidR="003B313B">
        <w:rPr>
          <w:color w:val="FF0000"/>
          <w:lang w:val="en-US"/>
        </w:rPr>
        <w:t xml:space="preserve">up to the point </w:t>
      </w:r>
      <w:r w:rsidR="003B313B">
        <w:rPr>
          <w:color w:val="FF0000"/>
          <w:lang w:val="en-US"/>
        </w:rPr>
        <w:lastRenderedPageBreak/>
        <w:t xml:space="preserve">at which a transponder </w:t>
      </w:r>
      <w:r w:rsidR="00793E05">
        <w:rPr>
          <w:color w:val="FF0000"/>
          <w:lang w:val="en-US"/>
        </w:rPr>
        <w:t xml:space="preserve">indicates an </w:t>
      </w:r>
      <w:r w:rsidR="003B313B">
        <w:rPr>
          <w:color w:val="FF0000"/>
          <w:lang w:val="en-US"/>
        </w:rPr>
        <w:t>alarm</w:t>
      </w:r>
      <w:r w:rsidR="00793E05">
        <w:rPr>
          <w:color w:val="FF0000"/>
          <w:lang w:val="en-US"/>
        </w:rPr>
        <w:t xml:space="preserve"> condition</w:t>
      </w:r>
      <w:r w:rsidR="003B313B">
        <w:rPr>
          <w:color w:val="FF0000"/>
          <w:lang w:val="en-US"/>
        </w:rPr>
        <w:t xml:space="preserve"> due to the reply efficiency</w:t>
      </w:r>
      <w:r w:rsidR="003B313B" w:rsidRPr="000C341A">
        <w:rPr>
          <w:color w:val="FF0000"/>
          <w:lang w:val="en-US"/>
        </w:rPr>
        <w:t xml:space="preserve"> </w:t>
      </w:r>
      <w:r w:rsidR="00793E05">
        <w:rPr>
          <w:color w:val="FF0000"/>
          <w:lang w:val="en-US"/>
        </w:rPr>
        <w:t xml:space="preserve">having </w:t>
      </w:r>
      <w:r w:rsidR="003B313B">
        <w:rPr>
          <w:color w:val="FF0000"/>
          <w:lang w:val="en-US"/>
        </w:rPr>
        <w:t>dropp</w:t>
      </w:r>
      <w:r w:rsidR="00793E05">
        <w:rPr>
          <w:color w:val="FF0000"/>
          <w:lang w:val="en-US"/>
        </w:rPr>
        <w:t>ed</w:t>
      </w:r>
      <w:r w:rsidR="003B313B">
        <w:rPr>
          <w:color w:val="FF0000"/>
          <w:lang w:val="en-US"/>
        </w:rPr>
        <w:t xml:space="preserve"> below a set threshold</w:t>
      </w:r>
      <w:r w:rsidR="009F25A0">
        <w:rPr>
          <w:color w:val="FF0000"/>
          <w:lang w:val="en-US"/>
        </w:rPr>
        <w:t>.</w:t>
      </w:r>
      <w:r w:rsidR="003B313B">
        <w:rPr>
          <w:color w:val="FF0000"/>
          <w:lang w:val="en-US"/>
        </w:rPr>
        <w:t xml:space="preserve"> </w:t>
      </w:r>
      <w:r w:rsidR="009F25A0">
        <w:rPr>
          <w:color w:val="FF0000"/>
          <w:lang w:val="en-US"/>
        </w:rPr>
        <w:t>Neither are there any good means of identifying when an aircraft interrogator experiences a loss of lock to a certain DME transponder due to interference.</w:t>
      </w:r>
      <w:r w:rsidR="003B313B">
        <w:rPr>
          <w:color w:val="FF0000"/>
          <w:lang w:val="en-US"/>
        </w:rPr>
        <w:t xml:space="preserve"> Both outcomes would depend upon the level of degradation and the frequency affected</w:t>
      </w:r>
      <w:r w:rsidR="003B313B" w:rsidRPr="000C341A">
        <w:rPr>
          <w:color w:val="FF0000"/>
          <w:lang w:val="en-US"/>
        </w:rPr>
        <w:t>.</w:t>
      </w:r>
    </w:p>
    <w:p w14:paraId="1806CD3D" w14:textId="0E67E95D" w:rsidR="004366C0" w:rsidRPr="000C341A" w:rsidRDefault="003706FF" w:rsidP="004366C0">
      <w:pPr>
        <w:rPr>
          <w:color w:val="FF0000"/>
          <w:lang w:val="en-US"/>
        </w:rPr>
      </w:pPr>
      <w:r>
        <w:rPr>
          <w:color w:val="FF0000"/>
          <w:lang w:val="en-US"/>
        </w:rPr>
        <w:t>I</w:t>
      </w:r>
      <w:r w:rsidR="004366C0" w:rsidRPr="000C341A">
        <w:rPr>
          <w:color w:val="FF0000"/>
          <w:lang w:val="en-US"/>
        </w:rPr>
        <w:t>t should be noted that all DME ground and aircraft systems will not react in the same manner in the presence of CW interference.  Without specific study, the effect of this cannot be assessed.</w:t>
      </w:r>
    </w:p>
    <w:p w14:paraId="56C85D60" w14:textId="037ED469" w:rsidR="00793E05" w:rsidRDefault="003706FF" w:rsidP="003706FF">
      <w:pPr>
        <w:rPr>
          <w:color w:val="FF0000"/>
          <w:lang w:val="en-US"/>
        </w:rPr>
      </w:pPr>
      <w:r>
        <w:rPr>
          <w:color w:val="FF0000"/>
          <w:lang w:val="en-US"/>
        </w:rPr>
        <w:t>S</w:t>
      </w:r>
      <w:r>
        <w:rPr>
          <w:color w:val="FF0000"/>
          <w:lang w:val="en-US"/>
        </w:rPr>
        <w:t>pectrum monitoring performed on ground</w:t>
      </w:r>
      <w:r>
        <w:rPr>
          <w:color w:val="FF0000"/>
          <w:lang w:val="en-US"/>
        </w:rPr>
        <w:t xml:space="preserve">, as described in </w:t>
      </w:r>
      <w:r w:rsidR="00793E05">
        <w:rPr>
          <w:color w:val="FF0000"/>
          <w:lang w:val="en-US"/>
        </w:rPr>
        <w:t xml:space="preserve">the various sub-sections of </w:t>
      </w:r>
      <w:r>
        <w:rPr>
          <w:color w:val="FF0000"/>
          <w:lang w:val="en-US"/>
        </w:rPr>
        <w:t>this Annex, does not accurately capture or</w:t>
      </w:r>
      <w:r>
        <w:rPr>
          <w:color w:val="FF0000"/>
          <w:lang w:val="en-US"/>
        </w:rPr>
        <w:t xml:space="preserve"> reflect the use of the frequency band 960-1164 </w:t>
      </w:r>
      <w:proofErr w:type="spellStart"/>
      <w:r>
        <w:rPr>
          <w:color w:val="FF0000"/>
          <w:lang w:val="en-US"/>
        </w:rPr>
        <w:t>MHz.</w:t>
      </w:r>
      <w:proofErr w:type="spellEnd"/>
      <w:r>
        <w:rPr>
          <w:color w:val="FF0000"/>
          <w:lang w:val="en-US"/>
        </w:rPr>
        <w:t xml:space="preserve"> </w:t>
      </w:r>
      <w:r w:rsidR="00793E05">
        <w:rPr>
          <w:color w:val="FF0000"/>
          <w:lang w:val="en-US"/>
        </w:rPr>
        <w:t>I</w:t>
      </w:r>
      <w:r w:rsidRPr="00360E93">
        <w:rPr>
          <w:color w:val="FF0000"/>
          <w:lang w:val="en-US"/>
        </w:rPr>
        <w:t>f the</w:t>
      </w:r>
      <w:r w:rsidR="00793E05">
        <w:rPr>
          <w:color w:val="FF0000"/>
          <w:lang w:val="en-US"/>
        </w:rPr>
        <w:t>se</w:t>
      </w:r>
      <w:r w:rsidRPr="00360E93">
        <w:rPr>
          <w:color w:val="FF0000"/>
          <w:lang w:val="en-US"/>
        </w:rPr>
        <w:t xml:space="preserve"> measurement</w:t>
      </w:r>
      <w:r>
        <w:rPr>
          <w:color w:val="FF0000"/>
          <w:lang w:val="en-US"/>
        </w:rPr>
        <w:t>s</w:t>
      </w:r>
      <w:r w:rsidRPr="00360E93">
        <w:rPr>
          <w:color w:val="FF0000"/>
          <w:lang w:val="en-US"/>
        </w:rPr>
        <w:t xml:space="preserve"> were </w:t>
      </w:r>
      <w:r w:rsidR="00E13E0E">
        <w:rPr>
          <w:color w:val="FF0000"/>
          <w:lang w:val="en-US"/>
        </w:rPr>
        <w:t xml:space="preserve">to be </w:t>
      </w:r>
      <w:r w:rsidRPr="00360E93">
        <w:rPr>
          <w:color w:val="FF0000"/>
          <w:lang w:val="en-US"/>
        </w:rPr>
        <w:t xml:space="preserve">made onboard an aircraft the results would be </w:t>
      </w:r>
      <w:r>
        <w:rPr>
          <w:color w:val="FF0000"/>
          <w:lang w:val="en-US"/>
        </w:rPr>
        <w:t>very</w:t>
      </w:r>
      <w:r w:rsidRPr="00360E93">
        <w:rPr>
          <w:color w:val="FF0000"/>
          <w:lang w:val="en-US"/>
        </w:rPr>
        <w:t xml:space="preserve"> different</w:t>
      </w:r>
      <w:r>
        <w:rPr>
          <w:color w:val="FF0000"/>
          <w:lang w:val="en-US"/>
        </w:rPr>
        <w:t>,</w:t>
      </w:r>
      <w:r w:rsidRPr="00360E93">
        <w:rPr>
          <w:color w:val="FF0000"/>
          <w:lang w:val="en-US"/>
        </w:rPr>
        <w:t xml:space="preserve"> </w:t>
      </w:r>
      <w:r>
        <w:rPr>
          <w:color w:val="FF0000"/>
          <w:lang w:val="en-US"/>
        </w:rPr>
        <w:t xml:space="preserve">as the </w:t>
      </w:r>
      <w:r w:rsidR="009F25A0">
        <w:rPr>
          <w:color w:val="FF0000"/>
          <w:lang w:val="en-US"/>
        </w:rPr>
        <w:t xml:space="preserve">airborne </w:t>
      </w:r>
      <w:r>
        <w:rPr>
          <w:color w:val="FF0000"/>
          <w:lang w:val="en-US"/>
        </w:rPr>
        <w:t xml:space="preserve">spectrum analyzer </w:t>
      </w:r>
      <w:r>
        <w:rPr>
          <w:color w:val="FF0000"/>
          <w:lang w:val="en-US"/>
        </w:rPr>
        <w:t xml:space="preserve">would capture </w:t>
      </w:r>
      <w:r w:rsidR="009F25A0">
        <w:rPr>
          <w:color w:val="FF0000"/>
          <w:lang w:val="en-US"/>
        </w:rPr>
        <w:t xml:space="preserve">all </w:t>
      </w:r>
      <w:r w:rsidRPr="00360E93">
        <w:rPr>
          <w:color w:val="FF0000"/>
          <w:lang w:val="en-US"/>
        </w:rPr>
        <w:t>emissions from ground and aircraft stations</w:t>
      </w:r>
      <w:r w:rsidR="009F25A0">
        <w:rPr>
          <w:color w:val="FF0000"/>
          <w:lang w:val="en-US"/>
        </w:rPr>
        <w:t xml:space="preserve"> within the </w:t>
      </w:r>
      <w:r w:rsidR="00E13E0E">
        <w:rPr>
          <w:color w:val="FF0000"/>
          <w:lang w:val="en-US"/>
        </w:rPr>
        <w:t xml:space="preserve">much larger </w:t>
      </w:r>
      <w:r w:rsidR="009F25A0">
        <w:rPr>
          <w:color w:val="FF0000"/>
          <w:lang w:val="en-US"/>
        </w:rPr>
        <w:t>radio horizon</w:t>
      </w:r>
      <w:r w:rsidR="00E13E0E">
        <w:rPr>
          <w:color w:val="FF0000"/>
          <w:lang w:val="en-US"/>
        </w:rPr>
        <w:t xml:space="preserve"> of the aircraft</w:t>
      </w:r>
      <w:r w:rsidR="009F25A0">
        <w:rPr>
          <w:color w:val="FF0000"/>
          <w:lang w:val="en-US"/>
        </w:rPr>
        <w:t>.</w:t>
      </w:r>
      <w:r w:rsidR="00BE7139">
        <w:rPr>
          <w:color w:val="FF0000"/>
          <w:lang w:val="en-US"/>
        </w:rPr>
        <w:t xml:space="preserve">  </w:t>
      </w:r>
      <w:r w:rsidR="00AB306B">
        <w:rPr>
          <w:color w:val="FF0000"/>
          <w:lang w:val="en-US"/>
        </w:rPr>
        <w:t>Similarly, i</w:t>
      </w:r>
      <w:r>
        <w:rPr>
          <w:color w:val="FF0000"/>
          <w:lang w:val="en-US"/>
        </w:rPr>
        <w:t xml:space="preserve">t should be noted that </w:t>
      </w:r>
      <w:r w:rsidR="00E13E0E">
        <w:rPr>
          <w:color w:val="FF0000"/>
          <w:lang w:val="en-US"/>
        </w:rPr>
        <w:t>certain</w:t>
      </w:r>
      <w:r>
        <w:rPr>
          <w:color w:val="FF0000"/>
          <w:lang w:val="en-US"/>
        </w:rPr>
        <w:t xml:space="preserve"> </w:t>
      </w:r>
      <w:r w:rsidR="00793E05">
        <w:rPr>
          <w:color w:val="FF0000"/>
          <w:lang w:val="en-US"/>
        </w:rPr>
        <w:t xml:space="preserve">sub-bands within </w:t>
      </w:r>
      <w:r>
        <w:rPr>
          <w:color w:val="FF0000"/>
          <w:lang w:val="en-US"/>
        </w:rPr>
        <w:t>the frequency band 960-1164 MHz</w:t>
      </w:r>
      <w:r>
        <w:rPr>
          <w:color w:val="FF0000"/>
          <w:lang w:val="en-US"/>
        </w:rPr>
        <w:t xml:space="preserve"> are not used for </w:t>
      </w:r>
      <w:r>
        <w:rPr>
          <w:color w:val="FF0000"/>
          <w:lang w:val="en-US"/>
        </w:rPr>
        <w:t xml:space="preserve">aircraft emissions. </w:t>
      </w:r>
      <w:r>
        <w:rPr>
          <w:color w:val="FF0000"/>
          <w:lang w:val="en-US"/>
        </w:rPr>
        <w:t xml:space="preserve">In those </w:t>
      </w:r>
      <w:r w:rsidR="00793E05">
        <w:rPr>
          <w:color w:val="FF0000"/>
          <w:lang w:val="en-US"/>
        </w:rPr>
        <w:t>sub-bands</w:t>
      </w:r>
      <w:r>
        <w:rPr>
          <w:color w:val="FF0000"/>
          <w:lang w:val="en-US"/>
        </w:rPr>
        <w:t xml:space="preserve">, only </w:t>
      </w:r>
      <w:r>
        <w:rPr>
          <w:color w:val="FF0000"/>
          <w:lang w:val="en-US"/>
        </w:rPr>
        <w:t>ground stations are emitting</w:t>
      </w:r>
      <w:r>
        <w:rPr>
          <w:color w:val="FF0000"/>
          <w:lang w:val="en-US"/>
        </w:rPr>
        <w:t>, w</w:t>
      </w:r>
      <w:r w:rsidR="00793E05">
        <w:rPr>
          <w:color w:val="FF0000"/>
          <w:lang w:val="en-US"/>
        </w:rPr>
        <w:t>ith</w:t>
      </w:r>
      <w:r>
        <w:rPr>
          <w:color w:val="FF0000"/>
          <w:lang w:val="en-US"/>
        </w:rPr>
        <w:t xml:space="preserve"> aircraft stations </w:t>
      </w:r>
      <w:r w:rsidR="00AB306B">
        <w:rPr>
          <w:color w:val="FF0000"/>
          <w:lang w:val="en-US"/>
        </w:rPr>
        <w:t xml:space="preserve">in a very large area </w:t>
      </w:r>
      <w:r>
        <w:rPr>
          <w:color w:val="FF0000"/>
          <w:lang w:val="en-US"/>
        </w:rPr>
        <w:t>receiving the emissions</w:t>
      </w:r>
      <w:r>
        <w:rPr>
          <w:color w:val="FF0000"/>
          <w:lang w:val="en-US"/>
        </w:rPr>
        <w:t xml:space="preserve"> </w:t>
      </w:r>
      <w:r w:rsidR="00793E05">
        <w:rPr>
          <w:color w:val="FF0000"/>
          <w:lang w:val="en-US"/>
        </w:rPr>
        <w:t>from th</w:t>
      </w:r>
      <w:r w:rsidR="00BE7139">
        <w:rPr>
          <w:color w:val="FF0000"/>
          <w:lang w:val="en-US"/>
        </w:rPr>
        <w:t>ose</w:t>
      </w:r>
      <w:r w:rsidR="00793E05">
        <w:rPr>
          <w:color w:val="FF0000"/>
          <w:lang w:val="en-US"/>
        </w:rPr>
        <w:t xml:space="preserve"> ground </w:t>
      </w:r>
      <w:r w:rsidR="00BE7139">
        <w:rPr>
          <w:color w:val="FF0000"/>
          <w:lang w:val="en-US"/>
        </w:rPr>
        <w:t xml:space="preserve">stations </w:t>
      </w:r>
      <w:r>
        <w:rPr>
          <w:color w:val="FF0000"/>
          <w:lang w:val="en-US"/>
        </w:rPr>
        <w:t>(</w:t>
      </w:r>
      <w:r w:rsidR="00BE7139">
        <w:rPr>
          <w:color w:val="FF0000"/>
          <w:lang w:val="en-US"/>
        </w:rPr>
        <w:t>i.e.</w:t>
      </w:r>
      <w:bookmarkStart w:id="0" w:name="_GoBack"/>
      <w:bookmarkEnd w:id="0"/>
      <w:r w:rsidR="00BE7139">
        <w:rPr>
          <w:color w:val="FF0000"/>
          <w:lang w:val="en-US"/>
        </w:rPr>
        <w:t xml:space="preserve"> </w:t>
      </w:r>
      <w:r w:rsidR="00793E05">
        <w:rPr>
          <w:color w:val="FF0000"/>
          <w:lang w:val="en-US"/>
        </w:rPr>
        <w:t xml:space="preserve">the sub-band </w:t>
      </w:r>
      <w:r>
        <w:rPr>
          <w:color w:val="FF0000"/>
          <w:lang w:val="en-US"/>
        </w:rPr>
        <w:t xml:space="preserve">962 to 1024 MHz). </w:t>
      </w:r>
      <w:r w:rsidR="00AB306B">
        <w:rPr>
          <w:color w:val="FF0000"/>
          <w:lang w:val="en-US"/>
        </w:rPr>
        <w:t xml:space="preserve">A ground based spectrum analyzer measurement will falsely identify these sub-bands as being largely clean of transmissions from aeronautical ground stations, while in </w:t>
      </w:r>
      <w:r w:rsidR="00E13E0E">
        <w:rPr>
          <w:color w:val="FF0000"/>
          <w:lang w:val="en-US"/>
        </w:rPr>
        <w:t xml:space="preserve">fact </w:t>
      </w:r>
      <w:r>
        <w:rPr>
          <w:color w:val="FF0000"/>
          <w:lang w:val="en-US"/>
        </w:rPr>
        <w:t xml:space="preserve">PMSE transmissions in these sub-bands would </w:t>
      </w:r>
      <w:r w:rsidR="00E13E0E">
        <w:rPr>
          <w:color w:val="FF0000"/>
          <w:lang w:val="en-US"/>
        </w:rPr>
        <w:t>result in interference to the</w:t>
      </w:r>
      <w:r>
        <w:rPr>
          <w:color w:val="FF0000"/>
          <w:lang w:val="en-US"/>
        </w:rPr>
        <w:t xml:space="preserve"> </w:t>
      </w:r>
      <w:r w:rsidR="00E13E0E">
        <w:rPr>
          <w:color w:val="FF0000"/>
          <w:lang w:val="en-US"/>
        </w:rPr>
        <w:t xml:space="preserve">aircraft </w:t>
      </w:r>
      <w:r>
        <w:rPr>
          <w:color w:val="FF0000"/>
          <w:lang w:val="en-US"/>
        </w:rPr>
        <w:t xml:space="preserve">reception </w:t>
      </w:r>
      <w:r w:rsidR="00E13E0E">
        <w:rPr>
          <w:color w:val="FF0000"/>
          <w:lang w:val="en-US"/>
        </w:rPr>
        <w:t>of</w:t>
      </w:r>
      <w:r>
        <w:rPr>
          <w:color w:val="FF0000"/>
          <w:lang w:val="en-US"/>
        </w:rPr>
        <w:t xml:space="preserve"> </w:t>
      </w:r>
      <w:r w:rsidR="00E13E0E">
        <w:rPr>
          <w:color w:val="FF0000"/>
          <w:lang w:val="en-US"/>
        </w:rPr>
        <w:t xml:space="preserve">aeronautical ground station </w:t>
      </w:r>
      <w:r>
        <w:rPr>
          <w:color w:val="FF0000"/>
          <w:lang w:val="en-US"/>
        </w:rPr>
        <w:t xml:space="preserve">transmissions </w:t>
      </w:r>
      <w:r w:rsidR="00793E05">
        <w:rPr>
          <w:color w:val="FF0000"/>
          <w:lang w:val="en-US"/>
        </w:rPr>
        <w:t xml:space="preserve">far </w:t>
      </w:r>
      <w:r>
        <w:rPr>
          <w:color w:val="FF0000"/>
          <w:lang w:val="en-US"/>
        </w:rPr>
        <w:t xml:space="preserve">outside of the range of the </w:t>
      </w:r>
      <w:r w:rsidR="00E13E0E">
        <w:rPr>
          <w:color w:val="FF0000"/>
          <w:lang w:val="en-US"/>
        </w:rPr>
        <w:t xml:space="preserve">antenna used for the </w:t>
      </w:r>
      <w:r>
        <w:rPr>
          <w:color w:val="FF0000"/>
          <w:lang w:val="en-US"/>
        </w:rPr>
        <w:t xml:space="preserve">spectrum analyzer measurement.  </w:t>
      </w:r>
      <w:r w:rsidR="00793E05">
        <w:rPr>
          <w:color w:val="FF0000"/>
          <w:lang w:val="en-US"/>
        </w:rPr>
        <w:t>T</w:t>
      </w:r>
      <w:r>
        <w:rPr>
          <w:color w:val="FF0000"/>
          <w:lang w:val="en-US"/>
        </w:rPr>
        <w:t>he conclusions in the spectrum availability section</w:t>
      </w:r>
      <w:r w:rsidR="00E13E0E">
        <w:rPr>
          <w:color w:val="FF0000"/>
          <w:lang w:val="en-US"/>
        </w:rPr>
        <w:t>s</w:t>
      </w:r>
      <w:r w:rsidR="00793E05">
        <w:rPr>
          <w:color w:val="FF0000"/>
          <w:lang w:val="en-US"/>
        </w:rPr>
        <w:t xml:space="preserve"> of this Annex do not take account of this </w:t>
      </w:r>
      <w:r w:rsidR="00E13E0E">
        <w:rPr>
          <w:color w:val="FF0000"/>
          <w:lang w:val="en-US"/>
        </w:rPr>
        <w:t xml:space="preserve">fact </w:t>
      </w:r>
      <w:r w:rsidR="00793E05">
        <w:rPr>
          <w:color w:val="FF0000"/>
          <w:lang w:val="en-US"/>
        </w:rPr>
        <w:t>and could be misinterpreted.</w:t>
      </w:r>
    </w:p>
    <w:p w14:paraId="57FC4B9D" w14:textId="04270D52" w:rsidR="004366C0" w:rsidRPr="000C341A" w:rsidRDefault="004366C0" w:rsidP="004366C0">
      <w:pPr>
        <w:rPr>
          <w:lang w:val="en-US"/>
        </w:rPr>
      </w:pPr>
      <w:r w:rsidRPr="000C341A">
        <w:rPr>
          <w:lang w:val="en-US"/>
        </w:rPr>
        <w:t>Proposed comment</w:t>
      </w:r>
      <w:r>
        <w:rPr>
          <w:lang w:val="en-US"/>
        </w:rPr>
        <w:t>s</w:t>
      </w:r>
      <w:r w:rsidRPr="000C341A">
        <w:rPr>
          <w:lang w:val="en-US"/>
        </w:rPr>
        <w:t xml:space="preserve"> to be added at the end of the summary of Annex 3: Impact of PMSE on DME from APWPT</w:t>
      </w:r>
      <w:r>
        <w:rPr>
          <w:lang w:val="en-US"/>
        </w:rPr>
        <w:t>:</w:t>
      </w:r>
    </w:p>
    <w:p w14:paraId="2EA77D2E" w14:textId="275E6CFB" w:rsidR="004366C0" w:rsidRDefault="004366C0" w:rsidP="004366C0">
      <w:pPr>
        <w:rPr>
          <w:color w:val="FF0000"/>
          <w:lang w:val="en-US"/>
        </w:rPr>
      </w:pPr>
      <w:r w:rsidRPr="000C341A">
        <w:rPr>
          <w:color w:val="FF0000"/>
          <w:lang w:val="en-US"/>
        </w:rPr>
        <w:t xml:space="preserve">The study only addresses handheld and body worn PMSE equipment. It is understood that this does not capture the </w:t>
      </w:r>
      <w:proofErr w:type="gramStart"/>
      <w:r w:rsidRPr="000C341A">
        <w:rPr>
          <w:color w:val="FF0000"/>
          <w:lang w:val="en-US"/>
        </w:rPr>
        <w:t>worst case</w:t>
      </w:r>
      <w:proofErr w:type="gramEnd"/>
      <w:r w:rsidRPr="000C341A">
        <w:rPr>
          <w:color w:val="FF0000"/>
          <w:lang w:val="en-US"/>
        </w:rPr>
        <w:t xml:space="preserve"> scenario which includes the base stations used with In-Ear Monitors.  These base stations will typically emit with a power of 17 dBm and without any body loss. </w:t>
      </w:r>
    </w:p>
    <w:p w14:paraId="6B8B5B0C" w14:textId="6C87A36F" w:rsidR="004366C0" w:rsidRDefault="004366C0" w:rsidP="004366C0">
      <w:pPr>
        <w:rPr>
          <w:lang w:val="en-US"/>
        </w:rPr>
      </w:pPr>
      <w:proofErr w:type="gramStart"/>
      <w:r w:rsidRPr="000C341A">
        <w:rPr>
          <w:color w:val="FF0000"/>
          <w:lang w:val="en-US"/>
        </w:rPr>
        <w:t>Also</w:t>
      </w:r>
      <w:proofErr w:type="gramEnd"/>
      <w:r w:rsidRPr="000C341A">
        <w:rPr>
          <w:color w:val="FF0000"/>
          <w:lang w:val="en-US"/>
        </w:rPr>
        <w:t xml:space="preserve"> to consider the worst case for the other scenarios, a new column considering the impact of PMSE without any body or Hand held loss effect will be needed. An aggregated effect should also be considered, where several PMSE channels may be operated on simultaneously within the passband of one DME or SSR receiver.</w:t>
      </w:r>
    </w:p>
    <w:p w14:paraId="5C30CD2D" w14:textId="77777777" w:rsidR="004366C0" w:rsidRPr="000C341A" w:rsidRDefault="004366C0" w:rsidP="004366C0">
      <w:pPr>
        <w:rPr>
          <w:lang w:val="en-US"/>
        </w:rPr>
      </w:pPr>
      <w:r w:rsidRPr="000C341A">
        <w:rPr>
          <w:lang w:val="en-US"/>
        </w:rPr>
        <w:t>Proposed comment</w:t>
      </w:r>
      <w:r>
        <w:rPr>
          <w:lang w:val="en-US"/>
        </w:rPr>
        <w:t>s</w:t>
      </w:r>
      <w:r w:rsidRPr="000C341A">
        <w:rPr>
          <w:lang w:val="en-US"/>
        </w:rPr>
        <w:t xml:space="preserve"> to be added at the end of the summary of Annex 4:</w:t>
      </w:r>
    </w:p>
    <w:p w14:paraId="0FEF381F" w14:textId="77777777" w:rsidR="00B9637A" w:rsidRDefault="00B9637A" w:rsidP="00B9637A">
      <w:pPr>
        <w:spacing w:before="120" w:after="120"/>
        <w:rPr>
          <w:color w:val="FF0000"/>
          <w:lang w:val="en-US"/>
        </w:rPr>
      </w:pPr>
      <w:r w:rsidRPr="000C341A">
        <w:rPr>
          <w:color w:val="FF0000"/>
          <w:lang w:val="en-US"/>
        </w:rPr>
        <w:t xml:space="preserve">Since this study uses C/I, it should use the DME sensitivity parameters derived in Annex 12 of this report (ICAO Annex). </w:t>
      </w:r>
      <w:r>
        <w:rPr>
          <w:color w:val="FF0000"/>
          <w:lang w:val="en-US"/>
        </w:rPr>
        <w:t xml:space="preserve">The parameters derived in Annex 12 are consistent with </w:t>
      </w:r>
      <w:r w:rsidRPr="000C341A">
        <w:rPr>
          <w:color w:val="FF0000"/>
          <w:lang w:val="en-US"/>
        </w:rPr>
        <w:t>Recommendation ITU-R M.1639</w:t>
      </w:r>
      <w:r>
        <w:rPr>
          <w:color w:val="FF0000"/>
          <w:lang w:val="en-US"/>
        </w:rPr>
        <w:noBreakHyphen/>
      </w:r>
      <w:r w:rsidRPr="000C341A">
        <w:rPr>
          <w:color w:val="FF0000"/>
          <w:lang w:val="en-US"/>
        </w:rPr>
        <w:t>1</w:t>
      </w:r>
      <w:r>
        <w:rPr>
          <w:color w:val="FF0000"/>
          <w:lang w:val="en-US"/>
        </w:rPr>
        <w:t xml:space="preserve">.  Not considering the above results in an underestimation of the total interference by 16 </w:t>
      </w:r>
      <w:proofErr w:type="spellStart"/>
      <w:r>
        <w:rPr>
          <w:color w:val="FF0000"/>
          <w:lang w:val="en-US"/>
        </w:rPr>
        <w:t>dB.</w:t>
      </w:r>
      <w:proofErr w:type="spellEnd"/>
    </w:p>
    <w:p w14:paraId="6748C8B6" w14:textId="77777777" w:rsidR="00B9637A" w:rsidRPr="000C341A" w:rsidRDefault="00B9637A" w:rsidP="00B9637A">
      <w:pPr>
        <w:spacing w:before="120" w:after="120"/>
        <w:rPr>
          <w:color w:val="FF0000"/>
          <w:lang w:val="en-US"/>
        </w:rPr>
      </w:pPr>
      <w:r>
        <w:rPr>
          <w:color w:val="FF0000"/>
          <w:lang w:val="en-US"/>
        </w:rPr>
        <w:t xml:space="preserve">In addition, an aggregated effect of at least 3 PMSE channels operating simultaneously within the 1 MHz wide passband of the DME needs to be considered.  Not considering the aggregated effect results in an underestimation of additional 5 dB of interference.  </w:t>
      </w:r>
    </w:p>
    <w:p w14:paraId="6E48EAF2" w14:textId="77777777" w:rsidR="00B9637A" w:rsidRPr="000C341A" w:rsidRDefault="00B9637A" w:rsidP="00B9637A">
      <w:pPr>
        <w:spacing w:before="120" w:after="120"/>
        <w:rPr>
          <w:color w:val="FF0000"/>
          <w:lang w:val="en-US"/>
        </w:rPr>
      </w:pPr>
      <w:r>
        <w:rPr>
          <w:color w:val="FF0000"/>
          <w:lang w:val="en-US"/>
        </w:rPr>
        <w:t>Rather than using 9 dBm, t</w:t>
      </w:r>
      <w:r w:rsidRPr="000C341A">
        <w:rPr>
          <w:color w:val="FF0000"/>
          <w:lang w:val="en-US"/>
        </w:rPr>
        <w:t xml:space="preserve">he In-Ear Monitors scenario should consider a power </w:t>
      </w:r>
      <w:r>
        <w:rPr>
          <w:color w:val="FF0000"/>
          <w:lang w:val="en-US"/>
        </w:rPr>
        <w:t xml:space="preserve">level of </w:t>
      </w:r>
      <w:r w:rsidRPr="000C341A">
        <w:rPr>
          <w:color w:val="FF0000"/>
          <w:lang w:val="en-US"/>
        </w:rPr>
        <w:t>17 dBm</w:t>
      </w:r>
      <w:r>
        <w:rPr>
          <w:color w:val="FF0000"/>
          <w:lang w:val="en-US"/>
        </w:rPr>
        <w:t>.  Not doing this results in an underestimation of additional 8 dB of interference.</w:t>
      </w:r>
    </w:p>
    <w:p w14:paraId="7E6A3747" w14:textId="6F4471F0" w:rsidR="00B9637A" w:rsidRPr="00C923B8" w:rsidRDefault="00B9637A" w:rsidP="00B9637A">
      <w:pPr>
        <w:spacing w:before="120" w:after="120"/>
        <w:rPr>
          <w:color w:val="FF0000"/>
          <w:lang w:val="en-US"/>
        </w:rPr>
      </w:pPr>
      <w:r w:rsidRPr="000C341A">
        <w:rPr>
          <w:color w:val="FF0000"/>
          <w:lang w:val="en-US"/>
        </w:rPr>
        <w:lastRenderedPageBreak/>
        <w:t xml:space="preserve">When validating results with trials, the echo suppression </w:t>
      </w:r>
      <w:r w:rsidR="003B313B">
        <w:rPr>
          <w:color w:val="FF0000"/>
          <w:lang w:val="en-US"/>
        </w:rPr>
        <w:t xml:space="preserve">capability </w:t>
      </w:r>
      <w:r w:rsidRPr="000C341A">
        <w:rPr>
          <w:color w:val="FF0000"/>
          <w:lang w:val="en-US"/>
        </w:rPr>
        <w:t>of a DME ground station should be enabled as this is the typical setting used.  Echo suppression has a significant impact as shown in Annex 9 of this ECC report.</w:t>
      </w:r>
    </w:p>
    <w:p w14:paraId="4BD79840" w14:textId="77777777" w:rsidR="00B9637A" w:rsidRPr="000C341A" w:rsidRDefault="00B9637A" w:rsidP="00B9637A">
      <w:pPr>
        <w:spacing w:before="120" w:after="120"/>
        <w:rPr>
          <w:lang w:val="en-US"/>
        </w:rPr>
      </w:pPr>
      <w:r w:rsidRPr="000C341A">
        <w:rPr>
          <w:lang w:val="en-US"/>
        </w:rPr>
        <w:t>Proposed comment to be added at the end of the summary of Annex 5:</w:t>
      </w:r>
    </w:p>
    <w:p w14:paraId="28F8BA06" w14:textId="77777777" w:rsidR="00B9637A" w:rsidRDefault="00B9637A" w:rsidP="00B9637A">
      <w:pPr>
        <w:spacing w:before="120" w:after="120"/>
        <w:rPr>
          <w:color w:val="FF0000"/>
          <w:lang w:val="en-US"/>
        </w:rPr>
      </w:pPr>
      <w:r w:rsidRPr="000C341A">
        <w:rPr>
          <w:color w:val="FF0000"/>
          <w:lang w:val="en-US"/>
        </w:rPr>
        <w:t>A table of summary of the studies is missing for this annex.</w:t>
      </w:r>
    </w:p>
    <w:p w14:paraId="69054BCC" w14:textId="77777777" w:rsidR="00B9637A" w:rsidRDefault="00B9637A" w:rsidP="00B9637A">
      <w:pPr>
        <w:spacing w:before="120" w:after="120"/>
        <w:rPr>
          <w:color w:val="FF0000"/>
          <w:lang w:val="en-US"/>
        </w:rPr>
      </w:pPr>
      <w:r w:rsidRPr="000C341A">
        <w:rPr>
          <w:color w:val="FF0000"/>
          <w:lang w:val="en-US"/>
        </w:rPr>
        <w:t xml:space="preserve">Since this study uses C/I, it should use the DME sensitivity parameters derived in Annex 12 of this report (ICAO Annex). </w:t>
      </w:r>
      <w:r>
        <w:rPr>
          <w:color w:val="FF0000"/>
          <w:lang w:val="en-US"/>
        </w:rPr>
        <w:t xml:space="preserve">The parameters derived in Annex 12 are consistent with </w:t>
      </w:r>
      <w:r w:rsidRPr="000C341A">
        <w:rPr>
          <w:color w:val="FF0000"/>
          <w:lang w:val="en-US"/>
        </w:rPr>
        <w:t>Recommendation ITU-R M.1639</w:t>
      </w:r>
      <w:r>
        <w:rPr>
          <w:color w:val="FF0000"/>
          <w:lang w:val="en-US"/>
        </w:rPr>
        <w:noBreakHyphen/>
      </w:r>
      <w:r w:rsidRPr="000C341A">
        <w:rPr>
          <w:color w:val="FF0000"/>
          <w:lang w:val="en-US"/>
        </w:rPr>
        <w:t>1</w:t>
      </w:r>
      <w:r>
        <w:rPr>
          <w:color w:val="FF0000"/>
          <w:lang w:val="en-US"/>
        </w:rPr>
        <w:t xml:space="preserve">.  Not considering the above results in an underestimation of the total interference by 16 </w:t>
      </w:r>
      <w:proofErr w:type="spellStart"/>
      <w:r>
        <w:rPr>
          <w:color w:val="FF0000"/>
          <w:lang w:val="en-US"/>
        </w:rPr>
        <w:t>dB.</w:t>
      </w:r>
      <w:proofErr w:type="spellEnd"/>
    </w:p>
    <w:p w14:paraId="0B39C63A" w14:textId="77777777" w:rsidR="00B9637A" w:rsidRDefault="00B9637A" w:rsidP="00B9637A">
      <w:pPr>
        <w:spacing w:before="120" w:after="120"/>
        <w:rPr>
          <w:color w:val="FF0000"/>
          <w:lang w:val="en-US"/>
        </w:rPr>
      </w:pPr>
      <w:r>
        <w:rPr>
          <w:color w:val="FF0000"/>
          <w:lang w:val="en-US"/>
        </w:rPr>
        <w:t xml:space="preserve">In addition, an aggregated effect of at least 3 PMSE channels operating simultaneously within the 1 MHz wide passband of the DME needs to be considered.  Not considering the aggregated effect results in an underestimation of additional 5 dB of interference.  </w:t>
      </w:r>
    </w:p>
    <w:p w14:paraId="42764EE0" w14:textId="77777777" w:rsidR="00B9637A" w:rsidRPr="00C923B8" w:rsidRDefault="00B9637A" w:rsidP="00B9637A">
      <w:pPr>
        <w:spacing w:before="120" w:after="120"/>
        <w:rPr>
          <w:color w:val="FF0000"/>
          <w:lang w:val="en-US"/>
        </w:rPr>
      </w:pPr>
      <w:r>
        <w:rPr>
          <w:color w:val="FF0000"/>
          <w:lang w:val="en-US"/>
        </w:rPr>
        <w:t>The addition of 21 dB results in the stated maximum protection distance of 63 km being extended up to 63 * 11.2 = 700 km, or well beyond the horizon.</w:t>
      </w:r>
    </w:p>
    <w:p w14:paraId="0846AFF7" w14:textId="77777777" w:rsidR="004366C0" w:rsidRPr="000C341A" w:rsidRDefault="004366C0" w:rsidP="004366C0">
      <w:pPr>
        <w:rPr>
          <w:lang w:val="en-US"/>
        </w:rPr>
      </w:pPr>
      <w:r w:rsidRPr="000C341A">
        <w:rPr>
          <w:lang w:val="en-US"/>
        </w:rPr>
        <w:t>Proposed comment ANNEX 6: Impact of PMSE on in-band ARNS and adjacent band GNSS systems from ANFR</w:t>
      </w:r>
    </w:p>
    <w:p w14:paraId="0FF15A7D" w14:textId="77777777" w:rsidR="003B313B" w:rsidRPr="007776AD" w:rsidRDefault="003B313B" w:rsidP="003B313B">
      <w:pPr>
        <w:rPr>
          <w:color w:val="FF0000"/>
          <w:lang w:val="en-US"/>
        </w:rPr>
      </w:pPr>
      <w:r w:rsidRPr="000C341A">
        <w:rPr>
          <w:color w:val="FF0000"/>
          <w:lang w:val="en-US"/>
        </w:rPr>
        <w:t>Nothing to Add.</w:t>
      </w:r>
    </w:p>
    <w:p w14:paraId="060A5AB2" w14:textId="77777777" w:rsidR="004366C0" w:rsidRPr="000C341A" w:rsidRDefault="004366C0" w:rsidP="004366C0">
      <w:pPr>
        <w:rPr>
          <w:lang w:val="en-US"/>
        </w:rPr>
      </w:pPr>
      <w:r w:rsidRPr="000C341A">
        <w:rPr>
          <w:lang w:val="en-US"/>
        </w:rPr>
        <w:t>Proposed comment ANNEX 7: PMSE selectivity in presence of JTIDS/MIDS pulses from NARFA DEU</w:t>
      </w:r>
    </w:p>
    <w:p w14:paraId="5807CE33" w14:textId="2E60BCB5" w:rsidR="004366C0" w:rsidRPr="007776AD" w:rsidRDefault="004366C0" w:rsidP="004366C0">
      <w:pPr>
        <w:rPr>
          <w:color w:val="FF0000"/>
          <w:lang w:val="en-US"/>
        </w:rPr>
      </w:pPr>
      <w:r w:rsidRPr="000C341A">
        <w:rPr>
          <w:color w:val="FF0000"/>
          <w:lang w:val="en-US"/>
        </w:rPr>
        <w:t>Nothing to Add.</w:t>
      </w:r>
    </w:p>
    <w:p w14:paraId="3E7E5A83" w14:textId="77777777" w:rsidR="004366C0" w:rsidRPr="000C341A" w:rsidRDefault="004366C0" w:rsidP="004366C0">
      <w:pPr>
        <w:rPr>
          <w:lang w:val="en-US"/>
        </w:rPr>
      </w:pPr>
      <w:r w:rsidRPr="000C341A">
        <w:rPr>
          <w:lang w:val="en-US"/>
        </w:rPr>
        <w:t>Proposed comment ANNEX 8: Impact of PMSE in the band 960-1164 MHz on RNSS above 1164 MHz from TRANSFINITE</w:t>
      </w:r>
    </w:p>
    <w:p w14:paraId="45FE1BB6" w14:textId="5034358F" w:rsidR="004366C0" w:rsidRPr="007776AD" w:rsidRDefault="004366C0" w:rsidP="004366C0">
      <w:pPr>
        <w:rPr>
          <w:color w:val="FF0000"/>
          <w:lang w:val="en-US"/>
        </w:rPr>
      </w:pPr>
      <w:r w:rsidRPr="000C341A">
        <w:rPr>
          <w:color w:val="FF0000"/>
          <w:lang w:val="en-US"/>
        </w:rPr>
        <w:t>Nothing to Add</w:t>
      </w:r>
    </w:p>
    <w:p w14:paraId="407A0210" w14:textId="77777777" w:rsidR="004366C0" w:rsidRPr="000C341A" w:rsidRDefault="004366C0" w:rsidP="004366C0">
      <w:pPr>
        <w:rPr>
          <w:lang w:val="en-US"/>
        </w:rPr>
      </w:pPr>
      <w:r w:rsidRPr="000C341A">
        <w:rPr>
          <w:lang w:val="en-US"/>
        </w:rPr>
        <w:t>Proposed comment ANNEX 9: Guidance for practical tests of DME and TACAN operations, the effects of multipath and signal strength variation from DFS GERMANY</w:t>
      </w:r>
    </w:p>
    <w:p w14:paraId="64EA865B" w14:textId="7DF78590" w:rsidR="004366C0" w:rsidRPr="007776AD" w:rsidRDefault="004366C0" w:rsidP="004366C0">
      <w:pPr>
        <w:rPr>
          <w:color w:val="FF0000"/>
          <w:lang w:val="en-US"/>
        </w:rPr>
      </w:pPr>
      <w:r w:rsidRPr="000C341A">
        <w:rPr>
          <w:color w:val="FF0000"/>
          <w:lang w:val="en-US"/>
        </w:rPr>
        <w:t xml:space="preserve">We note the evidence provided in this Annex, that echo suppression, as typically always required due to multipath </w:t>
      </w:r>
      <w:proofErr w:type="spellStart"/>
      <w:r w:rsidRPr="000C341A">
        <w:rPr>
          <w:color w:val="FF0000"/>
          <w:lang w:val="en-US"/>
        </w:rPr>
        <w:t>etc</w:t>
      </w:r>
      <w:proofErr w:type="spellEnd"/>
      <w:r w:rsidRPr="000C341A">
        <w:rPr>
          <w:color w:val="FF0000"/>
          <w:lang w:val="en-US"/>
        </w:rPr>
        <w:t xml:space="preserve">, has a strong negative impact on a loaded DME channel, making it more susceptible to additional interference, such as PMSE.  This needs to be taken into account when practical tests are performed. </w:t>
      </w:r>
    </w:p>
    <w:p w14:paraId="14313218" w14:textId="77777777" w:rsidR="004366C0" w:rsidRPr="000C341A" w:rsidRDefault="004366C0" w:rsidP="004366C0">
      <w:pPr>
        <w:rPr>
          <w:lang w:val="en-US"/>
        </w:rPr>
      </w:pPr>
      <w:r w:rsidRPr="000C341A">
        <w:rPr>
          <w:lang w:val="en-US"/>
        </w:rPr>
        <w:t>Proposed comment ANNEX 10: PMSE interference measurements on DME/TACAN from BNETZA and DFS GERMANY</w:t>
      </w:r>
    </w:p>
    <w:p w14:paraId="571CBEF6" w14:textId="1BCBE49E" w:rsidR="004366C0" w:rsidRPr="007776AD" w:rsidRDefault="004366C0" w:rsidP="004366C0">
      <w:pPr>
        <w:rPr>
          <w:color w:val="FF0000"/>
          <w:lang w:val="en-US"/>
        </w:rPr>
      </w:pPr>
      <w:r w:rsidRPr="000C341A">
        <w:rPr>
          <w:color w:val="FF0000"/>
          <w:lang w:val="en-US"/>
        </w:rPr>
        <w:t>Nothing to Add</w:t>
      </w:r>
    </w:p>
    <w:p w14:paraId="04D6D590" w14:textId="77777777" w:rsidR="004366C0" w:rsidRPr="000C341A" w:rsidRDefault="004366C0" w:rsidP="004366C0">
      <w:pPr>
        <w:rPr>
          <w:lang w:val="en-US"/>
        </w:rPr>
      </w:pPr>
      <w:r w:rsidRPr="000C341A">
        <w:rPr>
          <w:lang w:val="en-US"/>
        </w:rPr>
        <w:t>Proposed comment ANNEX 11: DME and TACAN transponder identification interference from DFS GERMANY</w:t>
      </w:r>
    </w:p>
    <w:p w14:paraId="5F0EAAF3" w14:textId="780E4C40" w:rsidR="004366C0" w:rsidRPr="007776AD" w:rsidRDefault="004366C0" w:rsidP="004366C0">
      <w:pPr>
        <w:rPr>
          <w:color w:val="FF0000"/>
          <w:lang w:val="en-US"/>
        </w:rPr>
      </w:pPr>
      <w:r w:rsidRPr="000C341A">
        <w:rPr>
          <w:color w:val="FF0000"/>
          <w:lang w:val="en-US"/>
        </w:rPr>
        <w:t>As demonstrated by the trials described in this Annex, in order to ensure non-distortion of the CW identification of a TACAN, at least 20 dB C/I is required.</w:t>
      </w:r>
    </w:p>
    <w:p w14:paraId="50C12789" w14:textId="77777777" w:rsidR="004366C0" w:rsidRPr="000C341A" w:rsidRDefault="004366C0" w:rsidP="004366C0">
      <w:pPr>
        <w:rPr>
          <w:lang w:val="en-US"/>
        </w:rPr>
      </w:pPr>
      <w:r w:rsidRPr="000C341A">
        <w:rPr>
          <w:lang w:val="en-US"/>
        </w:rPr>
        <w:lastRenderedPageBreak/>
        <w:t>Proposed comment ANNEX 12: Guidance by ICAO relating to the protection of aeronautical systems</w:t>
      </w:r>
    </w:p>
    <w:p w14:paraId="1D1684E5" w14:textId="77777777" w:rsidR="004366C0" w:rsidRPr="000C341A" w:rsidRDefault="004366C0" w:rsidP="004366C0">
      <w:pPr>
        <w:rPr>
          <w:color w:val="FF0000"/>
          <w:lang w:val="en-US"/>
        </w:rPr>
      </w:pPr>
      <w:r w:rsidRPr="000C341A">
        <w:rPr>
          <w:color w:val="FF0000"/>
          <w:lang w:val="en-US"/>
        </w:rPr>
        <w:t>Nothing to Add</w:t>
      </w:r>
    </w:p>
    <w:p w14:paraId="03F4FBAB" w14:textId="77777777" w:rsidR="004366C0" w:rsidRPr="000C341A" w:rsidRDefault="004366C0" w:rsidP="004366C0">
      <w:pPr>
        <w:rPr>
          <w:lang w:val="en-US"/>
        </w:rPr>
      </w:pPr>
    </w:p>
    <w:p w14:paraId="6867849E" w14:textId="77777777" w:rsidR="004366C0" w:rsidRPr="000C341A" w:rsidRDefault="004366C0" w:rsidP="004366C0">
      <w:pPr>
        <w:rPr>
          <w:lang w:val="en-US"/>
        </w:rPr>
      </w:pPr>
    </w:p>
    <w:p w14:paraId="665795C3" w14:textId="77777777" w:rsidR="004366C0" w:rsidRPr="000C341A" w:rsidRDefault="004366C0" w:rsidP="004366C0">
      <w:pPr>
        <w:rPr>
          <w:lang w:val="en-US"/>
        </w:rPr>
      </w:pPr>
    </w:p>
    <w:p w14:paraId="26C19A3D" w14:textId="77777777" w:rsidR="005F4808" w:rsidRPr="004366C0" w:rsidRDefault="005F4808" w:rsidP="004366C0"/>
    <w:sectPr w:rsidR="005F4808" w:rsidRPr="004366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1262" w14:textId="77777777" w:rsidR="000930B5" w:rsidRDefault="000930B5" w:rsidP="00503C53">
      <w:pPr>
        <w:spacing w:after="0" w:line="240" w:lineRule="auto"/>
      </w:pPr>
      <w:r>
        <w:separator/>
      </w:r>
    </w:p>
  </w:endnote>
  <w:endnote w:type="continuationSeparator" w:id="0">
    <w:p w14:paraId="59672937" w14:textId="77777777" w:rsidR="000930B5" w:rsidRDefault="000930B5" w:rsidP="0050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D58C3" w14:textId="77777777" w:rsidR="000930B5" w:rsidRDefault="000930B5" w:rsidP="00503C53">
      <w:pPr>
        <w:spacing w:after="0" w:line="240" w:lineRule="auto"/>
      </w:pPr>
      <w:r>
        <w:separator/>
      </w:r>
    </w:p>
  </w:footnote>
  <w:footnote w:type="continuationSeparator" w:id="0">
    <w:p w14:paraId="447B7A69" w14:textId="77777777" w:rsidR="000930B5" w:rsidRDefault="000930B5" w:rsidP="00503C53">
      <w:pPr>
        <w:spacing w:after="0" w:line="240" w:lineRule="auto"/>
      </w:pPr>
      <w:r>
        <w:continuationSeparator/>
      </w:r>
    </w:p>
  </w:footnote>
  <w:footnote w:id="1">
    <w:p w14:paraId="4919370D" w14:textId="77777777" w:rsidR="004366C0" w:rsidRDefault="004366C0" w:rsidP="004366C0">
      <w:pPr>
        <w:pStyle w:val="FootnoteText"/>
      </w:pPr>
      <w:r>
        <w:rPr>
          <w:rStyle w:val="FootnoteReference"/>
        </w:rPr>
        <w:footnoteRef/>
      </w:r>
      <w:r>
        <w:t xml:space="preserve"> </w:t>
      </w:r>
      <w:r w:rsidRPr="00503C53">
        <w:t>https://eur-lex.europa.eu/legal-content/EN/TXT/PDF/?uri=CELEX:32017R0373&amp;from=EN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C0C50"/>
    <w:multiLevelType w:val="hybridMultilevel"/>
    <w:tmpl w:val="23F269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E1"/>
    <w:rsid w:val="00050DA1"/>
    <w:rsid w:val="000706E1"/>
    <w:rsid w:val="000930B5"/>
    <w:rsid w:val="001152CC"/>
    <w:rsid w:val="00174F53"/>
    <w:rsid w:val="001A5AF2"/>
    <w:rsid w:val="0026175E"/>
    <w:rsid w:val="002C29EE"/>
    <w:rsid w:val="00322A7C"/>
    <w:rsid w:val="003645DF"/>
    <w:rsid w:val="003706FF"/>
    <w:rsid w:val="003B313B"/>
    <w:rsid w:val="003E1090"/>
    <w:rsid w:val="00417D36"/>
    <w:rsid w:val="00424FD4"/>
    <w:rsid w:val="00426B47"/>
    <w:rsid w:val="004366C0"/>
    <w:rsid w:val="00460E7E"/>
    <w:rsid w:val="004827B8"/>
    <w:rsid w:val="004C2AC2"/>
    <w:rsid w:val="00503C53"/>
    <w:rsid w:val="00504BA3"/>
    <w:rsid w:val="00521A4D"/>
    <w:rsid w:val="00586C8E"/>
    <w:rsid w:val="005A02CE"/>
    <w:rsid w:val="005A416D"/>
    <w:rsid w:val="005D72D8"/>
    <w:rsid w:val="005F4808"/>
    <w:rsid w:val="00643A2C"/>
    <w:rsid w:val="0065720A"/>
    <w:rsid w:val="006604B9"/>
    <w:rsid w:val="006B0BB1"/>
    <w:rsid w:val="006B50B2"/>
    <w:rsid w:val="00726FD9"/>
    <w:rsid w:val="00745C71"/>
    <w:rsid w:val="007776AD"/>
    <w:rsid w:val="00793E05"/>
    <w:rsid w:val="008917C3"/>
    <w:rsid w:val="008E5359"/>
    <w:rsid w:val="008F7928"/>
    <w:rsid w:val="008F7CDC"/>
    <w:rsid w:val="009646BD"/>
    <w:rsid w:val="009A25DD"/>
    <w:rsid w:val="009F25A0"/>
    <w:rsid w:val="00A173CD"/>
    <w:rsid w:val="00A84D3B"/>
    <w:rsid w:val="00AB306B"/>
    <w:rsid w:val="00AD0117"/>
    <w:rsid w:val="00AF5057"/>
    <w:rsid w:val="00B15A19"/>
    <w:rsid w:val="00B26A3C"/>
    <w:rsid w:val="00B9637A"/>
    <w:rsid w:val="00BB3EF5"/>
    <w:rsid w:val="00BE7139"/>
    <w:rsid w:val="00C66FE3"/>
    <w:rsid w:val="00CB1791"/>
    <w:rsid w:val="00CE1D1D"/>
    <w:rsid w:val="00CE3CA3"/>
    <w:rsid w:val="00D17717"/>
    <w:rsid w:val="00D832BD"/>
    <w:rsid w:val="00D87A00"/>
    <w:rsid w:val="00D91B35"/>
    <w:rsid w:val="00DB0E96"/>
    <w:rsid w:val="00DE4037"/>
    <w:rsid w:val="00E13E0E"/>
    <w:rsid w:val="00E2343D"/>
    <w:rsid w:val="00EF066B"/>
    <w:rsid w:val="00F715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DA0B5"/>
  <w15:docId w15:val="{2F5D0044-AD01-FF4B-9178-F54E7A94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A2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3A2C"/>
    <w:pPr>
      <w:ind w:left="720"/>
      <w:contextualSpacing/>
    </w:pPr>
  </w:style>
  <w:style w:type="paragraph" w:styleId="Subtitle">
    <w:name w:val="Subtitle"/>
    <w:basedOn w:val="Normal"/>
    <w:next w:val="Normal"/>
    <w:link w:val="SubtitleChar"/>
    <w:uiPriority w:val="11"/>
    <w:qFormat/>
    <w:rsid w:val="00643A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3A2C"/>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E2343D"/>
    <w:rPr>
      <w:color w:val="0000FF" w:themeColor="hyperlink"/>
      <w:u w:val="single"/>
    </w:rPr>
  </w:style>
  <w:style w:type="character" w:customStyle="1" w:styleId="ECCParagraph">
    <w:name w:val="ECC Paragraph"/>
    <w:basedOn w:val="DefaultParagraphFont"/>
    <w:uiPriority w:val="1"/>
    <w:qFormat/>
    <w:rsid w:val="008F7928"/>
    <w:rPr>
      <w:rFonts w:ascii="Arial" w:hAnsi="Arial"/>
      <w:noProof w:val="0"/>
      <w:sz w:val="20"/>
      <w:bdr w:val="none" w:sz="0" w:space="0" w:color="auto"/>
      <w:lang w:val="en-GB"/>
    </w:rPr>
  </w:style>
  <w:style w:type="character" w:styleId="CommentReference">
    <w:name w:val="annotation reference"/>
    <w:basedOn w:val="DefaultParagraphFont"/>
    <w:uiPriority w:val="99"/>
    <w:semiHidden/>
    <w:unhideWhenUsed/>
    <w:rsid w:val="005A416D"/>
    <w:rPr>
      <w:sz w:val="16"/>
      <w:szCs w:val="16"/>
    </w:rPr>
  </w:style>
  <w:style w:type="paragraph" w:styleId="CommentText">
    <w:name w:val="annotation text"/>
    <w:basedOn w:val="Normal"/>
    <w:link w:val="CommentTextChar"/>
    <w:uiPriority w:val="99"/>
    <w:semiHidden/>
    <w:unhideWhenUsed/>
    <w:rsid w:val="005A416D"/>
    <w:pPr>
      <w:spacing w:line="240" w:lineRule="auto"/>
    </w:pPr>
    <w:rPr>
      <w:sz w:val="20"/>
      <w:szCs w:val="20"/>
    </w:rPr>
  </w:style>
  <w:style w:type="character" w:customStyle="1" w:styleId="CommentTextChar">
    <w:name w:val="Comment Text Char"/>
    <w:basedOn w:val="DefaultParagraphFont"/>
    <w:link w:val="CommentText"/>
    <w:uiPriority w:val="99"/>
    <w:semiHidden/>
    <w:rsid w:val="005A416D"/>
    <w:rPr>
      <w:sz w:val="20"/>
      <w:szCs w:val="20"/>
    </w:rPr>
  </w:style>
  <w:style w:type="paragraph" w:styleId="CommentSubject">
    <w:name w:val="annotation subject"/>
    <w:basedOn w:val="CommentText"/>
    <w:next w:val="CommentText"/>
    <w:link w:val="CommentSubjectChar"/>
    <w:uiPriority w:val="99"/>
    <w:semiHidden/>
    <w:unhideWhenUsed/>
    <w:rsid w:val="005A416D"/>
    <w:rPr>
      <w:b/>
      <w:bCs/>
    </w:rPr>
  </w:style>
  <w:style w:type="character" w:customStyle="1" w:styleId="CommentSubjectChar">
    <w:name w:val="Comment Subject Char"/>
    <w:basedOn w:val="CommentTextChar"/>
    <w:link w:val="CommentSubject"/>
    <w:uiPriority w:val="99"/>
    <w:semiHidden/>
    <w:rsid w:val="005A416D"/>
    <w:rPr>
      <w:b/>
      <w:bCs/>
      <w:sz w:val="20"/>
      <w:szCs w:val="20"/>
    </w:rPr>
  </w:style>
  <w:style w:type="paragraph" w:styleId="BalloonText">
    <w:name w:val="Balloon Text"/>
    <w:basedOn w:val="Normal"/>
    <w:link w:val="BalloonTextChar"/>
    <w:uiPriority w:val="99"/>
    <w:semiHidden/>
    <w:unhideWhenUsed/>
    <w:rsid w:val="005A4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16D"/>
    <w:rPr>
      <w:rFonts w:ascii="Tahoma" w:hAnsi="Tahoma" w:cs="Tahoma"/>
      <w:sz w:val="16"/>
      <w:szCs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unhideWhenUsed/>
    <w:qFormat/>
    <w:rsid w:val="00503C53"/>
    <w:pPr>
      <w:spacing w:after="0" w:line="240" w:lineRule="auto"/>
    </w:pPr>
    <w:rPr>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503C53"/>
    <w:rPr>
      <w:sz w:val="20"/>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basedOn w:val="DefaultParagraphFont"/>
    <w:uiPriority w:val="99"/>
    <w:unhideWhenUsed/>
    <w:rsid w:val="00503C53"/>
    <w:rPr>
      <w:vertAlign w:val="superscript"/>
    </w:rPr>
  </w:style>
  <w:style w:type="paragraph" w:styleId="Header">
    <w:name w:val="header"/>
    <w:basedOn w:val="Normal"/>
    <w:link w:val="HeaderChar"/>
    <w:uiPriority w:val="99"/>
    <w:unhideWhenUsed/>
    <w:rsid w:val="00417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D36"/>
  </w:style>
  <w:style w:type="paragraph" w:styleId="Footer">
    <w:name w:val="footer"/>
    <w:basedOn w:val="Normal"/>
    <w:link w:val="FooterChar"/>
    <w:uiPriority w:val="99"/>
    <w:unhideWhenUsed/>
    <w:rsid w:val="00417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05581">
      <w:bodyDiv w:val="1"/>
      <w:marLeft w:val="0"/>
      <w:marRight w:val="0"/>
      <w:marTop w:val="0"/>
      <w:marBottom w:val="0"/>
      <w:divBdr>
        <w:top w:val="none" w:sz="0" w:space="0" w:color="auto"/>
        <w:left w:val="none" w:sz="0" w:space="0" w:color="auto"/>
        <w:bottom w:val="none" w:sz="0" w:space="0" w:color="auto"/>
        <w:right w:val="none" w:sz="0" w:space="0" w:color="auto"/>
      </w:divBdr>
    </w:div>
    <w:div w:id="158992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17R0373&amp;from=EN"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71973-5540-614E-825C-DF2F62BE0ECB}">
  <ds:schemaRefs>
    <ds:schemaRef ds:uri="http://schemas.openxmlformats.org/officeDocument/2006/bibliography"/>
  </ds:schemaRefs>
</ds:datastoreItem>
</file>

<file path=customXml/itemProps2.xml><?xml version="1.0" encoding="utf-8"?>
<ds:datastoreItem xmlns:ds="http://schemas.openxmlformats.org/officeDocument/2006/customXml" ds:itemID="{7AC9A020-DB08-4A4D-9CC0-D953029F185F}"/>
</file>

<file path=customXml/itemProps3.xml><?xml version="1.0" encoding="utf-8"?>
<ds:datastoreItem xmlns:ds="http://schemas.openxmlformats.org/officeDocument/2006/customXml" ds:itemID="{F4F09EFF-0D6B-498E-AD0C-B508C1C62617}"/>
</file>

<file path=customXml/itemProps4.xml><?xml version="1.0" encoding="utf-8"?>
<ds:datastoreItem xmlns:ds="http://schemas.openxmlformats.org/officeDocument/2006/customXml" ds:itemID="{E5C0C5E6-DEC7-4227-BB55-A70E53D617FB}"/>
</file>

<file path=docProps/app.xml><?xml version="1.0" encoding="utf-8"?>
<Properties xmlns="http://schemas.openxmlformats.org/officeDocument/2006/extended-properties" xmlns:vt="http://schemas.openxmlformats.org/officeDocument/2006/docPropsVTypes">
  <Template>Normal.dotm</Template>
  <TotalTime>46</TotalTime>
  <Pages>5</Pages>
  <Words>1462</Words>
  <Characters>8337</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DGAC</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GUIGNOT</dc:creator>
  <cp:keywords/>
  <dc:description/>
  <cp:lastModifiedBy>Loftur Jonasson</cp:lastModifiedBy>
  <cp:revision>5</cp:revision>
  <dcterms:created xsi:type="dcterms:W3CDTF">2019-09-07T21:30:00Z</dcterms:created>
  <dcterms:modified xsi:type="dcterms:W3CDTF">2019-09-07T22:21:00Z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