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D5C97" w14:textId="77777777" w:rsidR="00770160" w:rsidRDefault="00F1687B" w:rsidP="00725205">
      <w:pPr>
        <w:jc w:val="center"/>
        <w:rPr>
          <w:b/>
        </w:rPr>
      </w:pPr>
      <w:r>
        <w:rPr>
          <w:b/>
          <w:sz w:val="24"/>
          <w:lang w:val="en-US"/>
        </w:rPr>
        <w:t xml:space="preserve">SECOND WORKING GROUP MEETING OF THE </w:t>
      </w:r>
      <w:r>
        <w:rPr>
          <w:b/>
          <w:sz w:val="24"/>
          <w:lang w:val="en-US"/>
        </w:rPr>
        <w:br/>
      </w:r>
      <w:r w:rsidR="000D26D5">
        <w:rPr>
          <w:b/>
          <w:sz w:val="24"/>
          <w:lang w:val="en-US"/>
        </w:rPr>
        <w:t>FREQUENCY SPECTRUM</w:t>
      </w:r>
      <w:r w:rsidR="000D26D5">
        <w:rPr>
          <w:b/>
        </w:rPr>
        <w:t xml:space="preserve"> </w:t>
      </w:r>
      <w:proofErr w:type="gramStart"/>
      <w:r w:rsidR="000D26D5">
        <w:rPr>
          <w:b/>
        </w:rPr>
        <w:t>MANGEMENT  PANEL</w:t>
      </w:r>
      <w:proofErr w:type="gramEnd"/>
      <w:r w:rsidR="000D26D5">
        <w:rPr>
          <w:b/>
        </w:rPr>
        <w:t xml:space="preserve"> (FSMP)</w:t>
      </w:r>
    </w:p>
    <w:p w14:paraId="36B5EA24" w14:textId="77777777" w:rsidR="00770160" w:rsidRDefault="00770160">
      <w:pPr>
        <w:tabs>
          <w:tab w:val="left" w:pos="6972"/>
        </w:tabs>
        <w:jc w:val="center"/>
        <w:rPr>
          <w:b/>
        </w:rPr>
      </w:pPr>
    </w:p>
    <w:p w14:paraId="7BE44662" w14:textId="77777777" w:rsidR="00770160" w:rsidRDefault="00F1687B" w:rsidP="00DF76D3">
      <w:pPr>
        <w:pStyle w:val="Maintitle"/>
      </w:pPr>
      <w:r>
        <w:t>(FSMP-WG/2)</w:t>
      </w:r>
    </w:p>
    <w:p w14:paraId="7F6D1F99" w14:textId="77777777" w:rsidR="00770160" w:rsidRDefault="00770160"/>
    <w:p w14:paraId="1862367B" w14:textId="77777777" w:rsidR="00770160" w:rsidRDefault="00725205" w:rsidP="000D26D5">
      <w:pPr>
        <w:pStyle w:val="Maintitle"/>
      </w:pPr>
      <w:r>
        <w:t>Montreal</w:t>
      </w:r>
      <w:r w:rsidR="00A12CBA">
        <w:t xml:space="preserve">, </w:t>
      </w:r>
      <w:r>
        <w:t>Canada</w:t>
      </w:r>
      <w:r w:rsidR="00A12CBA">
        <w:t xml:space="preserve">, </w:t>
      </w:r>
      <w:r w:rsidR="00F1687B">
        <w:t>15-19 February 2016</w:t>
      </w:r>
    </w:p>
    <w:p w14:paraId="0AD0D6F1" w14:textId="77777777" w:rsidR="00770160" w:rsidRDefault="00770160">
      <w:pPr>
        <w:tabs>
          <w:tab w:val="left" w:pos="0"/>
          <w:tab w:val="left" w:pos="1570"/>
          <w:tab w:val="left" w:pos="1857"/>
        </w:tabs>
      </w:pPr>
      <w:bookmarkStart w:id="0" w:name="agenda_item"/>
      <w:bookmarkEnd w:id="0"/>
    </w:p>
    <w:p w14:paraId="08D28F41" w14:textId="77777777" w:rsidR="00770160" w:rsidRDefault="00770160">
      <w:pPr>
        <w:tabs>
          <w:tab w:val="left" w:pos="0"/>
          <w:tab w:val="left" w:pos="1570"/>
          <w:tab w:val="left" w:pos="1857"/>
        </w:tabs>
      </w:pPr>
    </w:p>
    <w:p w14:paraId="10CE70D4" w14:textId="77777777" w:rsidR="00770160" w:rsidRDefault="00F1687B">
      <w:pPr>
        <w:pStyle w:val="Agendaitemtitle"/>
        <w:rPr>
          <w:lang w:val="sv-SE"/>
        </w:rPr>
      </w:pPr>
      <w:r>
        <w:rPr>
          <w:lang w:val="sv-SE"/>
        </w:rPr>
        <w:t>Agenda Item 2a</w:t>
      </w:r>
      <w:r w:rsidR="00770160">
        <w:rPr>
          <w:lang w:val="sv-SE"/>
        </w:rPr>
        <w:t>:</w:t>
      </w:r>
      <w:r w:rsidR="00770160">
        <w:rPr>
          <w:lang w:val="sv-SE"/>
        </w:rPr>
        <w:tab/>
      </w:r>
      <w:r>
        <w:rPr>
          <w:lang w:val="sv-SE"/>
        </w:rPr>
        <w:t>Outcome of WRC-15 (General)</w:t>
      </w:r>
    </w:p>
    <w:p w14:paraId="5ACB420A" w14:textId="77777777" w:rsidR="00770160" w:rsidRDefault="00770160">
      <w:pPr>
        <w:pStyle w:val="Agendaitemtitle"/>
        <w:rPr>
          <w:b w:val="0"/>
          <w:lang w:val="sv-SE"/>
        </w:rPr>
      </w:pPr>
    </w:p>
    <w:p w14:paraId="42B16F58" w14:textId="77777777" w:rsidR="00770160" w:rsidRDefault="00770160">
      <w:pPr>
        <w:tabs>
          <w:tab w:val="left" w:pos="6972"/>
        </w:tabs>
        <w:rPr>
          <w:b/>
          <w:lang w:val="sv-SE"/>
        </w:rPr>
      </w:pPr>
    </w:p>
    <w:p w14:paraId="2C096A85" w14:textId="77777777" w:rsidR="00770160" w:rsidRDefault="00A25092">
      <w:pPr>
        <w:pStyle w:val="Maintitle"/>
      </w:pPr>
      <w:r>
        <w:t xml:space="preserve">Does the WRC-15 Result with </w:t>
      </w:r>
      <w:r w:rsidR="0060644D">
        <w:t>Respect</w:t>
      </w:r>
      <w:r>
        <w:t xml:space="preserve"> to Unmanned Aircraft Systems Satisfy Civil Aviation Requirements?</w:t>
      </w:r>
    </w:p>
    <w:p w14:paraId="00484B35" w14:textId="77777777" w:rsidR="00770160" w:rsidRDefault="00770160">
      <w:pPr>
        <w:tabs>
          <w:tab w:val="left" w:pos="6972"/>
        </w:tabs>
      </w:pPr>
    </w:p>
    <w:p w14:paraId="7079F064" w14:textId="77777777" w:rsidR="00770160" w:rsidRDefault="00770160">
      <w:pPr>
        <w:tabs>
          <w:tab w:val="left" w:pos="6972"/>
        </w:tabs>
      </w:pPr>
    </w:p>
    <w:p w14:paraId="110818C1" w14:textId="77777777" w:rsidR="00770160" w:rsidRDefault="00770160">
      <w:pPr>
        <w:jc w:val="center"/>
      </w:pPr>
      <w:r>
        <w:t>(</w:t>
      </w:r>
      <w:r w:rsidR="00A25092">
        <w:t>John Mettrop</w:t>
      </w:r>
      <w:r>
        <w:t>)</w:t>
      </w:r>
    </w:p>
    <w:p w14:paraId="7EAA5FAE" w14:textId="77777777" w:rsidR="00770160" w:rsidRDefault="00770160"/>
    <w:p w14:paraId="69257F8F"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0D9B7F31" w14:textId="77777777">
        <w:trPr>
          <w:cantSplit/>
          <w:trHeight w:hRule="exact" w:val="480"/>
          <w:jc w:val="center"/>
        </w:trPr>
        <w:tc>
          <w:tcPr>
            <w:tcW w:w="7200" w:type="dxa"/>
            <w:vAlign w:val="center"/>
          </w:tcPr>
          <w:p w14:paraId="5E9B79C6" w14:textId="77777777" w:rsidR="00770160" w:rsidRDefault="00770160">
            <w:pPr>
              <w:jc w:val="center"/>
              <w:rPr>
                <w:sz w:val="24"/>
                <w:lang w:val="en-US"/>
              </w:rPr>
            </w:pPr>
            <w:r>
              <w:rPr>
                <w:b/>
              </w:rPr>
              <w:t>SUMMARY</w:t>
            </w:r>
          </w:p>
        </w:tc>
      </w:tr>
      <w:tr w:rsidR="00770160" w14:paraId="2AC0CA1A" w14:textId="77777777">
        <w:trPr>
          <w:cantSplit/>
          <w:jc w:val="center"/>
        </w:trPr>
        <w:tc>
          <w:tcPr>
            <w:tcW w:w="7200" w:type="dxa"/>
          </w:tcPr>
          <w:p w14:paraId="216B419C" w14:textId="77777777" w:rsidR="00770160" w:rsidRDefault="007070EF" w:rsidP="007070EF">
            <w:pPr>
              <w:rPr>
                <w:lang w:val="en-US"/>
              </w:rPr>
            </w:pPr>
            <w:r>
              <w:rPr>
                <w:lang w:val="en-US"/>
              </w:rPr>
              <w:t>This document examines the result of WRC-15 with respect to unmanned aircraft systems and provides an assessment of whether it is suitable to support routine remotely piloted aircraft operations in non-segregated airspace and if not what are the shortcomings and can they be addressed.</w:t>
            </w:r>
          </w:p>
        </w:tc>
      </w:tr>
    </w:tbl>
    <w:p w14:paraId="41160569" w14:textId="77777777" w:rsidR="00770160" w:rsidRDefault="00770160"/>
    <w:p w14:paraId="04DA6F4E" w14:textId="77777777" w:rsidR="00770160" w:rsidRDefault="00770160"/>
    <w:p w14:paraId="4AECB4DD" w14:textId="77777777" w:rsidR="00770160" w:rsidRDefault="00770160">
      <w:pPr>
        <w:pStyle w:val="1Heading"/>
      </w:pPr>
      <w:r>
        <w:t>INTRODUCTION</w:t>
      </w:r>
    </w:p>
    <w:p w14:paraId="75E35E98" w14:textId="77777777" w:rsidR="00C75C66" w:rsidRDefault="00D64593">
      <w:pPr>
        <w:pStyle w:val="2para"/>
      </w:pPr>
      <w:r>
        <w:t xml:space="preserve">Unmanned aircraft </w:t>
      </w:r>
      <w:r w:rsidR="00F04861">
        <w:t xml:space="preserve">(UA) </w:t>
      </w:r>
      <w:r>
        <w:t>or as they have more recently come to be known as, remotely piloted aircraft</w:t>
      </w:r>
      <w:r w:rsidR="00F04861">
        <w:t xml:space="preserve"> (RPA)</w:t>
      </w:r>
      <w:r>
        <w:t>, is a technology that started within the military but has now progressed into civil aviation</w:t>
      </w:r>
      <w:r w:rsidR="00770160">
        <w:t>.</w:t>
      </w:r>
      <w:r>
        <w:t xml:space="preserve">  Originally conceived within civil aviation as means to replace either one or both of the pilots within an aircraft it has now broadened to a myriad of applications such as </w:t>
      </w:r>
      <w:r w:rsidR="00725B25">
        <w:t xml:space="preserve">geographical research, communication relay platforms, </w:t>
      </w:r>
      <w:r w:rsidR="0060644D">
        <w:t>filming</w:t>
      </w:r>
      <w:r w:rsidR="00725B25">
        <w:t xml:space="preserve"> and parcel delivery. From the outset it was realised that if these vehicles are to fly in airspace used by other manned aircraft then there would be</w:t>
      </w:r>
      <w:r w:rsidR="00C75C66">
        <w:t xml:space="preserve"> a need for additional spectrum.</w:t>
      </w:r>
    </w:p>
    <w:p w14:paraId="2EB0E508" w14:textId="77777777" w:rsidR="00770160" w:rsidRDefault="00C75C66">
      <w:pPr>
        <w:pStyle w:val="2para"/>
      </w:pPr>
      <w:r>
        <w:t xml:space="preserve">In order to address </w:t>
      </w:r>
      <w:r w:rsidR="00F716F2">
        <w:t>this issue</w:t>
      </w:r>
      <w:r w:rsidR="0060644D">
        <w:t>,</w:t>
      </w:r>
      <w:r w:rsidR="00F716F2">
        <w:t xml:space="preserve"> </w:t>
      </w:r>
      <w:r w:rsidR="00FC287E">
        <w:t xml:space="preserve">a case was successfully made at WRC-07 for a WRC-12 agenda item to </w:t>
      </w:r>
      <w:r w:rsidR="00F549DA" w:rsidRPr="00F624A8">
        <w:t>consider spectrum requirements and possible regulatory actions, including allocations, in order to support the safe operation of unmanned aircraft systems</w:t>
      </w:r>
      <w:r w:rsidR="00F549DA">
        <w:t>. At WRC-12 a number of satellite and terrestrial  allocations were made/modified</w:t>
      </w:r>
      <w:r w:rsidR="0060644D">
        <w:t>,</w:t>
      </w:r>
      <w:r w:rsidR="00F549DA">
        <w:t xml:space="preserve"> however it was recognised that for the satellite allocations there were no systems currently available nor likely to be available in the near future. </w:t>
      </w:r>
      <w:r w:rsidR="0060644D">
        <w:t>Therefore,</w:t>
      </w:r>
      <w:r w:rsidR="00F549DA">
        <w:t xml:space="preserve"> a follow-on agenda item for WRC-15 was agreed that sought to investigate whether systems operating in the fixed satellite service could be used to support </w:t>
      </w:r>
      <w:r w:rsidR="00F04861">
        <w:t>UA/RPAS control</w:t>
      </w:r>
      <w:r w:rsidR="00F549DA">
        <w:t xml:space="preserve"> and non-payload communication</w:t>
      </w:r>
      <w:r w:rsidR="00A53025">
        <w:t xml:space="preserve"> </w:t>
      </w:r>
      <w:r w:rsidR="00ED77AE">
        <w:t xml:space="preserve">(CNPC) </w:t>
      </w:r>
      <w:r w:rsidR="00A53025">
        <w:t>in non-segregated airspace</w:t>
      </w:r>
      <w:r w:rsidR="00F549DA">
        <w:t>.</w:t>
      </w:r>
    </w:p>
    <w:p w14:paraId="534F2877" w14:textId="77777777" w:rsidR="00366C76" w:rsidRDefault="00F549DA" w:rsidP="00366C76">
      <w:pPr>
        <w:pStyle w:val="2para"/>
      </w:pPr>
      <w:r>
        <w:lastRenderedPageBreak/>
        <w:t xml:space="preserve">WRC-15 modified the Radio Regulations to allow </w:t>
      </w:r>
      <w:r w:rsidR="00A53025">
        <w:t xml:space="preserve">the use fixed satellite systems operating in a number of frequency bands to be used for the provision of </w:t>
      </w:r>
      <w:r w:rsidR="00F04861">
        <w:t>UA/RPAS</w:t>
      </w:r>
      <w:r w:rsidR="00ED77AE">
        <w:t xml:space="preserve"> CNPC</w:t>
      </w:r>
      <w:r w:rsidR="00A53025">
        <w:t xml:space="preserve"> in non-segregated airspace.  That use being subject to conditions </w:t>
      </w:r>
      <w:r w:rsidR="000C2D98">
        <w:t>laid out in a new Resolution (Res.</w:t>
      </w:r>
      <w:r w:rsidR="000C2D98" w:rsidRPr="004D59BC">
        <w:rPr>
          <w:b/>
        </w:rPr>
        <w:t>155</w:t>
      </w:r>
      <w:r w:rsidR="000C2D98">
        <w:t>) as well as the frequency band specific articles</w:t>
      </w:r>
      <w:r w:rsidR="00366C76">
        <w:t xml:space="preserve"> (</w:t>
      </w:r>
      <w:r w:rsidR="00366C76" w:rsidRPr="00366C76">
        <w:rPr>
          <w:i/>
        </w:rPr>
        <w:t>see a</w:t>
      </w:r>
      <w:r w:rsidR="0086330B">
        <w:rPr>
          <w:i/>
        </w:rPr>
        <w:t>ttachments</w:t>
      </w:r>
      <w:r w:rsidR="00366C76" w:rsidRPr="00366C76">
        <w:rPr>
          <w:i/>
        </w:rPr>
        <w:t xml:space="preserve"> 1 and 2 respectively</w:t>
      </w:r>
      <w:r w:rsidR="00366C76">
        <w:t>)</w:t>
      </w:r>
      <w:r w:rsidR="00A53025">
        <w:t xml:space="preserve">.  This document seeks to identify whether the </w:t>
      </w:r>
      <w:r w:rsidR="000C2D98">
        <w:t xml:space="preserve">overall </w:t>
      </w:r>
      <w:r w:rsidR="00A53025">
        <w:t xml:space="preserve">conditions </w:t>
      </w:r>
      <w:r w:rsidR="000C2D98">
        <w:t xml:space="preserve">under which a fixed satellite system can be used for the provision of </w:t>
      </w:r>
      <w:r w:rsidR="00F04861">
        <w:t>UA/RPAS</w:t>
      </w:r>
      <w:r w:rsidR="00ED77AE">
        <w:t xml:space="preserve"> CNPC</w:t>
      </w:r>
      <w:r w:rsidR="000C2D98">
        <w:t xml:space="preserve"> </w:t>
      </w:r>
      <w:r w:rsidR="00A53025">
        <w:t xml:space="preserve">are consistent with the provision of an aeronautical </w:t>
      </w:r>
      <w:r w:rsidR="00A12B00">
        <w:t xml:space="preserve">safety </w:t>
      </w:r>
      <w:r w:rsidR="00A53025">
        <w:t>service</w:t>
      </w:r>
      <w:r w:rsidR="000C2D98">
        <w:t xml:space="preserve"> and if not what action, if any, can be taken to address any short</w:t>
      </w:r>
      <w:r w:rsidR="00366C76">
        <w:t>fall.</w:t>
      </w:r>
    </w:p>
    <w:p w14:paraId="1ED03ECA" w14:textId="77777777" w:rsidR="00366C76" w:rsidRPr="00366C76" w:rsidRDefault="00366C76" w:rsidP="00366C76">
      <w:pPr>
        <w:pStyle w:val="2para"/>
        <w:numPr>
          <w:ilvl w:val="0"/>
          <w:numId w:val="0"/>
        </w:numPr>
        <w:rPr>
          <w:i/>
          <w:sz w:val="20"/>
        </w:rPr>
      </w:pPr>
      <w:r w:rsidRPr="00366C76">
        <w:rPr>
          <w:i/>
          <w:sz w:val="20"/>
        </w:rPr>
        <w:t>Note:  This document does not seek to comment on whether the result of the WRC is in line or not with the ICAO position</w:t>
      </w:r>
      <w:r w:rsidR="0086330B">
        <w:rPr>
          <w:i/>
          <w:sz w:val="20"/>
        </w:rPr>
        <w:t xml:space="preserve"> and the potential wider </w:t>
      </w:r>
      <w:r w:rsidR="0060644D">
        <w:rPr>
          <w:i/>
          <w:sz w:val="20"/>
        </w:rPr>
        <w:t>impacts within</w:t>
      </w:r>
      <w:r w:rsidR="0086330B">
        <w:rPr>
          <w:i/>
          <w:sz w:val="20"/>
        </w:rPr>
        <w:t xml:space="preserve"> aviation</w:t>
      </w:r>
      <w:r w:rsidRPr="00366C76">
        <w:rPr>
          <w:i/>
          <w:sz w:val="20"/>
        </w:rPr>
        <w:t>.</w:t>
      </w:r>
    </w:p>
    <w:p w14:paraId="360591E4" w14:textId="77777777" w:rsidR="00770160" w:rsidRDefault="00770160">
      <w:pPr>
        <w:pStyle w:val="1Heading"/>
      </w:pPr>
      <w:r>
        <w:t>DISCUSSION</w:t>
      </w:r>
    </w:p>
    <w:p w14:paraId="0EBAAEC0" w14:textId="77777777" w:rsidR="00E60D3D" w:rsidRDefault="001D1C21">
      <w:pPr>
        <w:pStyle w:val="2para"/>
      </w:pPr>
      <w:r>
        <w:t>Traditionally aviation has relied on the use of primary allocations to acknowledged aeronautical safety services</w:t>
      </w:r>
      <w:r w:rsidRPr="0086330B">
        <w:rPr>
          <w:rStyle w:val="FootnoteReference"/>
          <w:sz w:val="16"/>
        </w:rPr>
        <w:footnoteReference w:id="1"/>
      </w:r>
      <w:r>
        <w:t xml:space="preserve"> </w:t>
      </w:r>
      <w:r w:rsidR="00E60D3D">
        <w:t>or identified use under a parent service, and hence</w:t>
      </w:r>
      <w:r>
        <w:t xml:space="preserve"> hav</w:t>
      </w:r>
      <w:r w:rsidR="00E60D3D">
        <w:t>ing</w:t>
      </w:r>
      <w:r>
        <w:t xml:space="preserve"> primacy over all other services operating in the same frequency band.  </w:t>
      </w:r>
      <w:r w:rsidR="0060644D">
        <w:t>However,</w:t>
      </w:r>
      <w:r>
        <w:t xml:space="preserve"> in this case the proposed method which was accepted, at least in principle, by ICAO is that a safety critical aeronautical system (</w:t>
      </w:r>
      <w:r w:rsidR="00ED77AE">
        <w:t>UA/RPA CNPC</w:t>
      </w:r>
      <w:r w:rsidR="0086330B" w:rsidRPr="0086330B">
        <w:rPr>
          <w:rStyle w:val="FootnoteReference"/>
          <w:sz w:val="16"/>
        </w:rPr>
        <w:footnoteReference w:id="2"/>
      </w:r>
      <w:r>
        <w:t xml:space="preserve">) can operate where at least one element of that system is operating on a non-interference, no protection basis.  </w:t>
      </w:r>
      <w:r w:rsidR="0060644D">
        <w:t>Therefore,</w:t>
      </w:r>
      <w:r>
        <w:t xml:space="preserve"> instead of relying on </w:t>
      </w:r>
      <w:r w:rsidR="00E60D3D">
        <w:t xml:space="preserve">the protection afforded by a safety service it relies on link diversity and redundancy to provide the protection. Such an approach has been proposed in the past for operational expediency of other satellite systems but in accepting these proposals it has always been a requirement that there be sufficient fall back capacity in a frequency band identified for aeronautical use on a primary basis  </w:t>
      </w:r>
    </w:p>
    <w:p w14:paraId="2ACEA3D7" w14:textId="77777777" w:rsidR="001D1C21" w:rsidRDefault="007A0C13">
      <w:pPr>
        <w:pStyle w:val="2para"/>
      </w:pPr>
      <w:r>
        <w:t xml:space="preserve">For the approach, taken by WRC-15 to address the satellite spectral requirements of the remotely piloted command and non-payload communication system, to work that system must be certifiable within the environment </w:t>
      </w:r>
      <w:r w:rsidR="0060644D">
        <w:t>prevalent</w:t>
      </w:r>
      <w:r>
        <w:t xml:space="preserve"> at the time</w:t>
      </w:r>
      <w:r w:rsidR="007625A2">
        <w:t xml:space="preserve"> at least within the area they intend to fly including tactical re-routing.  Ideally</w:t>
      </w:r>
      <w:r w:rsidR="0086330B">
        <w:t>, for an internationally useable system,</w:t>
      </w:r>
      <w:r w:rsidR="007625A2">
        <w:t xml:space="preserve"> such certification should be global </w:t>
      </w:r>
      <w:r w:rsidR="0086330B">
        <w:t>and not specific to a particular geographical area such as an air-route, State or Region.</w:t>
      </w:r>
    </w:p>
    <w:p w14:paraId="54702966" w14:textId="77777777" w:rsidR="0086330B" w:rsidRDefault="0086330B">
      <w:pPr>
        <w:pStyle w:val="2para"/>
      </w:pPr>
      <w:r>
        <w:t xml:space="preserve">The question therefore is whether the arrangements made at WRC-15 are sufficient to allow for the certification of a </w:t>
      </w:r>
      <w:r w:rsidR="00ED77AE">
        <w:t>UA/RPA CNPC</w:t>
      </w:r>
      <w:r>
        <w:t xml:space="preserve"> system and whether the potential restrictions on geographical use are too restrictive to allow air traffic control freedom of action.</w:t>
      </w:r>
      <w:r w:rsidR="00C00322">
        <w:t xml:space="preserve">  This can be looked at under the following </w:t>
      </w:r>
      <w:r w:rsidR="0060644D">
        <w:t>categories: -</w:t>
      </w:r>
    </w:p>
    <w:p w14:paraId="6DF11408" w14:textId="77777777" w:rsidR="00C00322" w:rsidRDefault="00C00322" w:rsidP="00C00322">
      <w:pPr>
        <w:pStyle w:val="2para"/>
        <w:numPr>
          <w:ilvl w:val="1"/>
          <w:numId w:val="6"/>
        </w:numPr>
        <w:spacing w:after="60"/>
        <w:ind w:left="2138"/>
      </w:pPr>
      <w:r>
        <w:t>Allocate frequency band and regulatory status:</w:t>
      </w:r>
    </w:p>
    <w:p w14:paraId="549A58E9" w14:textId="77777777" w:rsidR="00C00322" w:rsidRDefault="00C00322" w:rsidP="00C00322">
      <w:pPr>
        <w:pStyle w:val="2para"/>
        <w:numPr>
          <w:ilvl w:val="1"/>
          <w:numId w:val="6"/>
        </w:numPr>
        <w:spacing w:after="60"/>
        <w:ind w:left="2138"/>
      </w:pPr>
      <w:r>
        <w:t xml:space="preserve">Environment that needs to be protected </w:t>
      </w:r>
    </w:p>
    <w:p w14:paraId="4051D2F6" w14:textId="77777777" w:rsidR="00C00322" w:rsidRDefault="000D6DA8" w:rsidP="00C00322">
      <w:pPr>
        <w:pStyle w:val="2para"/>
        <w:numPr>
          <w:ilvl w:val="1"/>
          <w:numId w:val="6"/>
        </w:numPr>
        <w:ind w:left="2138"/>
      </w:pPr>
      <w:r>
        <w:t xml:space="preserve">Interference </w:t>
      </w:r>
      <w:r w:rsidR="0060644D">
        <w:t>environment</w:t>
      </w:r>
      <w:r w:rsidR="00C00322">
        <w:t xml:space="preserve"> within which the remotely piloted aircraft needs to operate</w:t>
      </w:r>
    </w:p>
    <w:p w14:paraId="1E170BEC" w14:textId="77777777" w:rsidR="00C00322" w:rsidRDefault="004D59BC" w:rsidP="00466346">
      <w:pPr>
        <w:pStyle w:val="2para"/>
      </w:pPr>
      <w:r>
        <w:t>S</w:t>
      </w:r>
      <w:r w:rsidR="00466346">
        <w:t>o</w:t>
      </w:r>
      <w:r>
        <w:t xml:space="preserve"> what is defined in Resolution </w:t>
      </w:r>
      <w:r w:rsidRPr="004D59BC">
        <w:rPr>
          <w:b/>
        </w:rPr>
        <w:t>155</w:t>
      </w:r>
      <w:r>
        <w:t xml:space="preserve"> and what if anything is missing?  The Resolution </w:t>
      </w:r>
      <w:r w:rsidR="00C00322">
        <w:t xml:space="preserve">contains the following information with respect to each of the categories defined above </w:t>
      </w:r>
    </w:p>
    <w:p w14:paraId="75312D6E" w14:textId="77777777" w:rsidR="00193256" w:rsidRDefault="00C00322" w:rsidP="00897B82">
      <w:pPr>
        <w:pStyle w:val="2para"/>
        <w:numPr>
          <w:ilvl w:val="0"/>
          <w:numId w:val="0"/>
        </w:numPr>
        <w:spacing w:after="120"/>
        <w:ind w:left="1418"/>
      </w:pPr>
      <w:r w:rsidRPr="00C00322">
        <w:rPr>
          <w:b/>
        </w:rPr>
        <w:t xml:space="preserve">Allocated frequency band and </w:t>
      </w:r>
      <w:r>
        <w:rPr>
          <w:b/>
        </w:rPr>
        <w:t>regulatory</w:t>
      </w:r>
      <w:r w:rsidRPr="00C00322">
        <w:rPr>
          <w:b/>
        </w:rPr>
        <w:t xml:space="preserve"> status:</w:t>
      </w:r>
      <w:r>
        <w:t xml:space="preserve"> </w:t>
      </w:r>
      <w:r w:rsidR="00F625B5" w:rsidRPr="00A41CB4">
        <w:rPr>
          <w:i/>
        </w:rPr>
        <w:t>Resolves</w:t>
      </w:r>
      <w:r w:rsidR="00F625B5">
        <w:t xml:space="preserve"> 1 defines the frequency bands within which remotely piloted aircraft can communicate with geostationary fixed satellites.  Conformance with the service definitions </w:t>
      </w:r>
      <w:r w:rsidR="00B20DED">
        <w:t xml:space="preserve">and parameters </w:t>
      </w:r>
      <w:r w:rsidR="00F625B5">
        <w:t xml:space="preserve">is addressed in </w:t>
      </w:r>
      <w:r w:rsidR="00F625B5" w:rsidRPr="00A41CB4">
        <w:rPr>
          <w:i/>
        </w:rPr>
        <w:t>resolves</w:t>
      </w:r>
      <w:r w:rsidR="00F625B5">
        <w:t xml:space="preserve"> 2</w:t>
      </w:r>
      <w:r w:rsidR="00B20DED">
        <w:t xml:space="preserve">, 4, </w:t>
      </w:r>
      <w:r w:rsidR="00A41CB4">
        <w:t xml:space="preserve">&amp; </w:t>
      </w:r>
      <w:r w:rsidR="00B20DED">
        <w:t>5</w:t>
      </w:r>
      <w:r w:rsidR="00F625B5">
        <w:t xml:space="preserve"> which is dependent on a class of station for the Earth station on the remotely piloted aircraft </w:t>
      </w:r>
      <w:r w:rsidR="00F625B5">
        <w:lastRenderedPageBreak/>
        <w:t xml:space="preserve">that is consistent with the space station being defined as per </w:t>
      </w:r>
      <w:r w:rsidR="00F625B5" w:rsidRPr="00A41CB4">
        <w:rPr>
          <w:i/>
        </w:rPr>
        <w:t>instructs the Director of the Radiocommunication Bureau</w:t>
      </w:r>
      <w:r w:rsidR="00F625B5">
        <w:t xml:space="preserve"> 3. </w:t>
      </w:r>
      <w:r w:rsidR="0060644D">
        <w:t>However,</w:t>
      </w:r>
      <w:r w:rsidR="00F625B5">
        <w:t xml:space="preserve"> care will need to be taken to ensure that once defined there is no conflict with the definition of an aircraft Earth station. </w:t>
      </w:r>
      <w:r w:rsidR="0060644D">
        <w:t>Finally,</w:t>
      </w:r>
      <w:r w:rsidR="00F625B5">
        <w:t xml:space="preserve"> the </w:t>
      </w:r>
      <w:r w:rsidR="00193256">
        <w:t xml:space="preserve">required </w:t>
      </w:r>
      <w:r w:rsidR="00F625B5">
        <w:t>regulatory status of the a</w:t>
      </w:r>
      <w:r w:rsidR="00193256">
        <w:t>ssignment(s)</w:t>
      </w:r>
      <w:r w:rsidR="00F625B5">
        <w:t xml:space="preserve">, assuming the class of station is defined correctly, </w:t>
      </w:r>
      <w:r w:rsidR="00193256">
        <w:t xml:space="preserve">is addressed in </w:t>
      </w:r>
      <w:r w:rsidR="00193256" w:rsidRPr="00712394">
        <w:rPr>
          <w:i/>
        </w:rPr>
        <w:t>resolves</w:t>
      </w:r>
      <w:r w:rsidR="00193256">
        <w:t xml:space="preserve"> 13.</w:t>
      </w:r>
    </w:p>
    <w:p w14:paraId="7AA8C6D9" w14:textId="77777777" w:rsidR="00712394" w:rsidRPr="00712394" w:rsidRDefault="00712394" w:rsidP="00897B82">
      <w:pPr>
        <w:pStyle w:val="2para"/>
        <w:numPr>
          <w:ilvl w:val="0"/>
          <w:numId w:val="0"/>
        </w:numPr>
        <w:spacing w:after="120"/>
        <w:ind w:left="1418"/>
      </w:pPr>
      <w:r w:rsidRPr="00712394">
        <w:rPr>
          <w:i/>
        </w:rPr>
        <w:t>Resolves</w:t>
      </w:r>
      <w:r>
        <w:t xml:space="preserve"> 9</w:t>
      </w:r>
      <w:r w:rsidR="00F04861">
        <w:t>,</w:t>
      </w:r>
      <w:r>
        <w:t xml:space="preserve"> 10 </w:t>
      </w:r>
      <w:r w:rsidR="00F04861">
        <w:t xml:space="preserve">&amp; 13 </w:t>
      </w:r>
      <w:r>
        <w:t xml:space="preserve">seek to define the conditions under which fixed satellite networks </w:t>
      </w:r>
      <w:r w:rsidR="002247A5">
        <w:t xml:space="preserve">providing remotely piloted aircraft command and non-payload communication can be </w:t>
      </w:r>
      <w:r>
        <w:t>co-ordinat</w:t>
      </w:r>
      <w:r w:rsidR="002247A5">
        <w:t xml:space="preserve">ed. </w:t>
      </w:r>
      <w:r w:rsidR="00F04861">
        <w:t xml:space="preserve">Certainly the intention of the conditions laid out in </w:t>
      </w:r>
      <w:r w:rsidR="00F04861" w:rsidRPr="00F04861">
        <w:rPr>
          <w:i/>
        </w:rPr>
        <w:t xml:space="preserve">resolves </w:t>
      </w:r>
      <w:r w:rsidR="00F04861">
        <w:t xml:space="preserve">13 are welcome however they appear to be in contradiction with those in </w:t>
      </w:r>
      <w:r w:rsidR="00F04861" w:rsidRPr="00F04861">
        <w:rPr>
          <w:i/>
        </w:rPr>
        <w:t>resolves</w:t>
      </w:r>
      <w:r w:rsidR="00F04861">
        <w:t xml:space="preserve"> 9 &amp; 10 which appear to aim is to ensure that such co-ordinations do not gain any preferential treatment compared with other fixed satellite service networks.  Additionally</w:t>
      </w:r>
      <w:r w:rsidR="00D6339D">
        <w:t xml:space="preserve">, if my understanding is correct, </w:t>
      </w:r>
      <w:r w:rsidR="00F04861">
        <w:t xml:space="preserve">even if a suitable level of protection is achieved for a network offering </w:t>
      </w:r>
      <w:r w:rsidR="00D6339D">
        <w:t xml:space="preserve">the level of protection </w:t>
      </w:r>
      <w:r w:rsidR="00ED77AE">
        <w:t>required to support that element of the overall CNPC link, the level of protection may well change at a future satellite co-ordination meeting.  Such a change would then have to be verified that the overall CNPC link performance meets the require performance that is consistent with the safety case.</w:t>
      </w:r>
    </w:p>
    <w:p w14:paraId="37E176A2" w14:textId="77777777" w:rsidR="002A4E3D" w:rsidRPr="002A4E3D" w:rsidRDefault="002A4E3D" w:rsidP="00897B82">
      <w:pPr>
        <w:pStyle w:val="2para"/>
        <w:numPr>
          <w:ilvl w:val="0"/>
          <w:numId w:val="0"/>
        </w:numPr>
        <w:spacing w:after="120"/>
        <w:ind w:left="1418"/>
      </w:pPr>
      <w:r w:rsidRPr="002A4E3D">
        <w:t xml:space="preserve">A potential further </w:t>
      </w:r>
      <w:r>
        <w:t>issue has been introduced by the re</w:t>
      </w:r>
      <w:r w:rsidR="00193819">
        <w:t>s</w:t>
      </w:r>
      <w:r>
        <w:t xml:space="preserve">ults of </w:t>
      </w:r>
      <w:r w:rsidR="00193819">
        <w:t xml:space="preserve">discussion </w:t>
      </w:r>
      <w:r w:rsidR="00E478B3">
        <w:t xml:space="preserve">om Earth stations in motion which led to the addition of </w:t>
      </w:r>
      <w:r w:rsidR="00D4479B">
        <w:t xml:space="preserve">No </w:t>
      </w:r>
      <w:r w:rsidR="00D4479B" w:rsidRPr="00D4479B">
        <w:rPr>
          <w:b/>
        </w:rPr>
        <w:t>5.X15</w:t>
      </w:r>
      <w:r w:rsidR="00D4479B">
        <w:t xml:space="preserve"> which refers to a new Resolution </w:t>
      </w:r>
      <w:r w:rsidR="00D4479B" w:rsidRPr="00D4479B">
        <w:rPr>
          <w:b/>
        </w:rPr>
        <w:t>156</w:t>
      </w:r>
      <w:r w:rsidR="00D4479B">
        <w:t xml:space="preserve"> (5/2).  That Resolution in </w:t>
      </w:r>
      <w:r w:rsidR="00D4479B" w:rsidRPr="00D4479B">
        <w:rPr>
          <w:i/>
        </w:rPr>
        <w:t>resolves</w:t>
      </w:r>
      <w:r w:rsidR="00D4479B">
        <w:t xml:space="preserve"> 1.4 requires that an administration responsible for a satellite network, shall upon receipt of a report of harmful interference with respect to any terrestrial systems operating in countries listed in No. </w:t>
      </w:r>
      <w:r w:rsidR="00D4479B" w:rsidRPr="00712394">
        <w:rPr>
          <w:b/>
        </w:rPr>
        <w:t>5.542</w:t>
      </w:r>
      <w:r w:rsidR="00D4479B">
        <w:t>, immediately cease or reduce the interference to an acceptable level</w:t>
      </w:r>
      <w:r w:rsidR="009A518B">
        <w:t xml:space="preserve"> which is inconsistent with the wording in Resolution </w:t>
      </w:r>
      <w:r w:rsidR="009A518B" w:rsidRPr="009A518B">
        <w:rPr>
          <w:b/>
        </w:rPr>
        <w:t>155</w:t>
      </w:r>
      <w:r w:rsidR="009A518B">
        <w:t xml:space="preserve"> (4/</w:t>
      </w:r>
      <w:r w:rsidR="00712394">
        <w:t>5</w:t>
      </w:r>
      <w:r w:rsidR="009A518B">
        <w:t>)</w:t>
      </w:r>
      <w:r w:rsidR="00D4479B">
        <w:t xml:space="preserve">. This provision would affect most of the </w:t>
      </w:r>
      <w:r w:rsidR="00F3371E">
        <w:t>M</w:t>
      </w:r>
      <w:r w:rsidR="00D4479B">
        <w:t xml:space="preserve">iddle </w:t>
      </w:r>
      <w:r w:rsidR="00F3371E">
        <w:t>E</w:t>
      </w:r>
      <w:r w:rsidR="00D4479B">
        <w:t xml:space="preserve">ast and </w:t>
      </w:r>
      <w:r w:rsidR="00F3371E">
        <w:t>A</w:t>
      </w:r>
      <w:r w:rsidR="00D4479B">
        <w:t>sia</w:t>
      </w:r>
      <w:r w:rsidR="00F3371E">
        <w:t xml:space="preserve"> </w:t>
      </w:r>
      <w:r w:rsidR="00D4479B">
        <w:t xml:space="preserve">and is certainly not compatible with the provision of a safety service where </w:t>
      </w:r>
      <w:r w:rsidR="0060644D">
        <w:t>cessation</w:t>
      </w:r>
      <w:r w:rsidR="00D4479B">
        <w:t xml:space="preserve"> or reduction of the transmitted power could affect the tactical control of an aircraft. </w:t>
      </w:r>
    </w:p>
    <w:p w14:paraId="5F90EBCF" w14:textId="77777777" w:rsidR="00897B82" w:rsidRDefault="00B20DED" w:rsidP="00897B82">
      <w:pPr>
        <w:pStyle w:val="2para"/>
        <w:numPr>
          <w:ilvl w:val="0"/>
          <w:numId w:val="0"/>
        </w:numPr>
        <w:spacing w:after="0"/>
        <w:ind w:left="1418"/>
      </w:pPr>
      <w:r>
        <w:rPr>
          <w:b/>
        </w:rPr>
        <w:t>Issue</w:t>
      </w:r>
      <w:r w:rsidR="00897B82">
        <w:rPr>
          <w:b/>
        </w:rPr>
        <w:t>(s)</w:t>
      </w:r>
      <w:r w:rsidR="00A41CB4">
        <w:rPr>
          <w:b/>
        </w:rPr>
        <w:t xml:space="preserve"> to be resolved</w:t>
      </w:r>
      <w:r w:rsidR="00193256">
        <w:rPr>
          <w:b/>
        </w:rPr>
        <w:t>:</w:t>
      </w:r>
      <w:r w:rsidR="00193256">
        <w:t xml:space="preserve"> </w:t>
      </w:r>
    </w:p>
    <w:p w14:paraId="55B33E90" w14:textId="77777777" w:rsidR="00193256" w:rsidRDefault="00B20DED" w:rsidP="009A518B">
      <w:pPr>
        <w:pStyle w:val="2para"/>
        <w:numPr>
          <w:ilvl w:val="0"/>
          <w:numId w:val="7"/>
        </w:numPr>
        <w:spacing w:after="0"/>
        <w:ind w:left="2137" w:hanging="357"/>
      </w:pPr>
      <w:r>
        <w:t xml:space="preserve">The </w:t>
      </w:r>
      <w:r w:rsidR="00193256">
        <w:t xml:space="preserve">station class for the Earth station onboard the remotely piloted aircraft </w:t>
      </w:r>
      <w:r w:rsidR="00A41CB4">
        <w:t xml:space="preserve">needs to be defined </w:t>
      </w:r>
      <w:r w:rsidR="00193256">
        <w:t>that is consistent with that of the space station and not inconsistent with the definition of an aircraft Earth station.</w:t>
      </w:r>
    </w:p>
    <w:p w14:paraId="5873F666" w14:textId="77777777" w:rsidR="00F3371E" w:rsidRDefault="00F3371E" w:rsidP="009A518B">
      <w:pPr>
        <w:pStyle w:val="2para"/>
        <w:numPr>
          <w:ilvl w:val="0"/>
          <w:numId w:val="7"/>
        </w:numPr>
        <w:spacing w:after="0"/>
        <w:ind w:left="2137" w:hanging="357"/>
      </w:pPr>
      <w:r>
        <w:t xml:space="preserve">How to resolve the apparent contradiction of </w:t>
      </w:r>
      <w:r w:rsidRPr="00F3371E">
        <w:rPr>
          <w:i/>
        </w:rPr>
        <w:t>resolves</w:t>
      </w:r>
      <w:r>
        <w:t xml:space="preserve"> 13 with </w:t>
      </w:r>
      <w:r w:rsidRPr="00F3371E">
        <w:rPr>
          <w:i/>
        </w:rPr>
        <w:t xml:space="preserve">resolves </w:t>
      </w:r>
      <w:r>
        <w:t>9 &amp;</w:t>
      </w:r>
      <w:r w:rsidR="0060644D">
        <w:t>10?</w:t>
      </w:r>
      <w:r>
        <w:t xml:space="preserve"> </w:t>
      </w:r>
    </w:p>
    <w:p w14:paraId="73C089F5" w14:textId="77777777" w:rsidR="00F3371E" w:rsidRDefault="00F3371E" w:rsidP="009A518B">
      <w:pPr>
        <w:pStyle w:val="2para"/>
        <w:numPr>
          <w:ilvl w:val="0"/>
          <w:numId w:val="7"/>
        </w:numPr>
        <w:spacing w:after="0"/>
        <w:ind w:left="2137" w:hanging="357"/>
      </w:pPr>
      <w:r>
        <w:t>How to ensure that once a fixed satellite network has finished co-ordination th</w:t>
      </w:r>
      <w:r w:rsidR="00BB2693">
        <w:t>a</w:t>
      </w:r>
      <w:r>
        <w:t xml:space="preserve">t guarantees the level of protection necessary to ensure the overall CNPC link availability to meet the safety case, that that protection level is </w:t>
      </w:r>
      <w:r w:rsidR="0060644D">
        <w:t>not</w:t>
      </w:r>
      <w:r>
        <w:t xml:space="preserve"> erode</w:t>
      </w:r>
      <w:r w:rsidR="0060644D">
        <w:t>d</w:t>
      </w:r>
      <w:r>
        <w:t xml:space="preserve"> as a result of subsequent satellite co-ordination meetings. </w:t>
      </w:r>
    </w:p>
    <w:p w14:paraId="3C797337" w14:textId="77777777" w:rsidR="009A518B" w:rsidRDefault="009A518B" w:rsidP="00897B82">
      <w:pPr>
        <w:pStyle w:val="2para"/>
        <w:numPr>
          <w:ilvl w:val="0"/>
          <w:numId w:val="7"/>
        </w:numPr>
      </w:pPr>
      <w:r>
        <w:t xml:space="preserve">How to ensure that </w:t>
      </w:r>
      <w:r w:rsidRPr="009A518B">
        <w:rPr>
          <w:i/>
        </w:rPr>
        <w:t>resolves</w:t>
      </w:r>
      <w:r>
        <w:t xml:space="preserve"> 1.4 of Resolutions </w:t>
      </w:r>
      <w:r w:rsidRPr="009A518B">
        <w:rPr>
          <w:b/>
        </w:rPr>
        <w:t>156</w:t>
      </w:r>
      <w:r>
        <w:t xml:space="preserve"> will never be enacted for satellite links providing </w:t>
      </w:r>
      <w:r w:rsidR="00F3371E">
        <w:t>UA/RPA CNPC</w:t>
      </w:r>
      <w:r>
        <w:t xml:space="preserve"> links. </w:t>
      </w:r>
    </w:p>
    <w:p w14:paraId="1A45DE86" w14:textId="77777777" w:rsidR="00A41CB4" w:rsidRDefault="00193256" w:rsidP="000D6DA8">
      <w:pPr>
        <w:pStyle w:val="2para"/>
        <w:numPr>
          <w:ilvl w:val="0"/>
          <w:numId w:val="0"/>
        </w:numPr>
        <w:spacing w:after="120"/>
        <w:ind w:left="1418"/>
      </w:pPr>
      <w:r>
        <w:rPr>
          <w:b/>
        </w:rPr>
        <w:t>Environment that needs to be protected:</w:t>
      </w:r>
      <w:r>
        <w:t xml:space="preserve"> </w:t>
      </w:r>
      <w:r w:rsidR="00B20DED">
        <w:t xml:space="preserve">None of the </w:t>
      </w:r>
      <w:r>
        <w:t xml:space="preserve">frequency bands </w:t>
      </w:r>
      <w:r w:rsidR="00B20DED">
        <w:t xml:space="preserve">identified in Resolution </w:t>
      </w:r>
      <w:r w:rsidR="00B20DED" w:rsidRPr="00B20DED">
        <w:rPr>
          <w:b/>
        </w:rPr>
        <w:t>155</w:t>
      </w:r>
      <w:r w:rsidR="00B20DED">
        <w:t xml:space="preserve"> are allocate to the fixed satellite service on an exclusive basis and th</w:t>
      </w:r>
      <w:r w:rsidR="009A518B">
        <w:t xml:space="preserve">erefore there are provisions included that are intended to ensure the protection </w:t>
      </w:r>
      <w:r w:rsidR="005949EA">
        <w:t>of systems operating under allocations to those other services (</w:t>
      </w:r>
      <w:r w:rsidR="00B20DED" w:rsidRPr="00A41CB4">
        <w:rPr>
          <w:i/>
        </w:rPr>
        <w:t>resolves</w:t>
      </w:r>
      <w:r w:rsidR="00B20DED">
        <w:t xml:space="preserve"> </w:t>
      </w:r>
      <w:r w:rsidR="005949EA">
        <w:t xml:space="preserve">5, </w:t>
      </w:r>
      <w:r w:rsidR="00B20DED">
        <w:t xml:space="preserve">6 </w:t>
      </w:r>
      <w:r w:rsidR="005949EA">
        <w:t>7</w:t>
      </w:r>
      <w:r w:rsidR="000D6DA8">
        <w:t>,</w:t>
      </w:r>
      <w:r w:rsidR="00B20DED">
        <w:t xml:space="preserve"> 8</w:t>
      </w:r>
      <w:r w:rsidR="000D6DA8">
        <w:t>, 14, 15, 16 &amp; 17</w:t>
      </w:r>
      <w:r w:rsidR="005949EA">
        <w:t xml:space="preserve"> apply)</w:t>
      </w:r>
      <w:r w:rsidR="00B20DED">
        <w:t xml:space="preserve">. </w:t>
      </w:r>
      <w:r w:rsidR="005949EA">
        <w:t xml:space="preserve">These provision define that the </w:t>
      </w:r>
      <w:r w:rsidR="00676D91">
        <w:t xml:space="preserve">Earth stations of the </w:t>
      </w:r>
      <w:r w:rsidR="00F3371E">
        <w:t>UA/RPA CNPC</w:t>
      </w:r>
      <w:r w:rsidR="005949EA">
        <w:t xml:space="preserve"> link shall not cause more interference to, or claim more protection from those </w:t>
      </w:r>
      <w:r w:rsidR="0060644D">
        <w:t>systems than</w:t>
      </w:r>
      <w:r w:rsidR="00563DB3">
        <w:t xml:space="preserve"> </w:t>
      </w:r>
      <w:r w:rsidR="005949EA">
        <w:t xml:space="preserve">specific/typical Earth station </w:t>
      </w:r>
      <w:r w:rsidR="00563DB3">
        <w:t xml:space="preserve">would.  For satellite systems it can be assumed that the co-ordination process will address the protection of other satellite networks. </w:t>
      </w:r>
      <w:r w:rsidR="0060644D">
        <w:t>However,</w:t>
      </w:r>
      <w:r w:rsidR="00563DB3">
        <w:t xml:space="preserve"> for terrestrial systems this will have to be calculated based on relevant information from assignment data or ITU-R Recommendations and given the more dynamic aspects </w:t>
      </w:r>
      <w:r w:rsidR="00AC2634">
        <w:t>(</w:t>
      </w:r>
      <w:r w:rsidR="0060644D">
        <w:t>e.g.</w:t>
      </w:r>
      <w:r w:rsidR="00AC2634">
        <w:t xml:space="preserve"> number of new assignments, mobile nature) </w:t>
      </w:r>
      <w:r w:rsidR="00563DB3">
        <w:t xml:space="preserve">of those </w:t>
      </w:r>
      <w:r w:rsidR="00563DB3">
        <w:lastRenderedPageBreak/>
        <w:t xml:space="preserve">systems on a case by case basis.  The issue for terrestrial systems is further </w:t>
      </w:r>
      <w:r w:rsidR="00AC2634">
        <w:t>complicated by the lack of registration and a significant number of these systems in the master international frequency register.</w:t>
      </w:r>
    </w:p>
    <w:p w14:paraId="0576707B" w14:textId="77777777" w:rsidR="00AC2634" w:rsidRDefault="00AC2634" w:rsidP="00AC2634">
      <w:pPr>
        <w:pStyle w:val="2para"/>
        <w:numPr>
          <w:ilvl w:val="0"/>
          <w:numId w:val="0"/>
        </w:numPr>
        <w:spacing w:after="0"/>
        <w:ind w:left="1418"/>
      </w:pPr>
      <w:r>
        <w:rPr>
          <w:b/>
        </w:rPr>
        <w:t>Issue(s) to be resolved:</w:t>
      </w:r>
      <w:r>
        <w:t xml:space="preserve"> </w:t>
      </w:r>
    </w:p>
    <w:p w14:paraId="2BC5E232" w14:textId="77777777" w:rsidR="00AC2634" w:rsidRDefault="00AC2634" w:rsidP="00AC2634">
      <w:pPr>
        <w:pStyle w:val="2para"/>
        <w:numPr>
          <w:ilvl w:val="0"/>
          <w:numId w:val="7"/>
        </w:numPr>
        <w:spacing w:after="0"/>
        <w:ind w:left="2137" w:hanging="357"/>
      </w:pPr>
      <w:r>
        <w:t>How to calculate the maximum radiated power from a remotely piloted aircraft Earth station in order to protect terrestrial systems</w:t>
      </w:r>
      <w:r w:rsidR="001F7895">
        <w:t xml:space="preserve"> (</w:t>
      </w:r>
      <w:r w:rsidR="0060644D">
        <w:t>resolves</w:t>
      </w:r>
      <w:r w:rsidR="001F7895">
        <w:t xml:space="preserve"> 15 applies for the fixed service)</w:t>
      </w:r>
      <w:r>
        <w:t>.</w:t>
      </w:r>
    </w:p>
    <w:p w14:paraId="618364E4" w14:textId="77777777" w:rsidR="00AC2634" w:rsidRDefault="00AC2634" w:rsidP="000D6DA8">
      <w:pPr>
        <w:pStyle w:val="2para"/>
        <w:numPr>
          <w:ilvl w:val="0"/>
          <w:numId w:val="7"/>
        </w:numPr>
        <w:spacing w:after="0"/>
        <w:ind w:left="2137" w:hanging="357"/>
      </w:pPr>
      <w:r>
        <w:t>How to understand where that protection level needs to be applied given the number of assignments that are not registered in the master international frequency register.</w:t>
      </w:r>
    </w:p>
    <w:p w14:paraId="08C258AC" w14:textId="77777777" w:rsidR="00AC2634" w:rsidRDefault="00AC2634" w:rsidP="000D6DA8">
      <w:pPr>
        <w:pStyle w:val="2para"/>
        <w:numPr>
          <w:ilvl w:val="0"/>
          <w:numId w:val="7"/>
        </w:numPr>
        <w:spacing w:after="0"/>
        <w:ind w:left="2137" w:hanging="357"/>
      </w:pPr>
      <w:r>
        <w:t xml:space="preserve">How to ensure that the level of protection can be defined so that the </w:t>
      </w:r>
      <w:r w:rsidR="00F3371E">
        <w:t>UA/RPA CNPC</w:t>
      </w:r>
      <w:r>
        <w:t xml:space="preserve"> system can be certified and that that certification will be valid for the lifetime of the airframe</w:t>
      </w:r>
    </w:p>
    <w:p w14:paraId="22D069CC" w14:textId="77777777" w:rsidR="00AC2634" w:rsidRDefault="00AC2634" w:rsidP="00AC2634">
      <w:pPr>
        <w:pStyle w:val="2para"/>
        <w:numPr>
          <w:ilvl w:val="0"/>
          <w:numId w:val="7"/>
        </w:numPr>
      </w:pPr>
      <w:r>
        <w:t xml:space="preserve">How, for routine flights, the above can be achieved without the need for case by case clearances or exclusion zones required </w:t>
      </w:r>
      <w:r w:rsidR="000D6DA8">
        <w:t>both of which would be unacceptable to ATC.</w:t>
      </w:r>
      <w:r>
        <w:t xml:space="preserve"> </w:t>
      </w:r>
    </w:p>
    <w:p w14:paraId="30776A23" w14:textId="77777777" w:rsidR="00676D91" w:rsidRDefault="000D6DA8" w:rsidP="003B375C">
      <w:pPr>
        <w:pStyle w:val="2para"/>
        <w:numPr>
          <w:ilvl w:val="0"/>
          <w:numId w:val="0"/>
        </w:numPr>
        <w:spacing w:after="120"/>
        <w:ind w:left="1418"/>
      </w:pPr>
      <w:r w:rsidRPr="000D6DA8">
        <w:rPr>
          <w:b/>
        </w:rPr>
        <w:t xml:space="preserve">Interference </w:t>
      </w:r>
      <w:r w:rsidR="0060644D" w:rsidRPr="000D6DA8">
        <w:rPr>
          <w:b/>
        </w:rPr>
        <w:t>environment</w:t>
      </w:r>
      <w:r w:rsidRPr="000D6DA8">
        <w:rPr>
          <w:b/>
        </w:rPr>
        <w:t xml:space="preserve"> within which the remotely piloted aircraft needs to operate</w:t>
      </w:r>
      <w:r>
        <w:rPr>
          <w:b/>
        </w:rPr>
        <w:t xml:space="preserve">: </w:t>
      </w:r>
      <w:r w:rsidR="00F3371E" w:rsidRPr="00F3371E">
        <w:rPr>
          <w:i/>
        </w:rPr>
        <w:t>R</w:t>
      </w:r>
      <w:r w:rsidR="001F7895" w:rsidRPr="001F7895">
        <w:rPr>
          <w:i/>
        </w:rPr>
        <w:t>esolves</w:t>
      </w:r>
      <w:r w:rsidR="001F7895">
        <w:t xml:space="preserve"> </w:t>
      </w:r>
      <w:r w:rsidR="00712394">
        <w:rPr>
          <w:i/>
        </w:rPr>
        <w:t>(</w:t>
      </w:r>
      <w:r w:rsidR="00F3371E">
        <w:rPr>
          <w:i/>
        </w:rPr>
        <w:t>6 &amp;</w:t>
      </w:r>
      <w:r w:rsidR="00712394">
        <w:rPr>
          <w:i/>
        </w:rPr>
        <w:t xml:space="preserve"> 8)</w:t>
      </w:r>
      <w:r w:rsidR="00F3371E">
        <w:t xml:space="preserve"> </w:t>
      </w:r>
      <w:r w:rsidR="001F7895">
        <w:t>which attempt to address this situation of which two are common with the environment to be protected case</w:t>
      </w:r>
      <w:r w:rsidR="001F7895">
        <w:rPr>
          <w:i/>
        </w:rPr>
        <w:t xml:space="preserve"> (</w:t>
      </w:r>
      <w:r w:rsidR="00712394">
        <w:rPr>
          <w:i/>
        </w:rPr>
        <w:t>6 &amp; 8)</w:t>
      </w:r>
      <w:r w:rsidR="00712394">
        <w:t>.</w:t>
      </w:r>
      <w:r w:rsidR="00F3371E">
        <w:t xml:space="preserve">  These provisions simply require that the Earth stations of the UA/RPA CNPC link </w:t>
      </w:r>
      <w:r w:rsidR="00676D91">
        <w:t xml:space="preserve">be designed to work in the interference environment created by other satellite networks or terrestrial systems.  </w:t>
      </w:r>
    </w:p>
    <w:p w14:paraId="702F8EF0" w14:textId="77777777" w:rsidR="00AC2634" w:rsidRDefault="00676D91" w:rsidP="003B375C">
      <w:pPr>
        <w:pStyle w:val="2para"/>
        <w:numPr>
          <w:ilvl w:val="0"/>
          <w:numId w:val="0"/>
        </w:numPr>
        <w:spacing w:after="120"/>
        <w:ind w:left="1418"/>
      </w:pPr>
      <w:r>
        <w:t xml:space="preserve">For satellite systems we can assume this will be addressed as part of the satellite co-ordination process.  </w:t>
      </w:r>
      <w:r w:rsidR="0060644D">
        <w:t>However,</w:t>
      </w:r>
      <w:r>
        <w:t xml:space="preserve"> given that this process is confidential then the question mark is how to get the transparency of those arrangements</w:t>
      </w:r>
      <w:r w:rsidR="0004677E">
        <w:t xml:space="preserve"> </w:t>
      </w:r>
      <w:r>
        <w:t xml:space="preserve">such that </w:t>
      </w:r>
      <w:r w:rsidR="0004677E">
        <w:t xml:space="preserve">the </w:t>
      </w:r>
      <w:r>
        <w:t xml:space="preserve">air traffic control </w:t>
      </w:r>
      <w:r w:rsidR="0004677E">
        <w:t>unit responsible for the airspace</w:t>
      </w:r>
      <w:r w:rsidR="0004677E">
        <w:rPr>
          <w:rStyle w:val="FootnoteReference"/>
        </w:rPr>
        <w:footnoteReference w:id="3"/>
      </w:r>
      <w:r w:rsidR="0004677E">
        <w:t xml:space="preserve"> can be confident that the level of protection is sufficient for the intended and potential alternate </w:t>
      </w:r>
      <w:r w:rsidR="0060644D">
        <w:t>routes authority</w:t>
      </w:r>
      <w:r w:rsidR="0004677E">
        <w:t xml:space="preserve"> for the </w:t>
      </w:r>
      <w:r>
        <w:t xml:space="preserve">such that an administration can assure itself that any UA/RPA flying within </w:t>
      </w:r>
      <w:r w:rsidR="0060644D">
        <w:t>its</w:t>
      </w:r>
      <w:r>
        <w:t xml:space="preserve"> controlled airspace</w:t>
      </w:r>
      <w:r w:rsidR="0004677E">
        <w:t xml:space="preserve">.  </w:t>
      </w:r>
    </w:p>
    <w:p w14:paraId="6B8B7F4D" w14:textId="77777777" w:rsidR="0004677E" w:rsidRDefault="0004677E" w:rsidP="003B375C">
      <w:pPr>
        <w:pStyle w:val="2para"/>
        <w:numPr>
          <w:ilvl w:val="0"/>
          <w:numId w:val="0"/>
        </w:numPr>
        <w:spacing w:after="120"/>
        <w:ind w:left="1418"/>
      </w:pPr>
      <w:r>
        <w:t xml:space="preserve">The situation for terrestrial systems however is a lot more complex due to the lack of registration of a significant proportion of the systems operating in the relevant frequency band, the mobile nature of some of the systems and the ever changing environment.  </w:t>
      </w:r>
      <w:r w:rsidR="001C58D5">
        <w:t xml:space="preserve">For larger States such as the USA and Canada it may be possible in agreement with their radio regulatory authority it may be possible to understand the environment for a particular moment in time this is not true for smaller States.  The question is therefore how to assess the maximum level of interference against which to certify an aircraft and even if that can be achieve how to then build a dynamic map of areas where that level is exceeded and hence use of UA/RPA using satellite communication for CNPC would be excluded.  A secondary effect is that flights under such conditions would not be consistent with the </w:t>
      </w:r>
      <w:r w:rsidR="0060644D">
        <w:t>initial</w:t>
      </w:r>
      <w:r w:rsidR="001C58D5">
        <w:t xml:space="preserve"> </w:t>
      </w:r>
      <w:r w:rsidR="0060644D">
        <w:t>premise</w:t>
      </w:r>
      <w:r w:rsidR="001C58D5">
        <w:t xml:space="preserve"> that UA/RPA should act like any other aircraft and hence will have to be cleared on a case by case by case basis</w:t>
      </w:r>
    </w:p>
    <w:p w14:paraId="619F9F63" w14:textId="77777777" w:rsidR="001C58D5" w:rsidRPr="001C58D5" w:rsidRDefault="001C58D5" w:rsidP="003B375C">
      <w:pPr>
        <w:pStyle w:val="2para"/>
        <w:numPr>
          <w:ilvl w:val="0"/>
          <w:numId w:val="0"/>
        </w:numPr>
        <w:spacing w:after="0"/>
        <w:ind w:left="1418"/>
        <w:rPr>
          <w:b/>
        </w:rPr>
      </w:pPr>
      <w:r w:rsidRPr="001C58D5">
        <w:rPr>
          <w:b/>
        </w:rPr>
        <w:t>Issues to be resolved:</w:t>
      </w:r>
    </w:p>
    <w:p w14:paraId="43B280E4" w14:textId="77777777" w:rsidR="001C58D5" w:rsidRDefault="001C58D5" w:rsidP="004F594E">
      <w:pPr>
        <w:pStyle w:val="2para"/>
        <w:numPr>
          <w:ilvl w:val="0"/>
          <w:numId w:val="8"/>
        </w:numPr>
        <w:spacing w:after="0"/>
        <w:ind w:left="2137" w:hanging="357"/>
      </w:pPr>
      <w:r>
        <w:t xml:space="preserve">How to make </w:t>
      </w:r>
      <w:r w:rsidR="00FB0867">
        <w:t xml:space="preserve">sure sufficient </w:t>
      </w:r>
      <w:r>
        <w:t>information</w:t>
      </w:r>
      <w:r w:rsidR="00FB0867">
        <w:rPr>
          <w:rStyle w:val="FootnoteReference"/>
        </w:rPr>
        <w:footnoteReference w:id="4"/>
      </w:r>
      <w:r w:rsidR="00FB0867">
        <w:t xml:space="preserve"> is</w:t>
      </w:r>
      <w:r>
        <w:t xml:space="preserve"> available</w:t>
      </w:r>
      <w:r w:rsidR="00FB0867">
        <w:t>,</w:t>
      </w:r>
      <w:r>
        <w:t xml:space="preserve"> about the </w:t>
      </w:r>
      <w:r w:rsidR="00FB0867">
        <w:t xml:space="preserve">co-ordination status and protection of the </w:t>
      </w:r>
      <w:r>
        <w:t>satellite network</w:t>
      </w:r>
      <w:r w:rsidR="00FB0867">
        <w:t>(s)</w:t>
      </w:r>
      <w:r>
        <w:t xml:space="preserve"> providing </w:t>
      </w:r>
      <w:r w:rsidR="00FB0867">
        <w:t xml:space="preserve">UA/RPA CNPC, to allow an </w:t>
      </w:r>
      <w:r w:rsidR="00FB0867">
        <w:lastRenderedPageBreak/>
        <w:t xml:space="preserve">administration to assure itself and </w:t>
      </w:r>
      <w:r w:rsidR="0060644D">
        <w:t>its</w:t>
      </w:r>
      <w:r w:rsidR="00FB0867">
        <w:t xml:space="preserve"> air traffic control service provider that the link meets the SARPs requirement.</w:t>
      </w:r>
    </w:p>
    <w:p w14:paraId="32078232" w14:textId="77777777" w:rsidR="00FB0867" w:rsidRDefault="00FB0867" w:rsidP="005E7886">
      <w:pPr>
        <w:pStyle w:val="2para"/>
        <w:numPr>
          <w:ilvl w:val="0"/>
          <w:numId w:val="8"/>
        </w:numPr>
        <w:spacing w:after="0"/>
        <w:ind w:left="2137" w:hanging="357"/>
      </w:pPr>
      <w:r>
        <w:t>How to assess the interference environment generated by the terrestrial systems in the absence of a full picture as to the deployment and characteristics of all of those systems</w:t>
      </w:r>
    </w:p>
    <w:p w14:paraId="651A8A0F" w14:textId="77777777" w:rsidR="00FB0867" w:rsidRDefault="00FB0867" w:rsidP="005E7886">
      <w:pPr>
        <w:pStyle w:val="2para"/>
        <w:numPr>
          <w:ilvl w:val="0"/>
          <w:numId w:val="8"/>
        </w:numPr>
        <w:spacing w:after="0"/>
        <w:ind w:left="2137" w:hanging="357"/>
      </w:pPr>
      <w:r>
        <w:t xml:space="preserve">How to certify an UA/RPA CNPC system in the absence of an understanding as to the maximum level of interference that could possibly be </w:t>
      </w:r>
      <w:r w:rsidR="003B375C">
        <w:t>experienced</w:t>
      </w:r>
    </w:p>
    <w:p w14:paraId="462F4FBE" w14:textId="77777777" w:rsidR="003B375C" w:rsidRPr="00712394" w:rsidRDefault="003B375C" w:rsidP="003B375C">
      <w:pPr>
        <w:pStyle w:val="2para"/>
        <w:numPr>
          <w:ilvl w:val="0"/>
          <w:numId w:val="8"/>
        </w:numPr>
      </w:pPr>
      <w:r>
        <w:t xml:space="preserve">How, for routine flights, the above can be achieved without the need for case by case clearances or exclusion zones required both of which would be unacceptable to ATC </w:t>
      </w:r>
    </w:p>
    <w:p w14:paraId="20131440" w14:textId="77777777" w:rsidR="00770160" w:rsidRDefault="002C7EBD" w:rsidP="005E7886">
      <w:pPr>
        <w:pStyle w:val="2para"/>
      </w:pPr>
      <w:r>
        <w:t xml:space="preserve">In addition to the points made above it is not clear how the final bullet of </w:t>
      </w:r>
      <w:r w:rsidRPr="002C7EBD">
        <w:rPr>
          <w:i/>
        </w:rPr>
        <w:t>resolves</w:t>
      </w:r>
      <w:r>
        <w:t xml:space="preserve"> 13 can be addressed.  As described above there is insufficient information available on the use and deployment of terrestrial systems operating under the appropriate allocation in the frequency bands identified under Resolution </w:t>
      </w:r>
      <w:r w:rsidRPr="002C7EBD">
        <w:rPr>
          <w:b/>
        </w:rPr>
        <w:t xml:space="preserve">155 </w:t>
      </w:r>
      <w:r>
        <w:t>for use by UAS CNPC to be able to any form of predictive tool.</w:t>
      </w:r>
    </w:p>
    <w:p w14:paraId="16FCA821" w14:textId="77777777" w:rsidR="00613ACF" w:rsidRDefault="00613ACF" w:rsidP="005E7886">
      <w:pPr>
        <w:pStyle w:val="2para"/>
      </w:pPr>
      <w:r>
        <w:t>In addition to the issues that the ITU were asked to address under agenda item 1.5, ICAO identified the following 4 conditions for which ICAO believed would need to be addressed in ICAO.</w:t>
      </w:r>
    </w:p>
    <w:p w14:paraId="75CABB66" w14:textId="77777777" w:rsidR="00613ACF" w:rsidRPr="00613ACF" w:rsidRDefault="00613ACF" w:rsidP="009B2279">
      <w:pPr>
        <w:numPr>
          <w:ilvl w:val="0"/>
          <w:numId w:val="11"/>
        </w:numPr>
        <w:tabs>
          <w:tab w:val="left" w:pos="1276"/>
        </w:tabs>
        <w:spacing w:before="120" w:after="60"/>
        <w:ind w:left="1441" w:hanging="590"/>
        <w:rPr>
          <w:rFonts w:eastAsia="SimSun"/>
          <w:szCs w:val="21"/>
          <w:lang w:eastAsia="zh-CN"/>
        </w:rPr>
      </w:pPr>
      <w:r w:rsidRPr="00613ACF">
        <w:rPr>
          <w:rFonts w:eastAsia="SimSun"/>
          <w:szCs w:val="21"/>
          <w:lang w:eastAsia="zh-CN"/>
        </w:rPr>
        <w:t>That any UAS CNPC assignment operating in those frequency bands:</w:t>
      </w:r>
    </w:p>
    <w:p w14:paraId="7D8427D8" w14:textId="77777777" w:rsidR="00613ACF" w:rsidRPr="00613ACF" w:rsidRDefault="00613ACF" w:rsidP="00613ACF">
      <w:pPr>
        <w:numPr>
          <w:ilvl w:val="0"/>
          <w:numId w:val="9"/>
        </w:numPr>
        <w:tabs>
          <w:tab w:val="left" w:pos="1276"/>
        </w:tabs>
        <w:spacing w:before="260" w:after="260"/>
        <w:contextualSpacing/>
        <w:rPr>
          <w:rFonts w:eastAsia="SimSun"/>
          <w:szCs w:val="21"/>
          <w:lang w:eastAsia="zh-CN"/>
        </w:rPr>
      </w:pPr>
      <w:r w:rsidRPr="00613ACF">
        <w:rPr>
          <w:rFonts w:eastAsia="SimSun"/>
          <w:szCs w:val="21"/>
          <w:lang w:eastAsia="zh-CN"/>
        </w:rPr>
        <w:t>be in conformity with technical criteria of the ITU Radio Regulations,</w:t>
      </w:r>
    </w:p>
    <w:p w14:paraId="51F989F8" w14:textId="77777777" w:rsidR="00613ACF" w:rsidRPr="00613ACF" w:rsidRDefault="00613ACF" w:rsidP="00613ACF">
      <w:pPr>
        <w:numPr>
          <w:ilvl w:val="0"/>
          <w:numId w:val="9"/>
        </w:numPr>
        <w:tabs>
          <w:tab w:val="left" w:pos="1276"/>
        </w:tabs>
        <w:spacing w:before="260" w:after="260"/>
        <w:contextualSpacing/>
        <w:jc w:val="left"/>
        <w:rPr>
          <w:rFonts w:eastAsia="SimSun"/>
          <w:szCs w:val="21"/>
          <w:lang w:eastAsia="zh-CN"/>
        </w:rPr>
      </w:pPr>
      <w:r w:rsidRPr="00613ACF">
        <w:rPr>
          <w:rFonts w:eastAsia="SimSun"/>
          <w:szCs w:val="21"/>
          <w:lang w:eastAsia="zh-CN"/>
        </w:rPr>
        <w:t>be successfully co-ordinated, including cases where co-ordination was not completed but the ITU-R examination of probability of harmful interference resulted in favourable finding, or any caveats placed on that assignment have been addressed and resolved such that the assignment is able to satisfy the requirements to provide BLOS communications for UAS; and</w:t>
      </w:r>
    </w:p>
    <w:p w14:paraId="6D2EDCB6" w14:textId="77777777" w:rsidR="00613ACF" w:rsidRPr="00613ACF" w:rsidRDefault="00613ACF" w:rsidP="009B2279">
      <w:pPr>
        <w:numPr>
          <w:ilvl w:val="0"/>
          <w:numId w:val="9"/>
        </w:numPr>
        <w:tabs>
          <w:tab w:val="left" w:pos="1276"/>
        </w:tabs>
        <w:overflowPunct w:val="0"/>
        <w:spacing w:after="60"/>
        <w:ind w:left="1638" w:hanging="357"/>
        <w:jc w:val="left"/>
        <w:textAlignment w:val="baseline"/>
        <w:rPr>
          <w:rFonts w:eastAsia="SimSun"/>
          <w:szCs w:val="21"/>
          <w:lang w:eastAsia="zh-CN"/>
        </w:rPr>
      </w:pPr>
      <w:r w:rsidRPr="00613ACF">
        <w:rPr>
          <w:rFonts w:eastAsia="SimSun"/>
          <w:szCs w:val="21"/>
          <w:lang w:eastAsia="zh-CN"/>
        </w:rPr>
        <w:t>be recorded in the ITU International Master Frequency Register.</w:t>
      </w:r>
    </w:p>
    <w:p w14:paraId="39D6285B" w14:textId="77777777" w:rsidR="00613ACF" w:rsidRPr="00613ACF" w:rsidRDefault="00613ACF" w:rsidP="009B2279">
      <w:pPr>
        <w:tabs>
          <w:tab w:val="left" w:pos="1276"/>
          <w:tab w:val="left" w:pos="1871"/>
          <w:tab w:val="left" w:pos="2268"/>
        </w:tabs>
        <w:overflowPunct w:val="0"/>
        <w:spacing w:before="60" w:after="60"/>
        <w:ind w:left="1276" w:hanging="425"/>
        <w:jc w:val="left"/>
        <w:textAlignment w:val="baseline"/>
        <w:rPr>
          <w:rFonts w:eastAsia="SimSun"/>
          <w:szCs w:val="21"/>
          <w:lang w:eastAsia="zh-CN"/>
        </w:rPr>
      </w:pPr>
      <w:r w:rsidRPr="00613ACF">
        <w:rPr>
          <w:rFonts w:eastAsia="SimSun"/>
          <w:szCs w:val="21"/>
          <w:lang w:eastAsia="zh-CN"/>
        </w:rPr>
        <w:t>5.</w:t>
      </w:r>
      <w:r w:rsidRPr="00613ACF">
        <w:rPr>
          <w:rFonts w:eastAsia="SimSun"/>
          <w:szCs w:val="21"/>
          <w:lang w:eastAsia="zh-CN"/>
        </w:rPr>
        <w:tab/>
        <w:t>That any harmful interference to FSS networks supporting CNPC links be reported in a transparent manner and addressed in the appropriate timescale.</w:t>
      </w:r>
    </w:p>
    <w:p w14:paraId="67D6F6CF" w14:textId="77777777" w:rsidR="00613ACF" w:rsidRPr="00613ACF" w:rsidRDefault="00613ACF" w:rsidP="009B2279">
      <w:pPr>
        <w:tabs>
          <w:tab w:val="left" w:pos="1276"/>
          <w:tab w:val="left" w:pos="1871"/>
          <w:tab w:val="left" w:pos="2268"/>
        </w:tabs>
        <w:overflowPunct w:val="0"/>
        <w:spacing w:before="60" w:after="60"/>
        <w:ind w:left="1276" w:hanging="425"/>
        <w:jc w:val="left"/>
        <w:textAlignment w:val="baseline"/>
        <w:rPr>
          <w:rFonts w:eastAsia="SimSun"/>
          <w:szCs w:val="21"/>
          <w:lang w:eastAsia="zh-CN"/>
        </w:rPr>
      </w:pPr>
      <w:r w:rsidRPr="00613ACF">
        <w:rPr>
          <w:rFonts w:eastAsia="SimSun"/>
          <w:szCs w:val="21"/>
          <w:lang w:eastAsia="zh-CN"/>
        </w:rPr>
        <w:t>6.</w:t>
      </w:r>
      <w:r w:rsidRPr="00613ACF">
        <w:rPr>
          <w:rFonts w:eastAsia="SimSun"/>
          <w:szCs w:val="21"/>
          <w:lang w:eastAsia="zh-CN"/>
        </w:rPr>
        <w:tab/>
        <w:t xml:space="preserve">That realistic worst case conditions, including an appropriate safety </w:t>
      </w:r>
      <w:r w:rsidR="0060644D" w:rsidRPr="00613ACF">
        <w:rPr>
          <w:rFonts w:eastAsia="SimSun"/>
          <w:szCs w:val="21"/>
          <w:lang w:eastAsia="zh-CN"/>
        </w:rPr>
        <w:t>margin, be</w:t>
      </w:r>
      <w:r w:rsidRPr="00613ACF">
        <w:rPr>
          <w:rFonts w:eastAsia="SimSun"/>
          <w:szCs w:val="21"/>
          <w:lang w:eastAsia="zh-CN"/>
        </w:rPr>
        <w:t xml:space="preserve"> applied during compatibility studies.</w:t>
      </w:r>
    </w:p>
    <w:p w14:paraId="3CC7558A" w14:textId="77777777" w:rsidR="00613ACF" w:rsidRPr="00613ACF" w:rsidRDefault="00613ACF" w:rsidP="009B2279">
      <w:pPr>
        <w:tabs>
          <w:tab w:val="left" w:pos="1276"/>
          <w:tab w:val="left" w:pos="1871"/>
          <w:tab w:val="left" w:pos="2268"/>
        </w:tabs>
        <w:overflowPunct w:val="0"/>
        <w:spacing w:before="60" w:after="260"/>
        <w:ind w:left="1276" w:hanging="425"/>
        <w:jc w:val="left"/>
        <w:textAlignment w:val="baseline"/>
        <w:rPr>
          <w:rFonts w:eastAsia="SimSun"/>
          <w:szCs w:val="22"/>
        </w:rPr>
      </w:pPr>
      <w:r w:rsidRPr="00613ACF">
        <w:rPr>
          <w:rFonts w:eastAsia="SimSun"/>
          <w:szCs w:val="21"/>
          <w:lang w:eastAsia="zh-CN"/>
        </w:rPr>
        <w:t>7.</w:t>
      </w:r>
      <w:r w:rsidRPr="00613ACF">
        <w:rPr>
          <w:rFonts w:eastAsia="SimSun"/>
          <w:szCs w:val="21"/>
          <w:lang w:eastAsia="zh-CN"/>
        </w:rPr>
        <w:tab/>
      </w:r>
      <w:r w:rsidRPr="00613ACF">
        <w:rPr>
          <w:rFonts w:eastAsia="SimSun"/>
          <w:szCs w:val="21"/>
        </w:rPr>
        <w:t xml:space="preserve">That any operational considerations for UAS be handled in ICAO and not in the </w:t>
      </w:r>
      <w:r w:rsidRPr="00613ACF">
        <w:rPr>
          <w:rFonts w:eastAsia="SimSun"/>
          <w:szCs w:val="22"/>
        </w:rPr>
        <w:t>ITU</w:t>
      </w:r>
      <w:r w:rsidRPr="00613ACF">
        <w:rPr>
          <w:rFonts w:eastAsia="SimSun"/>
          <w:szCs w:val="22"/>
        </w:rPr>
        <w:noBreakHyphen/>
        <w:t>R.</w:t>
      </w:r>
    </w:p>
    <w:p w14:paraId="46297004" w14:textId="77777777" w:rsidR="00613ACF" w:rsidRDefault="009B2279" w:rsidP="001C4621">
      <w:pPr>
        <w:pStyle w:val="2para"/>
      </w:pPr>
      <w:r w:rsidRPr="001C4621">
        <w:rPr>
          <w:i/>
        </w:rPr>
        <w:t>Resolves</w:t>
      </w:r>
      <w:r>
        <w:t xml:space="preserve"> 13 of Resolution </w:t>
      </w:r>
      <w:r w:rsidRPr="001C4621">
        <w:rPr>
          <w:b/>
        </w:rPr>
        <w:t xml:space="preserve">155 </w:t>
      </w:r>
      <w:r w:rsidRPr="009B2279">
        <w:t>would appear</w:t>
      </w:r>
      <w:r w:rsidRPr="001C4621">
        <w:rPr>
          <w:b/>
        </w:rPr>
        <w:t xml:space="preserve"> </w:t>
      </w:r>
      <w:r w:rsidRPr="009B2279">
        <w:t>to addre</w:t>
      </w:r>
      <w:r>
        <w:t xml:space="preserve">ss the last 2 sub-bullets of condition 4 and condition 5.  The first bullet of condition 4 will be a pre-requisite to the design of the CNPC link and hence can be assumed to have been addressed and condition 7 is an accepted principle between the ITU and ICAO.  That only leaves </w:t>
      </w:r>
      <w:r w:rsidR="001C4621">
        <w:t xml:space="preserve">condition 6 which may well be difficult to apply during the finalisation of the studies in the ITU given the conditions laid down in Resolution </w:t>
      </w:r>
      <w:r w:rsidR="001C4621" w:rsidRPr="001C4621">
        <w:rPr>
          <w:b/>
        </w:rPr>
        <w:t>155</w:t>
      </w:r>
      <w:r w:rsidR="001C4621">
        <w:t xml:space="preserve"> which in effect preclude the inclusion of any safety margin.</w:t>
      </w:r>
      <w:r w:rsidR="00613ACF">
        <w:t xml:space="preserve"> </w:t>
      </w:r>
    </w:p>
    <w:p w14:paraId="3EBB1DF9" w14:textId="77777777" w:rsidR="002C7EBD" w:rsidRDefault="002C7EBD" w:rsidP="002C7EBD">
      <w:pPr>
        <w:pStyle w:val="1Heading"/>
      </w:pPr>
      <w:r>
        <w:t>CONCLUSION</w:t>
      </w:r>
    </w:p>
    <w:p w14:paraId="2B79AF1A" w14:textId="77777777" w:rsidR="002C7EBD" w:rsidRDefault="001C4621" w:rsidP="002C7EBD">
      <w:pPr>
        <w:pStyle w:val="2para"/>
      </w:pPr>
      <w:r>
        <w:t xml:space="preserve">Based on the </w:t>
      </w:r>
      <w:r w:rsidR="0060644D">
        <w:t>discussion</w:t>
      </w:r>
      <w:r>
        <w:t xml:space="preserve"> above the following issues will need to be resolved before </w:t>
      </w:r>
      <w:r w:rsidR="002C7EBD">
        <w:t xml:space="preserve">fixed satellite networks </w:t>
      </w:r>
      <w:r>
        <w:t xml:space="preserve">can be used for the provision of </w:t>
      </w:r>
      <w:r w:rsidR="002C7EBD">
        <w:t xml:space="preserve">UA/RPA </w:t>
      </w:r>
      <w:r>
        <w:t>CNPC links in non-segregated airspace.</w:t>
      </w:r>
    </w:p>
    <w:p w14:paraId="763F4385" w14:textId="77777777" w:rsidR="001C4621" w:rsidRDefault="001C4621" w:rsidP="001C4621">
      <w:pPr>
        <w:pStyle w:val="2para"/>
        <w:numPr>
          <w:ilvl w:val="0"/>
          <w:numId w:val="7"/>
        </w:numPr>
        <w:spacing w:after="0"/>
        <w:ind w:left="2137" w:hanging="357"/>
      </w:pPr>
      <w:r>
        <w:tab/>
        <w:t>The station class for the Earth station onboard the remotely piloted aircraft needs to be defined that is consistent with that of the space station and not inconsistent with the definition of an aircraft Earth station.</w:t>
      </w:r>
    </w:p>
    <w:p w14:paraId="740E45AA" w14:textId="77777777" w:rsidR="001C4621" w:rsidRDefault="001C4621" w:rsidP="001C4621">
      <w:pPr>
        <w:pStyle w:val="2para"/>
        <w:numPr>
          <w:ilvl w:val="0"/>
          <w:numId w:val="7"/>
        </w:numPr>
        <w:spacing w:after="0"/>
        <w:ind w:left="2137" w:hanging="357"/>
      </w:pPr>
      <w:r>
        <w:t xml:space="preserve">How to resolve the apparent contradiction of </w:t>
      </w:r>
      <w:r w:rsidRPr="00F3371E">
        <w:rPr>
          <w:i/>
        </w:rPr>
        <w:t>resolves</w:t>
      </w:r>
      <w:r>
        <w:t xml:space="preserve"> 13 with </w:t>
      </w:r>
      <w:r w:rsidRPr="00F3371E">
        <w:rPr>
          <w:i/>
        </w:rPr>
        <w:t xml:space="preserve">resolves </w:t>
      </w:r>
      <w:r>
        <w:t>9 &amp;</w:t>
      </w:r>
      <w:r w:rsidR="0060644D">
        <w:t>10?</w:t>
      </w:r>
      <w:r>
        <w:t xml:space="preserve"> </w:t>
      </w:r>
    </w:p>
    <w:p w14:paraId="629390CE" w14:textId="77777777" w:rsidR="001C4621" w:rsidRDefault="001C4621" w:rsidP="001C4621">
      <w:pPr>
        <w:pStyle w:val="2para"/>
        <w:numPr>
          <w:ilvl w:val="0"/>
          <w:numId w:val="7"/>
        </w:numPr>
        <w:spacing w:after="0"/>
        <w:ind w:left="2137" w:hanging="357"/>
      </w:pPr>
      <w:r>
        <w:lastRenderedPageBreak/>
        <w:t>How to ensure that once a fixed satellite network has finished co-ordination th</w:t>
      </w:r>
      <w:r w:rsidR="00BB2693">
        <w:t>a</w:t>
      </w:r>
      <w:r>
        <w:t xml:space="preserve">t guarantees the level of protection necessary to ensure the overall CNPC link availability to meet the safety case, that that protection level is </w:t>
      </w:r>
      <w:r w:rsidR="0060644D">
        <w:t>not</w:t>
      </w:r>
      <w:r>
        <w:t xml:space="preserve"> erode as a result of subsequent satellite co-ordination meetings. </w:t>
      </w:r>
    </w:p>
    <w:p w14:paraId="52270707" w14:textId="77777777" w:rsidR="001C4621" w:rsidRDefault="001C4621" w:rsidP="00BB2693">
      <w:pPr>
        <w:pStyle w:val="2para"/>
        <w:numPr>
          <w:ilvl w:val="0"/>
          <w:numId w:val="7"/>
        </w:numPr>
        <w:spacing w:after="0"/>
        <w:ind w:left="2137" w:hanging="357"/>
      </w:pPr>
      <w:r>
        <w:t xml:space="preserve">How to ensure that </w:t>
      </w:r>
      <w:r w:rsidRPr="009A518B">
        <w:rPr>
          <w:i/>
        </w:rPr>
        <w:t>resolves</w:t>
      </w:r>
      <w:r>
        <w:t xml:space="preserve"> 1.4 of Resolutions </w:t>
      </w:r>
      <w:r w:rsidRPr="009A518B">
        <w:rPr>
          <w:b/>
        </w:rPr>
        <w:t>156</w:t>
      </w:r>
      <w:r>
        <w:t xml:space="preserve"> will never be enacted for satellite links providing UA/RPA CNPC links. </w:t>
      </w:r>
    </w:p>
    <w:p w14:paraId="3E45695D" w14:textId="77777777" w:rsidR="001C4621" w:rsidRDefault="001C4621" w:rsidP="001C4621">
      <w:pPr>
        <w:pStyle w:val="2para"/>
        <w:numPr>
          <w:ilvl w:val="0"/>
          <w:numId w:val="7"/>
        </w:numPr>
        <w:spacing w:after="0"/>
        <w:ind w:left="2137" w:hanging="357"/>
      </w:pPr>
      <w:r>
        <w:t>How to calculate the maximum radiated power from a remotely piloted aircraft Earth station in order to protect terrestrial systems (</w:t>
      </w:r>
      <w:r w:rsidR="0060644D">
        <w:t>resolves</w:t>
      </w:r>
      <w:r>
        <w:t xml:space="preserve"> 15 applies for the fixed service).</w:t>
      </w:r>
    </w:p>
    <w:p w14:paraId="07E7FC1D" w14:textId="77777777" w:rsidR="001C4621" w:rsidRDefault="001C4621" w:rsidP="001C4621">
      <w:pPr>
        <w:pStyle w:val="2para"/>
        <w:numPr>
          <w:ilvl w:val="0"/>
          <w:numId w:val="7"/>
        </w:numPr>
        <w:spacing w:after="0"/>
        <w:ind w:left="2137" w:hanging="357"/>
      </w:pPr>
      <w:r>
        <w:t>How to understand where that protection level needs to be applied given the number of assignments that are not registered in the master international frequency register.</w:t>
      </w:r>
    </w:p>
    <w:p w14:paraId="69BFAA84" w14:textId="77777777" w:rsidR="001C4621" w:rsidRDefault="001C4621" w:rsidP="001C4621">
      <w:pPr>
        <w:pStyle w:val="2para"/>
        <w:numPr>
          <w:ilvl w:val="0"/>
          <w:numId w:val="7"/>
        </w:numPr>
        <w:spacing w:after="0"/>
        <w:ind w:left="2137" w:hanging="357"/>
      </w:pPr>
      <w:r>
        <w:t>How to ensure that the level of protection can be defined so that the UA/RPA CNPC system can be certified and that that certification will be valid for the lifetime of the airframe</w:t>
      </w:r>
    </w:p>
    <w:p w14:paraId="78FD7CD1" w14:textId="77777777" w:rsidR="00BB2693" w:rsidRDefault="00BB2693" w:rsidP="00BB2693">
      <w:pPr>
        <w:pStyle w:val="2para"/>
        <w:numPr>
          <w:ilvl w:val="0"/>
          <w:numId w:val="7"/>
        </w:numPr>
        <w:spacing w:after="0"/>
      </w:pPr>
      <w:r>
        <w:t>How to make sure sufficient information</w:t>
      </w:r>
      <w:r>
        <w:rPr>
          <w:rStyle w:val="FootnoteReference"/>
        </w:rPr>
        <w:footnoteReference w:id="5"/>
      </w:r>
      <w:r>
        <w:t xml:space="preserve"> is available, about the co-ordination status and protection of the satellite network(s) providing UA/RPA CNPC, to allow an administration to assure itself and </w:t>
      </w:r>
      <w:r w:rsidR="0060644D">
        <w:t>its</w:t>
      </w:r>
      <w:r>
        <w:t xml:space="preserve"> air traffic control service provider that the link meets the SARPs requirement.</w:t>
      </w:r>
    </w:p>
    <w:p w14:paraId="2FAA4939" w14:textId="77777777" w:rsidR="00BB2693" w:rsidRDefault="00BB2693" w:rsidP="00BB2693">
      <w:pPr>
        <w:pStyle w:val="2para"/>
        <w:numPr>
          <w:ilvl w:val="0"/>
          <w:numId w:val="7"/>
        </w:numPr>
        <w:spacing w:after="0"/>
      </w:pPr>
      <w:r>
        <w:t>How to assess the interference environment generated by the terrestrial systems in the absence of a full picture as to the deployment and characteristics of all of those systems</w:t>
      </w:r>
    </w:p>
    <w:p w14:paraId="32C7EDBE" w14:textId="77777777" w:rsidR="00BB2693" w:rsidRDefault="00BB2693" w:rsidP="00BB2693">
      <w:pPr>
        <w:pStyle w:val="2para"/>
        <w:numPr>
          <w:ilvl w:val="0"/>
          <w:numId w:val="7"/>
        </w:numPr>
        <w:spacing w:after="0"/>
      </w:pPr>
      <w:r>
        <w:t>How to certify an UA/RPA CNPC system in the absence of an understanding as to the maximum level of interference that could possibly be experienced</w:t>
      </w:r>
    </w:p>
    <w:p w14:paraId="3AF86A4A" w14:textId="77777777" w:rsidR="001C4621" w:rsidRDefault="00BB2693" w:rsidP="00BB2693">
      <w:pPr>
        <w:pStyle w:val="2para"/>
        <w:numPr>
          <w:ilvl w:val="0"/>
          <w:numId w:val="7"/>
        </w:numPr>
      </w:pPr>
      <w:r>
        <w:t xml:space="preserve">How, for routine flights, the above can be achieved without the need for case by case clearances or exclusion zones required both of which would be unacceptable to ATC </w:t>
      </w:r>
    </w:p>
    <w:p w14:paraId="671271AC" w14:textId="77777777" w:rsidR="00BB2693" w:rsidRPr="002C7EBD" w:rsidRDefault="002379C0" w:rsidP="00E6691F">
      <w:pPr>
        <w:pStyle w:val="2para"/>
      </w:pPr>
      <w:r>
        <w:t xml:space="preserve">Whilst it may be possible to address most of the above issues, unless there is a fundamental change in some/most States attitudes towards registering all of their terrestrial assignments it will be virtually impossible to assess or model the worst case interference environment in which a UA/RPA Earth station will have to operate.  Without that assessment it is the current view of the UK CAA that a fixed satellite UA/RPA CNPC link cannot be certified for ubiquitous operation in </w:t>
      </w:r>
      <w:r w:rsidR="00ED62FF">
        <w:t xml:space="preserve">non-segregated airspace.   </w:t>
      </w:r>
      <w:r w:rsidR="0060644D">
        <w:t>Therefore,</w:t>
      </w:r>
      <w:r w:rsidR="00ED62FF">
        <w:t xml:space="preserve"> UA/RPA cannot be integrated into controlled airspace without the potential necessity for restrictions to be placed on where </w:t>
      </w:r>
      <w:r w:rsidR="0060644D">
        <w:t>those vehicles</w:t>
      </w:r>
      <w:r w:rsidR="00ED62FF">
        <w:t xml:space="preserve"> can be directed to fly, a limitation that would be unacceptable to air traffic control except on an exceptional basis.  </w:t>
      </w:r>
      <w:r w:rsidR="0060644D">
        <w:t>Therefore,</w:t>
      </w:r>
      <w:r w:rsidR="00ED62FF">
        <w:t xml:space="preserve"> whilst the result of WRC-15 may well be helpful to the military it does not provide an acceptable solution for civil use within controlled airspace. </w:t>
      </w:r>
    </w:p>
    <w:p w14:paraId="499FB6B0" w14:textId="77777777" w:rsidR="00770160" w:rsidRDefault="00770160">
      <w:pPr>
        <w:pStyle w:val="1Heading"/>
      </w:pPr>
      <w:r>
        <w:t>ACTION BY THE MEETING</w:t>
      </w:r>
    </w:p>
    <w:p w14:paraId="0F306AA9" w14:textId="77777777" w:rsidR="00770160" w:rsidRDefault="00770160">
      <w:pPr>
        <w:pStyle w:val="2para"/>
      </w:pPr>
      <w:r>
        <w:t>The meeting is invited to:</w:t>
      </w:r>
    </w:p>
    <w:p w14:paraId="4F789E60" w14:textId="77777777" w:rsidR="00770160" w:rsidRDefault="00770160">
      <w:pPr>
        <w:pStyle w:val="Listabc"/>
      </w:pPr>
      <w:r>
        <w:rPr>
          <w:lang w:val="en-GB"/>
        </w:rPr>
        <w:t>n</w:t>
      </w:r>
      <w:r>
        <w:t>ote and review the contents of this working paper;</w:t>
      </w:r>
    </w:p>
    <w:p w14:paraId="61609F91" w14:textId="77777777" w:rsidR="00770160" w:rsidRDefault="00ED62FF">
      <w:pPr>
        <w:pStyle w:val="Listabc"/>
      </w:pPr>
      <w:r>
        <w:t xml:space="preserve">agree with the list of issues identified in paragraph 3.1 that need to be addressed </w:t>
      </w:r>
    </w:p>
    <w:p w14:paraId="52D65D95" w14:textId="77777777" w:rsidR="00770160" w:rsidRDefault="00770160">
      <w:pPr>
        <w:pStyle w:val="Listabc"/>
      </w:pPr>
      <w:r>
        <w:lastRenderedPageBreak/>
        <w:t xml:space="preserve">agree that </w:t>
      </w:r>
      <w:r w:rsidR="00ED62FF">
        <w:t>the outcome of WRC-19 with resepct to agenda item 1.5 does not address the requirements of civil beyond line of sight communication in a way that will allow the integration of U/RPA into non-segregated airspace.</w:t>
      </w:r>
      <w:r>
        <w:t xml:space="preserve"> </w:t>
      </w:r>
    </w:p>
    <w:p w14:paraId="04D10A27" w14:textId="77777777" w:rsidR="00366C76" w:rsidRDefault="00366C76" w:rsidP="00366C76">
      <w:pPr>
        <w:pStyle w:val="Listabc"/>
        <w:numPr>
          <w:ilvl w:val="0"/>
          <w:numId w:val="0"/>
        </w:numPr>
        <w:ind w:left="1800" w:hanging="360"/>
      </w:pPr>
    </w:p>
    <w:p w14:paraId="627F38A8" w14:textId="77777777" w:rsidR="00366C76" w:rsidRDefault="00366C76">
      <w:pPr>
        <w:jc w:val="left"/>
        <w:rPr>
          <w:noProof/>
          <w:lang w:val="en-AU"/>
        </w:rPr>
      </w:pPr>
      <w:r>
        <w:br w:type="page"/>
      </w:r>
    </w:p>
    <w:p w14:paraId="45AD719A" w14:textId="77777777" w:rsidR="00366C76" w:rsidRPr="00366C76" w:rsidRDefault="0060644D" w:rsidP="00366C76">
      <w:pPr>
        <w:pStyle w:val="Listabc"/>
        <w:numPr>
          <w:ilvl w:val="0"/>
          <w:numId w:val="0"/>
        </w:numPr>
        <w:ind w:left="360" w:hanging="360"/>
        <w:jc w:val="center"/>
        <w:rPr>
          <w:b/>
        </w:rPr>
      </w:pPr>
      <w:r>
        <w:rPr>
          <w:b/>
        </w:rPr>
        <w:lastRenderedPageBreak/>
        <w:t xml:space="preserve">Attachment </w:t>
      </w:r>
      <w:r w:rsidR="00366C76" w:rsidRPr="00366C76">
        <w:rPr>
          <w:b/>
        </w:rPr>
        <w:t>1</w:t>
      </w:r>
    </w:p>
    <w:p w14:paraId="29EC025B" w14:textId="77777777" w:rsidR="00366C76" w:rsidRDefault="00366C76" w:rsidP="00366C76">
      <w:pPr>
        <w:pStyle w:val="Listabc"/>
        <w:numPr>
          <w:ilvl w:val="0"/>
          <w:numId w:val="0"/>
        </w:numPr>
        <w:ind w:left="360" w:hanging="360"/>
        <w:jc w:val="center"/>
        <w:rPr>
          <w:b/>
        </w:rPr>
      </w:pPr>
      <w:r w:rsidRPr="00366C76">
        <w:rPr>
          <w:b/>
        </w:rPr>
        <w:t>Resolution 155</w:t>
      </w:r>
    </w:p>
    <w:p w14:paraId="5E2315A1" w14:textId="77777777" w:rsidR="00F53717" w:rsidRPr="002D16F4" w:rsidRDefault="00F53717" w:rsidP="00F53717">
      <w:pPr>
        <w:keepNext/>
        <w:keepLines/>
        <w:tabs>
          <w:tab w:val="left" w:pos="1134"/>
          <w:tab w:val="left" w:pos="1871"/>
          <w:tab w:val="left" w:pos="2268"/>
        </w:tabs>
        <w:overflowPunct w:val="0"/>
        <w:autoSpaceDE w:val="0"/>
        <w:autoSpaceDN w:val="0"/>
        <w:adjustRightInd w:val="0"/>
        <w:spacing w:before="240"/>
        <w:jc w:val="center"/>
        <w:textAlignment w:val="baseline"/>
        <w:rPr>
          <w:rFonts w:ascii="Times New Roman Bold" w:hAnsi="Times New Roman Bold"/>
          <w:b/>
          <w:sz w:val="28"/>
          <w:lang w:eastAsia="zh-CN"/>
        </w:rPr>
      </w:pPr>
      <w:r w:rsidRPr="002D16F4">
        <w:rPr>
          <w:rFonts w:ascii="Times New Roman Bold" w:hAnsi="Times New Roman Bold"/>
          <w:b/>
          <w:sz w:val="28"/>
          <w:lang w:eastAsia="zh-CN"/>
        </w:rPr>
        <w:t xml:space="preserve">Regulatory provisions related to earth stations on board unmanned aircraft which operate with geostationary-satellite networks in the fixed-satellite </w:t>
      </w:r>
      <w:r w:rsidRPr="002D16F4">
        <w:rPr>
          <w:rFonts w:ascii="Times New Roman Bold" w:hAnsi="Times New Roman Bold"/>
          <w:b/>
          <w:sz w:val="28"/>
          <w:lang w:eastAsia="zh-CN"/>
        </w:rPr>
        <w:br/>
        <w:t xml:space="preserve">service in certain frequency bands not subject to a Plan of Appendices 30, </w:t>
      </w:r>
      <w:r w:rsidRPr="002D16F4">
        <w:rPr>
          <w:rFonts w:ascii="Times New Roman Bold" w:hAnsi="Times New Roman Bold"/>
          <w:b/>
          <w:sz w:val="28"/>
          <w:lang w:eastAsia="zh-CN"/>
        </w:rPr>
        <w:br/>
        <w:t>30A and 30B for the control and non-p</w:t>
      </w:r>
      <w:bookmarkStart w:id="1" w:name="_GoBack"/>
      <w:bookmarkEnd w:id="1"/>
      <w:r w:rsidRPr="002D16F4">
        <w:rPr>
          <w:rFonts w:ascii="Times New Roman Bold" w:hAnsi="Times New Roman Bold"/>
          <w:b/>
          <w:sz w:val="28"/>
          <w:lang w:eastAsia="zh-CN"/>
        </w:rPr>
        <w:t xml:space="preserve">ayload communications of </w:t>
      </w:r>
      <w:r w:rsidRPr="002D16F4">
        <w:rPr>
          <w:rFonts w:ascii="Times New Roman Bold" w:hAnsi="Times New Roman Bold"/>
          <w:b/>
          <w:sz w:val="28"/>
          <w:lang w:eastAsia="zh-CN"/>
        </w:rPr>
        <w:br/>
        <w:t>unmanned aircraft systems in non-segregated airspaces</w:t>
      </w:r>
      <w:r w:rsidRPr="002D16F4">
        <w:rPr>
          <w:rFonts w:ascii="Times New Roman Bold" w:hAnsi="Times New Roman Bold"/>
          <w:b/>
          <w:position w:val="6"/>
          <w:sz w:val="18"/>
          <w:lang w:eastAsia="zh-CN"/>
        </w:rPr>
        <w:footnoteReference w:customMarkFollows="1" w:id="6"/>
        <w:t>*</w:t>
      </w:r>
    </w:p>
    <w:p w14:paraId="0301A0A7" w14:textId="77777777" w:rsidR="00F53717" w:rsidRPr="002D16F4" w:rsidRDefault="00F53717" w:rsidP="00F53717">
      <w:pPr>
        <w:keepNext/>
        <w:tabs>
          <w:tab w:val="left" w:pos="1134"/>
          <w:tab w:val="left" w:pos="1871"/>
          <w:tab w:val="left" w:pos="2268"/>
        </w:tabs>
        <w:overflowPunct w:val="0"/>
        <w:autoSpaceDE w:val="0"/>
        <w:autoSpaceDN w:val="0"/>
        <w:adjustRightInd w:val="0"/>
        <w:spacing w:before="280"/>
        <w:textAlignment w:val="baseline"/>
        <w:rPr>
          <w:sz w:val="24"/>
          <w:lang w:eastAsia="zh-CN"/>
        </w:rPr>
      </w:pPr>
      <w:r w:rsidRPr="002D16F4">
        <w:rPr>
          <w:sz w:val="24"/>
          <w:lang w:eastAsia="zh-CN"/>
        </w:rPr>
        <w:t>The World Radiocommunication Conference (Geneva, 2015),</w:t>
      </w:r>
    </w:p>
    <w:p w14:paraId="707CCE01" w14:textId="77777777" w:rsidR="00F53717" w:rsidRPr="002D16F4" w:rsidRDefault="00F53717" w:rsidP="00F53717">
      <w:pPr>
        <w:keepNext/>
        <w:keepLines/>
        <w:tabs>
          <w:tab w:val="left" w:pos="1134"/>
          <w:tab w:val="left" w:pos="1871"/>
          <w:tab w:val="left" w:pos="2268"/>
        </w:tabs>
        <w:overflowPunct w:val="0"/>
        <w:autoSpaceDE w:val="0"/>
        <w:autoSpaceDN w:val="0"/>
        <w:adjustRightInd w:val="0"/>
        <w:spacing w:before="160"/>
        <w:ind w:left="1134"/>
        <w:textAlignment w:val="baseline"/>
        <w:rPr>
          <w:i/>
          <w:sz w:val="24"/>
        </w:rPr>
      </w:pPr>
      <w:r w:rsidRPr="002D16F4">
        <w:rPr>
          <w:i/>
          <w:sz w:val="24"/>
        </w:rPr>
        <w:t>considering</w:t>
      </w:r>
    </w:p>
    <w:p w14:paraId="7EF7E410" w14:textId="77777777" w:rsidR="00F53717" w:rsidRPr="002D16F4" w:rsidRDefault="00F53717" w:rsidP="00F53717">
      <w:pPr>
        <w:tabs>
          <w:tab w:val="left" w:pos="1134"/>
          <w:tab w:val="left" w:pos="1871"/>
          <w:tab w:val="left" w:pos="2268"/>
        </w:tabs>
        <w:overflowPunct w:val="0"/>
        <w:autoSpaceDE w:val="0"/>
        <w:autoSpaceDN w:val="0"/>
        <w:adjustRightInd w:val="0"/>
        <w:spacing w:before="120"/>
        <w:textAlignment w:val="baseline"/>
        <w:rPr>
          <w:sz w:val="24"/>
        </w:rPr>
      </w:pPr>
      <w:r w:rsidRPr="002D16F4">
        <w:rPr>
          <w:i/>
          <w:iCs/>
          <w:sz w:val="24"/>
        </w:rPr>
        <w:t>a)</w:t>
      </w:r>
      <w:r w:rsidRPr="002D16F4">
        <w:rPr>
          <w:sz w:val="24"/>
        </w:rPr>
        <w:tab/>
        <w:t>that the operation of unmanned aircraft systems (UAS) requires reliable control and non-payload communication (CNPC) links, in particular to relay air traffic control communications and for the remote pilot to control the flight;</w:t>
      </w:r>
    </w:p>
    <w:p w14:paraId="06F539B8" w14:textId="77777777" w:rsidR="00F53717" w:rsidRPr="002D16F4" w:rsidRDefault="00F53717" w:rsidP="00F53717">
      <w:pPr>
        <w:tabs>
          <w:tab w:val="left" w:pos="1134"/>
          <w:tab w:val="left" w:pos="1871"/>
          <w:tab w:val="left" w:pos="2268"/>
        </w:tabs>
        <w:overflowPunct w:val="0"/>
        <w:autoSpaceDE w:val="0"/>
        <w:autoSpaceDN w:val="0"/>
        <w:adjustRightInd w:val="0"/>
        <w:spacing w:before="120"/>
        <w:textAlignment w:val="baseline"/>
        <w:rPr>
          <w:sz w:val="24"/>
        </w:rPr>
      </w:pPr>
      <w:r w:rsidRPr="002D16F4">
        <w:rPr>
          <w:i/>
          <w:iCs/>
          <w:sz w:val="24"/>
        </w:rPr>
        <w:t>b)</w:t>
      </w:r>
      <w:r w:rsidRPr="002D16F4">
        <w:rPr>
          <w:sz w:val="24"/>
        </w:rPr>
        <w:tab/>
        <w:t>that satellite networks may be used to provide CNPC links of UAS beyond the line-of-sight, as shown in Annex 1</w:t>
      </w:r>
      <w:r w:rsidRPr="002D16F4">
        <w:rPr>
          <w:sz w:val="24"/>
          <w:lang w:eastAsia="zh-CN"/>
        </w:rPr>
        <w:t>;</w:t>
      </w:r>
    </w:p>
    <w:p w14:paraId="08B3FDB9" w14:textId="77777777" w:rsidR="00F53717" w:rsidRPr="002D16F4" w:rsidRDefault="00F53717" w:rsidP="00F53717">
      <w:pPr>
        <w:tabs>
          <w:tab w:val="left" w:pos="1134"/>
          <w:tab w:val="left" w:pos="1871"/>
          <w:tab w:val="left" w:pos="2268"/>
        </w:tabs>
        <w:overflowPunct w:val="0"/>
        <w:autoSpaceDE w:val="0"/>
        <w:autoSpaceDN w:val="0"/>
        <w:adjustRightInd w:val="0"/>
        <w:spacing w:before="120"/>
        <w:textAlignment w:val="baseline"/>
        <w:rPr>
          <w:sz w:val="24"/>
        </w:rPr>
      </w:pPr>
      <w:r w:rsidRPr="002D16F4">
        <w:rPr>
          <w:i/>
          <w:iCs/>
          <w:sz w:val="24"/>
        </w:rPr>
        <w:t>c)</w:t>
      </w:r>
      <w:r w:rsidRPr="002D16F4">
        <w:rPr>
          <w:sz w:val="24"/>
        </w:rPr>
        <w:tab/>
        <w:t>that CNPC links between space stations and stations on board unmanned aircraft (UA) are proposed to be operated under this resolution in the primary fixed-satellite service (FSS) in frequency bands shared with other primary services, including terrestrial services, however that would not preclude the use of other available allocations to accommodate this application,</w:t>
      </w:r>
    </w:p>
    <w:p w14:paraId="7C194652" w14:textId="77777777" w:rsidR="00F53717" w:rsidRPr="002D16F4" w:rsidRDefault="00F53717" w:rsidP="00F53717">
      <w:pPr>
        <w:keepNext/>
        <w:keepLines/>
        <w:tabs>
          <w:tab w:val="left" w:pos="1134"/>
          <w:tab w:val="left" w:pos="1871"/>
          <w:tab w:val="left" w:pos="2268"/>
        </w:tabs>
        <w:overflowPunct w:val="0"/>
        <w:autoSpaceDE w:val="0"/>
        <w:autoSpaceDN w:val="0"/>
        <w:adjustRightInd w:val="0"/>
        <w:spacing w:before="160"/>
        <w:ind w:left="1134"/>
        <w:textAlignment w:val="baseline"/>
        <w:rPr>
          <w:i/>
          <w:sz w:val="24"/>
        </w:rPr>
      </w:pPr>
      <w:r w:rsidRPr="002D16F4">
        <w:rPr>
          <w:i/>
          <w:sz w:val="24"/>
        </w:rPr>
        <w:t>considering further</w:t>
      </w:r>
    </w:p>
    <w:p w14:paraId="70ABA6C1" w14:textId="77777777" w:rsidR="00F53717" w:rsidRPr="002D16F4" w:rsidRDefault="00F53717" w:rsidP="00F53717">
      <w:pPr>
        <w:tabs>
          <w:tab w:val="left" w:pos="1134"/>
          <w:tab w:val="left" w:pos="1871"/>
          <w:tab w:val="left" w:pos="2268"/>
        </w:tabs>
        <w:overflowPunct w:val="0"/>
        <w:autoSpaceDE w:val="0"/>
        <w:autoSpaceDN w:val="0"/>
        <w:adjustRightInd w:val="0"/>
        <w:spacing w:before="120"/>
        <w:textAlignment w:val="baseline"/>
        <w:rPr>
          <w:sz w:val="24"/>
        </w:rPr>
      </w:pPr>
      <w:r w:rsidRPr="002D16F4">
        <w:rPr>
          <w:i/>
          <w:iCs/>
          <w:sz w:val="24"/>
        </w:rPr>
        <w:t>a)</w:t>
      </w:r>
      <w:r w:rsidRPr="002D16F4">
        <w:rPr>
          <w:sz w:val="24"/>
        </w:rPr>
        <w:tab/>
        <w:t>that UAS CNPC links relate to the safe operation of UAS and have to comply with certain technical, operational and regulatory requirements,</w:t>
      </w:r>
    </w:p>
    <w:p w14:paraId="04293AC5" w14:textId="77777777" w:rsidR="00F53717" w:rsidRPr="002D16F4" w:rsidRDefault="00F53717" w:rsidP="00F53717">
      <w:pPr>
        <w:keepNext/>
        <w:keepLines/>
        <w:tabs>
          <w:tab w:val="left" w:pos="1134"/>
          <w:tab w:val="left" w:pos="1871"/>
          <w:tab w:val="left" w:pos="2268"/>
        </w:tabs>
        <w:overflowPunct w:val="0"/>
        <w:autoSpaceDE w:val="0"/>
        <w:autoSpaceDN w:val="0"/>
        <w:adjustRightInd w:val="0"/>
        <w:spacing w:before="160"/>
        <w:ind w:left="1134"/>
        <w:textAlignment w:val="baseline"/>
        <w:rPr>
          <w:i/>
          <w:sz w:val="24"/>
        </w:rPr>
      </w:pPr>
      <w:r w:rsidRPr="002D16F4">
        <w:rPr>
          <w:i/>
          <w:sz w:val="24"/>
        </w:rPr>
        <w:t>noting</w:t>
      </w:r>
    </w:p>
    <w:p w14:paraId="3CC04666" w14:textId="77777777" w:rsidR="00F53717" w:rsidRPr="002D16F4" w:rsidRDefault="00F53717" w:rsidP="00F53717">
      <w:pPr>
        <w:tabs>
          <w:tab w:val="left" w:pos="1134"/>
          <w:tab w:val="left" w:pos="1871"/>
          <w:tab w:val="left" w:pos="2268"/>
        </w:tabs>
        <w:overflowPunct w:val="0"/>
        <w:autoSpaceDE w:val="0"/>
        <w:autoSpaceDN w:val="0"/>
        <w:adjustRightInd w:val="0"/>
        <w:spacing w:before="120"/>
        <w:textAlignment w:val="baseline"/>
        <w:rPr>
          <w:sz w:val="24"/>
        </w:rPr>
      </w:pPr>
      <w:r w:rsidRPr="002D16F4">
        <w:rPr>
          <w:i/>
          <w:sz w:val="24"/>
        </w:rPr>
        <w:t>a)</w:t>
      </w:r>
      <w:r w:rsidRPr="002D16F4">
        <w:rPr>
          <w:sz w:val="24"/>
        </w:rPr>
        <w:tab/>
        <w:t>that this conference has adopted Resolution </w:t>
      </w:r>
      <w:r w:rsidRPr="002D16F4">
        <w:rPr>
          <w:b/>
          <w:sz w:val="24"/>
        </w:rPr>
        <w:t>COM5/2</w:t>
      </w:r>
      <w:r w:rsidRPr="002D16F4">
        <w:rPr>
          <w:sz w:val="24"/>
        </w:rPr>
        <w:t xml:space="preserve"> on the use of earth stations in motion communicating with geostationary FSS space stations in the frequency bands 19.7-20.2 GHz and 29.5-30.0 GHz;</w:t>
      </w:r>
    </w:p>
    <w:p w14:paraId="37597EB0" w14:textId="77777777" w:rsidR="00F53717" w:rsidRPr="002D16F4" w:rsidRDefault="00F53717" w:rsidP="00F53717">
      <w:pPr>
        <w:tabs>
          <w:tab w:val="left" w:pos="1134"/>
          <w:tab w:val="left" w:pos="1871"/>
          <w:tab w:val="left" w:pos="2268"/>
        </w:tabs>
        <w:overflowPunct w:val="0"/>
        <w:autoSpaceDE w:val="0"/>
        <w:autoSpaceDN w:val="0"/>
        <w:adjustRightInd w:val="0"/>
        <w:spacing w:before="120"/>
        <w:textAlignment w:val="baseline"/>
        <w:rPr>
          <w:sz w:val="24"/>
        </w:rPr>
      </w:pPr>
      <w:r w:rsidRPr="002D16F4">
        <w:rPr>
          <w:i/>
          <w:sz w:val="24"/>
        </w:rPr>
        <w:t>b)</w:t>
      </w:r>
      <w:r w:rsidRPr="002D16F4">
        <w:rPr>
          <w:sz w:val="24"/>
        </w:rPr>
        <w:tab/>
        <w:t>that Report ITU</w:t>
      </w:r>
      <w:r w:rsidRPr="002D16F4">
        <w:rPr>
          <w:sz w:val="24"/>
        </w:rPr>
        <w:noBreakHyphen/>
        <w:t>R M.2171 provides information on characteristics of UAS and spectrum requirements to support their safe operation in non-segregated airspace,</w:t>
      </w:r>
    </w:p>
    <w:p w14:paraId="7F5DF249" w14:textId="77777777" w:rsidR="00F53717" w:rsidRPr="002D16F4" w:rsidRDefault="00F53717" w:rsidP="00F53717">
      <w:pPr>
        <w:keepNext/>
        <w:keepLines/>
        <w:tabs>
          <w:tab w:val="left" w:pos="1134"/>
          <w:tab w:val="left" w:pos="1871"/>
          <w:tab w:val="left" w:pos="2268"/>
        </w:tabs>
        <w:overflowPunct w:val="0"/>
        <w:autoSpaceDE w:val="0"/>
        <w:autoSpaceDN w:val="0"/>
        <w:adjustRightInd w:val="0"/>
        <w:spacing w:before="160"/>
        <w:ind w:left="1134"/>
        <w:textAlignment w:val="baseline"/>
        <w:rPr>
          <w:i/>
          <w:sz w:val="24"/>
        </w:rPr>
      </w:pPr>
      <w:r w:rsidRPr="002D16F4">
        <w:rPr>
          <w:i/>
          <w:sz w:val="24"/>
        </w:rPr>
        <w:lastRenderedPageBreak/>
        <w:t>recognizing</w:t>
      </w:r>
    </w:p>
    <w:p w14:paraId="5224DE3E" w14:textId="77777777" w:rsidR="00F53717" w:rsidRPr="002D16F4" w:rsidRDefault="00F53717" w:rsidP="00F53717">
      <w:pPr>
        <w:tabs>
          <w:tab w:val="left" w:pos="1134"/>
          <w:tab w:val="left" w:pos="1871"/>
          <w:tab w:val="left" w:pos="2268"/>
        </w:tabs>
        <w:overflowPunct w:val="0"/>
        <w:autoSpaceDE w:val="0"/>
        <w:autoSpaceDN w:val="0"/>
        <w:adjustRightInd w:val="0"/>
        <w:spacing w:before="120"/>
        <w:textAlignment w:val="baseline"/>
        <w:rPr>
          <w:sz w:val="24"/>
        </w:rPr>
      </w:pPr>
      <w:r w:rsidRPr="002D16F4">
        <w:rPr>
          <w:i/>
          <w:iCs/>
          <w:sz w:val="24"/>
        </w:rPr>
        <w:t>a)</w:t>
      </w:r>
      <w:r w:rsidRPr="002D16F4">
        <w:rPr>
          <w:sz w:val="24"/>
        </w:rPr>
        <w:tab/>
        <w:t>that the UAS CNPC links will operate in accordance with international standards and recommended practices and procedures established in accordance with the Convention on International Civil Aviation;</w:t>
      </w:r>
    </w:p>
    <w:p w14:paraId="6B6ED6F3" w14:textId="77777777" w:rsidR="00F53717" w:rsidRPr="002D16F4" w:rsidRDefault="00F53717" w:rsidP="00F53717">
      <w:pPr>
        <w:tabs>
          <w:tab w:val="left" w:pos="1134"/>
          <w:tab w:val="left" w:pos="1871"/>
          <w:tab w:val="left" w:pos="2268"/>
        </w:tabs>
        <w:overflowPunct w:val="0"/>
        <w:autoSpaceDE w:val="0"/>
        <w:autoSpaceDN w:val="0"/>
        <w:adjustRightInd w:val="0"/>
        <w:spacing w:before="120"/>
        <w:textAlignment w:val="baseline"/>
        <w:rPr>
          <w:sz w:val="24"/>
        </w:rPr>
      </w:pPr>
      <w:r w:rsidRPr="002D16F4">
        <w:rPr>
          <w:i/>
          <w:iCs/>
          <w:sz w:val="24"/>
        </w:rPr>
        <w:t>b)</w:t>
      </w:r>
      <w:r w:rsidRPr="002D16F4">
        <w:rPr>
          <w:sz w:val="24"/>
        </w:rPr>
        <w:tab/>
        <w:t>that, in this resolution, conditions are provided for operations of CNPC links without prejudging whether the International Civil Aviation Organization (ICAO) would be able to develop standards and recommended practices to ensure safe operation of UAS under these conditions,</w:t>
      </w:r>
    </w:p>
    <w:p w14:paraId="16390DBC" w14:textId="77777777" w:rsidR="00F53717" w:rsidRPr="002D16F4" w:rsidRDefault="00F53717" w:rsidP="00F53717">
      <w:pPr>
        <w:keepNext/>
        <w:keepLines/>
        <w:tabs>
          <w:tab w:val="left" w:pos="1134"/>
          <w:tab w:val="left" w:pos="1871"/>
          <w:tab w:val="left" w:pos="2268"/>
        </w:tabs>
        <w:overflowPunct w:val="0"/>
        <w:autoSpaceDE w:val="0"/>
        <w:autoSpaceDN w:val="0"/>
        <w:adjustRightInd w:val="0"/>
        <w:spacing w:before="160"/>
        <w:ind w:left="1134"/>
        <w:textAlignment w:val="baseline"/>
        <w:rPr>
          <w:i/>
          <w:sz w:val="24"/>
        </w:rPr>
      </w:pPr>
      <w:r w:rsidRPr="002D16F4">
        <w:rPr>
          <w:i/>
          <w:sz w:val="24"/>
        </w:rPr>
        <w:t>resolves</w:t>
      </w:r>
    </w:p>
    <w:p w14:paraId="25D096AD" w14:textId="77777777" w:rsidR="00F53717" w:rsidRPr="002D16F4" w:rsidRDefault="00F53717" w:rsidP="00F53717">
      <w:pPr>
        <w:tabs>
          <w:tab w:val="left" w:pos="1134"/>
          <w:tab w:val="left" w:pos="1871"/>
          <w:tab w:val="left" w:pos="2268"/>
        </w:tabs>
        <w:overflowPunct w:val="0"/>
        <w:autoSpaceDE w:val="0"/>
        <w:autoSpaceDN w:val="0"/>
        <w:adjustRightInd w:val="0"/>
        <w:spacing w:before="120"/>
        <w:textAlignment w:val="baseline"/>
        <w:rPr>
          <w:sz w:val="24"/>
        </w:rPr>
      </w:pPr>
      <w:r w:rsidRPr="002D16F4">
        <w:rPr>
          <w:sz w:val="24"/>
        </w:rPr>
        <w:t>1</w:t>
      </w:r>
      <w:r w:rsidRPr="002D16F4">
        <w:rPr>
          <w:sz w:val="24"/>
        </w:rPr>
        <w:tab/>
        <w:t>that assignments to stations of geostationary FSS satellite networks operating in the frequency bands 10.95-11.2 GHz (space-to-Earth), 11.45-11.7 GHz (space-to-Earth), 11.7-12.2 GHz (space-to-Earth) in Region 2, 12.2-12.5 GHz (space-to-Earth) in Region 3, 12.5-12.75 GHz (space-to-Earth) in Regions 1 and 3 and 19.7-20.2 GHz (space-to-Earth), and in the frequency bands 14-14.47 GHz (Earth-to-space) and 29.5-30.0 GHz (Earth-to-space), may be used for UAS CNPC links in non-segregated airspace</w:t>
      </w:r>
      <w:r w:rsidRPr="002D16F4">
        <w:rPr>
          <w:position w:val="6"/>
          <w:sz w:val="18"/>
          <w:szCs w:val="24"/>
        </w:rPr>
        <w:footnoteReference w:customMarkFollows="1" w:id="7"/>
        <w:t>*</w:t>
      </w:r>
      <w:r w:rsidRPr="002D16F4">
        <w:rPr>
          <w:sz w:val="24"/>
        </w:rPr>
        <w:t xml:space="preserve">, provided that the conditions specified in </w:t>
      </w:r>
      <w:r w:rsidRPr="002D16F4">
        <w:rPr>
          <w:i/>
          <w:sz w:val="24"/>
          <w:szCs w:val="24"/>
        </w:rPr>
        <w:t xml:space="preserve">resolves </w:t>
      </w:r>
      <w:r w:rsidRPr="002D16F4">
        <w:rPr>
          <w:sz w:val="24"/>
        </w:rPr>
        <w:t>below are met;</w:t>
      </w:r>
    </w:p>
    <w:p w14:paraId="4E313939" w14:textId="77777777" w:rsidR="00F53717" w:rsidRPr="002D16F4" w:rsidRDefault="00F53717" w:rsidP="00F53717">
      <w:pPr>
        <w:tabs>
          <w:tab w:val="left" w:pos="1134"/>
          <w:tab w:val="left" w:pos="1871"/>
          <w:tab w:val="left" w:pos="2268"/>
        </w:tabs>
        <w:overflowPunct w:val="0"/>
        <w:autoSpaceDE w:val="0"/>
        <w:autoSpaceDN w:val="0"/>
        <w:adjustRightInd w:val="0"/>
        <w:spacing w:before="120"/>
        <w:textAlignment w:val="baseline"/>
        <w:rPr>
          <w:sz w:val="24"/>
        </w:rPr>
      </w:pPr>
      <w:r w:rsidRPr="002D16F4">
        <w:rPr>
          <w:sz w:val="24"/>
        </w:rPr>
        <w:t>2</w:t>
      </w:r>
      <w:r w:rsidRPr="002D16F4">
        <w:rPr>
          <w:sz w:val="24"/>
        </w:rPr>
        <w:tab/>
        <w:t xml:space="preserve">that earth stations in motion on board UA may communicate with the space station of a geostationary FSS satellite network operating in the frequency bands listed in </w:t>
      </w:r>
      <w:r w:rsidRPr="002D16F4">
        <w:rPr>
          <w:i/>
          <w:sz w:val="24"/>
        </w:rPr>
        <w:t>resolves</w:t>
      </w:r>
      <w:r w:rsidRPr="002D16F4">
        <w:rPr>
          <w:sz w:val="24"/>
        </w:rPr>
        <w:t xml:space="preserve"> 1 above, provided that the class of the earth station in motion on board UA is matched with the class of the space station and that other conditions of this resolution are met (see also </w:t>
      </w:r>
      <w:r w:rsidRPr="002D16F4">
        <w:rPr>
          <w:i/>
          <w:sz w:val="24"/>
          <w:szCs w:val="24"/>
        </w:rPr>
        <w:t>instructs the Director of the Radiocommunication Bureau</w:t>
      </w:r>
      <w:r w:rsidRPr="002D16F4">
        <w:rPr>
          <w:sz w:val="24"/>
        </w:rPr>
        <w:t> 3</w:t>
      </w:r>
      <w:r w:rsidRPr="002D16F4">
        <w:rPr>
          <w:i/>
          <w:sz w:val="24"/>
          <w:szCs w:val="24"/>
        </w:rPr>
        <w:t xml:space="preserve"> </w:t>
      </w:r>
      <w:r w:rsidRPr="002D16F4">
        <w:rPr>
          <w:sz w:val="24"/>
        </w:rPr>
        <w:t>below);</w:t>
      </w:r>
    </w:p>
    <w:p w14:paraId="516D1965" w14:textId="77777777" w:rsidR="00F53717" w:rsidRPr="002D16F4" w:rsidRDefault="00F53717" w:rsidP="00F53717">
      <w:pPr>
        <w:tabs>
          <w:tab w:val="left" w:pos="1134"/>
          <w:tab w:val="left" w:pos="1871"/>
          <w:tab w:val="left" w:pos="2268"/>
        </w:tabs>
        <w:overflowPunct w:val="0"/>
        <w:autoSpaceDE w:val="0"/>
        <w:autoSpaceDN w:val="0"/>
        <w:adjustRightInd w:val="0"/>
        <w:spacing w:before="120"/>
        <w:textAlignment w:val="baseline"/>
        <w:rPr>
          <w:sz w:val="24"/>
        </w:rPr>
      </w:pPr>
      <w:r w:rsidRPr="002D16F4">
        <w:rPr>
          <w:sz w:val="24"/>
        </w:rPr>
        <w:t>3</w:t>
      </w:r>
      <w:r w:rsidRPr="002D16F4">
        <w:rPr>
          <w:sz w:val="24"/>
        </w:rPr>
        <w:tab/>
        <w:t xml:space="preserve">that the frequency bands specified in </w:t>
      </w:r>
      <w:r w:rsidRPr="002D16F4">
        <w:rPr>
          <w:i/>
          <w:sz w:val="24"/>
        </w:rPr>
        <w:t>resolves </w:t>
      </w:r>
      <w:r w:rsidRPr="002D16F4">
        <w:rPr>
          <w:iCs/>
          <w:sz w:val="24"/>
        </w:rPr>
        <w:t>1</w:t>
      </w:r>
      <w:r w:rsidRPr="002D16F4">
        <w:rPr>
          <w:sz w:val="24"/>
        </w:rPr>
        <w:t xml:space="preserve"> shall not be used for the UAS CNPC links before the adoption of the relevant international aeronautical standards and recommended practices (SARPs) consistent with Article 37 of the Convention on International Civil Aviation, taking into account </w:t>
      </w:r>
      <w:r w:rsidRPr="002D16F4">
        <w:rPr>
          <w:i/>
          <w:sz w:val="24"/>
        </w:rPr>
        <w:t>instructs the Director of the Radiocommunication Bureau </w:t>
      </w:r>
      <w:r w:rsidRPr="002D16F4">
        <w:rPr>
          <w:sz w:val="24"/>
        </w:rPr>
        <w:t>4;</w:t>
      </w:r>
    </w:p>
    <w:p w14:paraId="617421CA" w14:textId="77777777" w:rsidR="00F53717" w:rsidRPr="002D16F4" w:rsidRDefault="00F53717" w:rsidP="00F53717">
      <w:pPr>
        <w:tabs>
          <w:tab w:val="left" w:pos="1134"/>
          <w:tab w:val="left" w:pos="1871"/>
          <w:tab w:val="left" w:pos="2268"/>
        </w:tabs>
        <w:overflowPunct w:val="0"/>
        <w:autoSpaceDE w:val="0"/>
        <w:autoSpaceDN w:val="0"/>
        <w:adjustRightInd w:val="0"/>
        <w:spacing w:before="120"/>
        <w:textAlignment w:val="baseline"/>
        <w:rPr>
          <w:sz w:val="24"/>
        </w:rPr>
      </w:pPr>
      <w:r w:rsidRPr="002D16F4">
        <w:rPr>
          <w:sz w:val="24"/>
        </w:rPr>
        <w:t>4</w:t>
      </w:r>
      <w:r w:rsidRPr="002D16F4">
        <w:rPr>
          <w:sz w:val="24"/>
        </w:rPr>
        <w:tab/>
        <w:t>that administrations responsible for an FSS network providing UA CNPC links shall apply the relevant provisions of Articles </w:t>
      </w:r>
      <w:r w:rsidRPr="002D16F4">
        <w:rPr>
          <w:b/>
          <w:bCs/>
          <w:sz w:val="24"/>
        </w:rPr>
        <w:t>9</w:t>
      </w:r>
      <w:r w:rsidRPr="002D16F4">
        <w:rPr>
          <w:sz w:val="24"/>
        </w:rPr>
        <w:t xml:space="preserve"> (necessary provisions need to be identified or developed) and </w:t>
      </w:r>
      <w:r w:rsidRPr="002D16F4">
        <w:rPr>
          <w:b/>
          <w:bCs/>
          <w:sz w:val="24"/>
        </w:rPr>
        <w:t>11</w:t>
      </w:r>
      <w:r w:rsidRPr="002D16F4">
        <w:rPr>
          <w:sz w:val="24"/>
        </w:rPr>
        <w:t xml:space="preserve"> for the relevant assignments, including, as appropriate, assignments to the corresponding space station, specific and typical earth station and earth station in motion on board UA, including the request for publication in BR IFIC of items referred to in </w:t>
      </w:r>
      <w:r w:rsidRPr="002D16F4">
        <w:rPr>
          <w:i/>
          <w:sz w:val="24"/>
        </w:rPr>
        <w:t>resolves</w:t>
      </w:r>
      <w:r w:rsidRPr="002D16F4">
        <w:rPr>
          <w:sz w:val="24"/>
        </w:rPr>
        <w:t> 2 and the course of actions identified in that</w:t>
      </w:r>
      <w:r w:rsidRPr="002D16F4">
        <w:rPr>
          <w:i/>
          <w:sz w:val="24"/>
        </w:rPr>
        <w:t xml:space="preserve"> resolves</w:t>
      </w:r>
      <w:r w:rsidRPr="002D16F4">
        <w:rPr>
          <w:sz w:val="24"/>
        </w:rPr>
        <w:t xml:space="preserve"> in order to obtain international rights and recognition as specified in Article </w:t>
      </w:r>
      <w:r w:rsidRPr="002D16F4">
        <w:rPr>
          <w:b/>
          <w:bCs/>
          <w:sz w:val="24"/>
        </w:rPr>
        <w:t>8</w:t>
      </w:r>
      <w:r w:rsidRPr="002D16F4">
        <w:rPr>
          <w:sz w:val="24"/>
        </w:rPr>
        <w:t>;</w:t>
      </w:r>
    </w:p>
    <w:p w14:paraId="3F412404" w14:textId="77777777" w:rsidR="00F53717" w:rsidRPr="002D16F4" w:rsidRDefault="00F53717" w:rsidP="00F53717">
      <w:pPr>
        <w:tabs>
          <w:tab w:val="left" w:pos="1134"/>
          <w:tab w:val="left" w:pos="1871"/>
          <w:tab w:val="left" w:pos="2268"/>
        </w:tabs>
        <w:overflowPunct w:val="0"/>
        <w:autoSpaceDE w:val="0"/>
        <w:autoSpaceDN w:val="0"/>
        <w:adjustRightInd w:val="0"/>
        <w:spacing w:before="120"/>
        <w:textAlignment w:val="baseline"/>
        <w:rPr>
          <w:sz w:val="24"/>
        </w:rPr>
      </w:pPr>
      <w:r w:rsidRPr="002D16F4">
        <w:rPr>
          <w:sz w:val="24"/>
        </w:rPr>
        <w:t>5</w:t>
      </w:r>
      <w:r w:rsidRPr="002D16F4">
        <w:rPr>
          <w:sz w:val="24"/>
        </w:rPr>
        <w:tab/>
        <w:t>that earth stations of UAS CNPC links shall operate within the notified and recorded technical parameters of the associated satellite network, including specific or typical earth stations of the geostationary FSS satellite network(s) as published by the Radiocommunication Bureau;</w:t>
      </w:r>
    </w:p>
    <w:p w14:paraId="410F7AEE" w14:textId="77777777" w:rsidR="00F53717" w:rsidRPr="002D16F4" w:rsidRDefault="00F53717" w:rsidP="00F53717">
      <w:pPr>
        <w:tabs>
          <w:tab w:val="left" w:pos="1134"/>
          <w:tab w:val="left" w:pos="1871"/>
          <w:tab w:val="left" w:pos="2268"/>
        </w:tabs>
        <w:overflowPunct w:val="0"/>
        <w:autoSpaceDE w:val="0"/>
        <w:autoSpaceDN w:val="0"/>
        <w:adjustRightInd w:val="0"/>
        <w:spacing w:before="120"/>
        <w:textAlignment w:val="baseline"/>
        <w:rPr>
          <w:sz w:val="24"/>
        </w:rPr>
      </w:pPr>
      <w:r w:rsidRPr="002D16F4">
        <w:rPr>
          <w:sz w:val="24"/>
        </w:rPr>
        <w:t>6</w:t>
      </w:r>
      <w:r w:rsidRPr="002D16F4">
        <w:rPr>
          <w:sz w:val="24"/>
        </w:rPr>
        <w:tab/>
        <w:t xml:space="preserve">that earth stations of UAS CNPC links shall not cause more interference to, or claim more protection from, other satellite networks and systems than specific or typical earth stations as indicated in </w:t>
      </w:r>
      <w:r w:rsidRPr="002D16F4">
        <w:rPr>
          <w:i/>
          <w:sz w:val="24"/>
        </w:rPr>
        <w:t>resolves</w:t>
      </w:r>
      <w:r w:rsidRPr="002D16F4">
        <w:rPr>
          <w:sz w:val="24"/>
        </w:rPr>
        <w:t> 5 as published by the Bureau;</w:t>
      </w:r>
    </w:p>
    <w:p w14:paraId="09EBCF43" w14:textId="77777777" w:rsidR="00F53717" w:rsidRPr="002D16F4" w:rsidRDefault="00F53717" w:rsidP="00F53717">
      <w:pPr>
        <w:tabs>
          <w:tab w:val="left" w:pos="1134"/>
          <w:tab w:val="left" w:pos="1871"/>
          <w:tab w:val="left" w:pos="2268"/>
        </w:tabs>
        <w:overflowPunct w:val="0"/>
        <w:autoSpaceDE w:val="0"/>
        <w:autoSpaceDN w:val="0"/>
        <w:adjustRightInd w:val="0"/>
        <w:spacing w:before="120"/>
        <w:textAlignment w:val="baseline"/>
        <w:rPr>
          <w:sz w:val="24"/>
        </w:rPr>
      </w:pPr>
      <w:r w:rsidRPr="002D16F4">
        <w:rPr>
          <w:sz w:val="24"/>
        </w:rPr>
        <w:lastRenderedPageBreak/>
        <w:t>7</w:t>
      </w:r>
      <w:r w:rsidRPr="002D16F4">
        <w:rPr>
          <w:sz w:val="24"/>
        </w:rPr>
        <w:tab/>
        <w:t xml:space="preserve">that, in order to apply </w:t>
      </w:r>
      <w:r w:rsidRPr="002D16F4">
        <w:rPr>
          <w:i/>
          <w:iCs/>
          <w:sz w:val="24"/>
        </w:rPr>
        <w:t>resolves</w:t>
      </w:r>
      <w:r w:rsidRPr="002D16F4">
        <w:rPr>
          <w:sz w:val="24"/>
        </w:rPr>
        <w:t> 6 above, administrations responsible for the FSS network to be used for UAS CNPC links shall provide the level of interference for the reference assignments of the network used for CNPC links upon request by an administration authorizing the use of UAS CNPC links within its territory;</w:t>
      </w:r>
    </w:p>
    <w:p w14:paraId="367AE5CD" w14:textId="77777777" w:rsidR="00F53717" w:rsidRPr="002D16F4" w:rsidRDefault="00F53717" w:rsidP="00F53717">
      <w:pPr>
        <w:tabs>
          <w:tab w:val="left" w:pos="1134"/>
          <w:tab w:val="left" w:pos="1871"/>
          <w:tab w:val="left" w:pos="2268"/>
        </w:tabs>
        <w:overflowPunct w:val="0"/>
        <w:autoSpaceDE w:val="0"/>
        <w:autoSpaceDN w:val="0"/>
        <w:adjustRightInd w:val="0"/>
        <w:spacing w:before="120"/>
        <w:textAlignment w:val="baseline"/>
        <w:rPr>
          <w:sz w:val="24"/>
        </w:rPr>
      </w:pPr>
      <w:r w:rsidRPr="002D16F4">
        <w:rPr>
          <w:sz w:val="24"/>
        </w:rPr>
        <w:t>8</w:t>
      </w:r>
      <w:r w:rsidRPr="002D16F4">
        <w:rPr>
          <w:sz w:val="24"/>
        </w:rPr>
        <w:tab/>
        <w:t xml:space="preserve">that earth stations of UAS CNPC links of a particular FSS network shall not cause more interference to, or claim more protection from, stations of terrestrial services than specific or typical earth stations of that FSS network as indicated in </w:t>
      </w:r>
      <w:r w:rsidRPr="002D16F4">
        <w:rPr>
          <w:i/>
          <w:sz w:val="24"/>
        </w:rPr>
        <w:t>resolves</w:t>
      </w:r>
      <w:r w:rsidRPr="002D16F4">
        <w:rPr>
          <w:sz w:val="24"/>
        </w:rPr>
        <w:t> 5 that have been previously coordinated and/or notified under relevant provisions of Articles </w:t>
      </w:r>
      <w:r w:rsidRPr="002D16F4">
        <w:rPr>
          <w:b/>
          <w:bCs/>
          <w:sz w:val="24"/>
        </w:rPr>
        <w:t>9</w:t>
      </w:r>
      <w:r w:rsidRPr="002D16F4">
        <w:rPr>
          <w:sz w:val="24"/>
        </w:rPr>
        <w:t xml:space="preserve"> and </w:t>
      </w:r>
      <w:r w:rsidRPr="002D16F4">
        <w:rPr>
          <w:b/>
          <w:bCs/>
          <w:sz w:val="24"/>
        </w:rPr>
        <w:t>11</w:t>
      </w:r>
      <w:r w:rsidRPr="002D16F4">
        <w:rPr>
          <w:sz w:val="24"/>
        </w:rPr>
        <w:t>;</w:t>
      </w:r>
    </w:p>
    <w:p w14:paraId="23CEC69C" w14:textId="77777777" w:rsidR="00F53717" w:rsidRPr="002D16F4" w:rsidRDefault="00F53717" w:rsidP="00F53717">
      <w:pPr>
        <w:tabs>
          <w:tab w:val="left" w:pos="1134"/>
          <w:tab w:val="left" w:pos="1871"/>
          <w:tab w:val="left" w:pos="2268"/>
        </w:tabs>
        <w:overflowPunct w:val="0"/>
        <w:autoSpaceDE w:val="0"/>
        <w:autoSpaceDN w:val="0"/>
        <w:adjustRightInd w:val="0"/>
        <w:spacing w:before="120"/>
        <w:textAlignment w:val="baseline"/>
        <w:rPr>
          <w:sz w:val="24"/>
        </w:rPr>
      </w:pPr>
      <w:r w:rsidRPr="002D16F4">
        <w:rPr>
          <w:sz w:val="24"/>
        </w:rPr>
        <w:t>9</w:t>
      </w:r>
      <w:r w:rsidRPr="002D16F4">
        <w:rPr>
          <w:sz w:val="24"/>
        </w:rPr>
        <w:tab/>
        <w:t>that the use of assignments of a FSS satellite network for UAS CNPC links shall not constrain other FSS satellite networks during the application of the provisions of Articles </w:t>
      </w:r>
      <w:r w:rsidRPr="002D16F4">
        <w:rPr>
          <w:b/>
          <w:bCs/>
          <w:sz w:val="24"/>
        </w:rPr>
        <w:t>9</w:t>
      </w:r>
      <w:r w:rsidRPr="002D16F4">
        <w:rPr>
          <w:sz w:val="24"/>
        </w:rPr>
        <w:t xml:space="preserve"> and </w:t>
      </w:r>
      <w:r w:rsidRPr="002D16F4">
        <w:rPr>
          <w:b/>
          <w:bCs/>
          <w:sz w:val="24"/>
        </w:rPr>
        <w:t>11</w:t>
      </w:r>
      <w:r w:rsidRPr="002D16F4">
        <w:rPr>
          <w:sz w:val="24"/>
        </w:rPr>
        <w:t>;</w:t>
      </w:r>
    </w:p>
    <w:p w14:paraId="4EA6200B" w14:textId="77777777" w:rsidR="00F53717" w:rsidRPr="002D16F4" w:rsidRDefault="00F53717" w:rsidP="00F53717">
      <w:pPr>
        <w:tabs>
          <w:tab w:val="left" w:pos="1134"/>
          <w:tab w:val="left" w:pos="1871"/>
          <w:tab w:val="left" w:pos="2268"/>
        </w:tabs>
        <w:overflowPunct w:val="0"/>
        <w:autoSpaceDE w:val="0"/>
        <w:autoSpaceDN w:val="0"/>
        <w:adjustRightInd w:val="0"/>
        <w:spacing w:before="120"/>
        <w:textAlignment w:val="baseline"/>
        <w:rPr>
          <w:sz w:val="24"/>
        </w:rPr>
      </w:pPr>
      <w:r w:rsidRPr="002D16F4">
        <w:rPr>
          <w:sz w:val="24"/>
        </w:rPr>
        <w:t>10</w:t>
      </w:r>
      <w:r w:rsidRPr="002D16F4">
        <w:rPr>
          <w:sz w:val="24"/>
        </w:rPr>
        <w:tab/>
        <w:t>that the introduction of UAS CNPC links shall not result in additional coordination constraints on terrestrial services under Articles</w:t>
      </w:r>
      <w:r w:rsidRPr="002D16F4">
        <w:rPr>
          <w:b/>
          <w:bCs/>
          <w:sz w:val="24"/>
        </w:rPr>
        <w:t> 9</w:t>
      </w:r>
      <w:r w:rsidRPr="002D16F4">
        <w:rPr>
          <w:sz w:val="24"/>
        </w:rPr>
        <w:t xml:space="preserve"> and </w:t>
      </w:r>
      <w:r w:rsidRPr="002D16F4">
        <w:rPr>
          <w:b/>
          <w:bCs/>
          <w:sz w:val="24"/>
        </w:rPr>
        <w:t>11</w:t>
      </w:r>
      <w:r w:rsidRPr="002D16F4">
        <w:rPr>
          <w:sz w:val="24"/>
        </w:rPr>
        <w:t>;</w:t>
      </w:r>
    </w:p>
    <w:p w14:paraId="562829E0" w14:textId="77777777" w:rsidR="00F53717" w:rsidRPr="002D16F4" w:rsidRDefault="00F53717" w:rsidP="00F53717">
      <w:pPr>
        <w:tabs>
          <w:tab w:val="left" w:pos="1134"/>
          <w:tab w:val="left" w:pos="1871"/>
          <w:tab w:val="left" w:pos="2268"/>
        </w:tabs>
        <w:overflowPunct w:val="0"/>
        <w:autoSpaceDE w:val="0"/>
        <w:autoSpaceDN w:val="0"/>
        <w:adjustRightInd w:val="0"/>
        <w:spacing w:before="120"/>
        <w:textAlignment w:val="baseline"/>
        <w:rPr>
          <w:sz w:val="24"/>
        </w:rPr>
      </w:pPr>
      <w:r w:rsidRPr="002D16F4">
        <w:rPr>
          <w:sz w:val="24"/>
        </w:rPr>
        <w:t>11</w:t>
      </w:r>
      <w:r w:rsidRPr="002D16F4">
        <w:rPr>
          <w:sz w:val="24"/>
        </w:rPr>
        <w:tab/>
        <w:t>that earth stations on board UA shall be designed and operated so as to be able to accept the interference caused by terrestrial services operating in conformity with the Radio Regulations</w:t>
      </w:r>
      <w:r w:rsidRPr="002D16F4">
        <w:rPr>
          <w:i/>
          <w:sz w:val="24"/>
        </w:rPr>
        <w:t xml:space="preserve"> </w:t>
      </w:r>
      <w:r w:rsidRPr="002D16F4">
        <w:rPr>
          <w:sz w:val="24"/>
        </w:rPr>
        <w:t xml:space="preserve">in the frequency bands listed in </w:t>
      </w:r>
      <w:r w:rsidRPr="002D16F4">
        <w:rPr>
          <w:i/>
          <w:sz w:val="24"/>
        </w:rPr>
        <w:t>resolves </w:t>
      </w:r>
      <w:r w:rsidRPr="002D16F4">
        <w:rPr>
          <w:sz w:val="24"/>
        </w:rPr>
        <w:t>1</w:t>
      </w:r>
      <w:r w:rsidRPr="002D16F4">
        <w:rPr>
          <w:i/>
          <w:sz w:val="24"/>
        </w:rPr>
        <w:t xml:space="preserve"> </w:t>
      </w:r>
      <w:r w:rsidRPr="002D16F4">
        <w:rPr>
          <w:sz w:val="24"/>
        </w:rPr>
        <w:t>without complaints under Article </w:t>
      </w:r>
      <w:r w:rsidRPr="002D16F4">
        <w:rPr>
          <w:b/>
          <w:bCs/>
          <w:sz w:val="24"/>
        </w:rPr>
        <w:t>15</w:t>
      </w:r>
      <w:r w:rsidRPr="002D16F4">
        <w:rPr>
          <w:sz w:val="24"/>
        </w:rPr>
        <w:t>;</w:t>
      </w:r>
    </w:p>
    <w:p w14:paraId="5DDB5515" w14:textId="77777777" w:rsidR="00F53717" w:rsidRPr="002D16F4" w:rsidRDefault="00F53717" w:rsidP="00F53717">
      <w:pPr>
        <w:tabs>
          <w:tab w:val="left" w:pos="1134"/>
          <w:tab w:val="left" w:pos="1871"/>
          <w:tab w:val="left" w:pos="2268"/>
        </w:tabs>
        <w:overflowPunct w:val="0"/>
        <w:autoSpaceDE w:val="0"/>
        <w:autoSpaceDN w:val="0"/>
        <w:adjustRightInd w:val="0"/>
        <w:spacing w:before="120"/>
        <w:textAlignment w:val="baseline"/>
        <w:rPr>
          <w:sz w:val="24"/>
        </w:rPr>
      </w:pPr>
      <w:r w:rsidRPr="002D16F4">
        <w:rPr>
          <w:sz w:val="24"/>
        </w:rPr>
        <w:t>12</w:t>
      </w:r>
      <w:r w:rsidRPr="002D16F4">
        <w:rPr>
          <w:sz w:val="24"/>
        </w:rPr>
        <w:tab/>
        <w:t>that earth stations on board UA shall be designed and operated so as to be able to operate with interference caused by other satellite networks resulting from application of Articles </w:t>
      </w:r>
      <w:r w:rsidRPr="002D16F4">
        <w:rPr>
          <w:b/>
          <w:bCs/>
          <w:sz w:val="24"/>
        </w:rPr>
        <w:t>9</w:t>
      </w:r>
      <w:r w:rsidRPr="002D16F4">
        <w:rPr>
          <w:sz w:val="24"/>
        </w:rPr>
        <w:t xml:space="preserve"> and </w:t>
      </w:r>
      <w:r w:rsidRPr="002D16F4">
        <w:rPr>
          <w:b/>
          <w:bCs/>
          <w:sz w:val="24"/>
        </w:rPr>
        <w:t>11</w:t>
      </w:r>
      <w:r w:rsidRPr="002D16F4">
        <w:rPr>
          <w:sz w:val="24"/>
        </w:rPr>
        <w:t>;</w:t>
      </w:r>
    </w:p>
    <w:p w14:paraId="425BF73F" w14:textId="77777777" w:rsidR="00F53717" w:rsidRPr="002D16F4" w:rsidRDefault="00F53717" w:rsidP="00F53717">
      <w:pPr>
        <w:keepNext/>
        <w:tabs>
          <w:tab w:val="left" w:pos="1134"/>
          <w:tab w:val="left" w:pos="1871"/>
          <w:tab w:val="left" w:pos="2268"/>
        </w:tabs>
        <w:overflowPunct w:val="0"/>
        <w:autoSpaceDE w:val="0"/>
        <w:autoSpaceDN w:val="0"/>
        <w:adjustRightInd w:val="0"/>
        <w:spacing w:before="120"/>
        <w:textAlignment w:val="baseline"/>
        <w:rPr>
          <w:sz w:val="24"/>
        </w:rPr>
      </w:pPr>
      <w:r w:rsidRPr="002D16F4">
        <w:rPr>
          <w:sz w:val="24"/>
        </w:rPr>
        <w:t>13</w:t>
      </w:r>
      <w:r w:rsidRPr="002D16F4">
        <w:rPr>
          <w:sz w:val="24"/>
        </w:rPr>
        <w:tab/>
        <w:t xml:space="preserve">that, in </w:t>
      </w:r>
      <w:r w:rsidRPr="002D16F4">
        <w:rPr>
          <w:sz w:val="24"/>
          <w:szCs w:val="24"/>
        </w:rPr>
        <w:t>order to ensure safety</w:t>
      </w:r>
      <w:r w:rsidRPr="002D16F4">
        <w:rPr>
          <w:sz w:val="24"/>
        </w:rPr>
        <w:t>-of-</w:t>
      </w:r>
      <w:r w:rsidRPr="002D16F4">
        <w:rPr>
          <w:sz w:val="24"/>
          <w:szCs w:val="24"/>
        </w:rPr>
        <w:t>flight operation of UAS</w:t>
      </w:r>
      <w:r w:rsidRPr="002D16F4">
        <w:rPr>
          <w:sz w:val="24"/>
        </w:rPr>
        <w:t>, administrations</w:t>
      </w:r>
      <w:r w:rsidRPr="002D16F4">
        <w:rPr>
          <w:sz w:val="24"/>
          <w:szCs w:val="24"/>
        </w:rPr>
        <w:t xml:space="preserve"> responsible for</w:t>
      </w:r>
      <w:r w:rsidRPr="002D16F4">
        <w:rPr>
          <w:sz w:val="24"/>
        </w:rPr>
        <w:t xml:space="preserve"> operating UAS CNPC links shall:</w:t>
      </w:r>
    </w:p>
    <w:p w14:paraId="5D2905F3" w14:textId="77777777" w:rsidR="00F53717" w:rsidRPr="002D16F4" w:rsidRDefault="00F53717" w:rsidP="00F53717">
      <w:pPr>
        <w:tabs>
          <w:tab w:val="left" w:pos="1134"/>
          <w:tab w:val="left" w:pos="1871"/>
          <w:tab w:val="left" w:pos="2608"/>
          <w:tab w:val="left" w:pos="3345"/>
        </w:tabs>
        <w:overflowPunct w:val="0"/>
        <w:autoSpaceDE w:val="0"/>
        <w:autoSpaceDN w:val="0"/>
        <w:adjustRightInd w:val="0"/>
        <w:spacing w:before="80"/>
        <w:ind w:left="1134" w:hanging="1134"/>
        <w:textAlignment w:val="baseline"/>
        <w:rPr>
          <w:sz w:val="24"/>
        </w:rPr>
      </w:pPr>
      <w:r w:rsidRPr="002D16F4">
        <w:rPr>
          <w:sz w:val="24"/>
        </w:rPr>
        <w:t>–</w:t>
      </w:r>
      <w:r w:rsidRPr="002D16F4">
        <w:rPr>
          <w:sz w:val="24"/>
        </w:rPr>
        <w:tab/>
        <w:t>ensure that the use of UAS CNPC links be in accordance with the international standards and recommended practices (SARPs) consistent with Article 37 of the Convention on International Civil Aviation;</w:t>
      </w:r>
    </w:p>
    <w:p w14:paraId="09D621DC" w14:textId="77777777" w:rsidR="00F53717" w:rsidRPr="002D16F4" w:rsidRDefault="00F53717" w:rsidP="00F53717">
      <w:pPr>
        <w:tabs>
          <w:tab w:val="left" w:pos="1134"/>
          <w:tab w:val="left" w:pos="1871"/>
          <w:tab w:val="left" w:pos="2608"/>
          <w:tab w:val="left" w:pos="3345"/>
        </w:tabs>
        <w:overflowPunct w:val="0"/>
        <w:autoSpaceDE w:val="0"/>
        <w:autoSpaceDN w:val="0"/>
        <w:adjustRightInd w:val="0"/>
        <w:spacing w:before="80"/>
        <w:ind w:left="1134" w:hanging="1134"/>
        <w:textAlignment w:val="baseline"/>
        <w:rPr>
          <w:sz w:val="24"/>
        </w:rPr>
      </w:pPr>
      <w:r w:rsidRPr="002D16F4">
        <w:rPr>
          <w:sz w:val="24"/>
          <w:lang w:eastAsia="zh-CN"/>
        </w:rPr>
        <w:t>–</w:t>
      </w:r>
      <w:r w:rsidRPr="002D16F4">
        <w:rPr>
          <w:sz w:val="24"/>
          <w:lang w:eastAsia="zh-CN"/>
        </w:rPr>
        <w:tab/>
        <w:t>take the required measures, consistent with No. </w:t>
      </w:r>
      <w:r w:rsidRPr="002D16F4">
        <w:rPr>
          <w:b/>
          <w:bCs/>
          <w:sz w:val="24"/>
          <w:lang w:eastAsia="zh-CN"/>
        </w:rPr>
        <w:t>4.10</w:t>
      </w:r>
      <w:r w:rsidRPr="002D16F4">
        <w:rPr>
          <w:sz w:val="24"/>
          <w:lang w:eastAsia="zh-CN"/>
        </w:rPr>
        <w:t>, to ensure freedom from harmful interference to earth stations on board UA operated in accordance with this resolution</w:t>
      </w:r>
      <w:r w:rsidRPr="002D16F4">
        <w:rPr>
          <w:sz w:val="24"/>
        </w:rPr>
        <w:t>;</w:t>
      </w:r>
    </w:p>
    <w:p w14:paraId="76DD9B95" w14:textId="77777777" w:rsidR="00F53717" w:rsidRPr="002D16F4" w:rsidRDefault="00F53717" w:rsidP="00F53717">
      <w:pPr>
        <w:tabs>
          <w:tab w:val="left" w:pos="1134"/>
          <w:tab w:val="left" w:pos="1871"/>
          <w:tab w:val="left" w:pos="2608"/>
          <w:tab w:val="left" w:pos="3345"/>
        </w:tabs>
        <w:overflowPunct w:val="0"/>
        <w:autoSpaceDE w:val="0"/>
        <w:autoSpaceDN w:val="0"/>
        <w:adjustRightInd w:val="0"/>
        <w:spacing w:before="80"/>
        <w:ind w:left="1134" w:hanging="1134"/>
        <w:textAlignment w:val="baseline"/>
        <w:rPr>
          <w:sz w:val="24"/>
        </w:rPr>
      </w:pPr>
      <w:r w:rsidRPr="002D16F4">
        <w:rPr>
          <w:sz w:val="24"/>
          <w:lang w:eastAsia="zh-CN"/>
        </w:rPr>
        <w:t>–</w:t>
      </w:r>
      <w:r w:rsidRPr="002D16F4">
        <w:rPr>
          <w:sz w:val="24"/>
          <w:lang w:eastAsia="zh-CN"/>
        </w:rPr>
        <w:tab/>
        <w:t xml:space="preserve">act immediately when their attention is drawn to any such harmful interference, as </w:t>
      </w:r>
      <w:r w:rsidRPr="002D16F4">
        <w:rPr>
          <w:sz w:val="24"/>
        </w:rPr>
        <w:t xml:space="preserve">freedom from harmful interference to UAS CNPC links is imperative to ensure their safe operation, taking into account </w:t>
      </w:r>
      <w:r w:rsidRPr="002D16F4">
        <w:rPr>
          <w:i/>
          <w:iCs/>
          <w:sz w:val="24"/>
        </w:rPr>
        <w:t>resolves</w:t>
      </w:r>
      <w:r w:rsidRPr="002D16F4">
        <w:rPr>
          <w:sz w:val="24"/>
        </w:rPr>
        <w:t> 11;</w:t>
      </w:r>
    </w:p>
    <w:p w14:paraId="2EA698D8" w14:textId="77777777" w:rsidR="00F53717" w:rsidRPr="002D16F4" w:rsidRDefault="00F53717" w:rsidP="00F53717">
      <w:pPr>
        <w:tabs>
          <w:tab w:val="left" w:pos="1134"/>
          <w:tab w:val="left" w:pos="1871"/>
          <w:tab w:val="left" w:pos="2608"/>
          <w:tab w:val="left" w:pos="3345"/>
        </w:tabs>
        <w:overflowPunct w:val="0"/>
        <w:autoSpaceDE w:val="0"/>
        <w:autoSpaceDN w:val="0"/>
        <w:adjustRightInd w:val="0"/>
        <w:spacing w:before="80"/>
        <w:ind w:left="1134" w:hanging="1134"/>
        <w:textAlignment w:val="baseline"/>
        <w:rPr>
          <w:sz w:val="24"/>
        </w:rPr>
      </w:pPr>
      <w:r w:rsidRPr="002D16F4">
        <w:rPr>
          <w:sz w:val="24"/>
          <w:lang w:eastAsia="zh-CN"/>
        </w:rPr>
        <w:t>–</w:t>
      </w:r>
      <w:r w:rsidRPr="002D16F4">
        <w:rPr>
          <w:sz w:val="24"/>
          <w:lang w:eastAsia="zh-CN"/>
        </w:rPr>
        <w:tab/>
        <w:t xml:space="preserve">use assignments associated with the FSS networks for UAS CNPC links (see Figure 1 in Annex 1), including assignments to space stations, specific or typical earth stations and earth stations on board UA (see </w:t>
      </w:r>
      <w:r w:rsidRPr="002D16F4">
        <w:rPr>
          <w:i/>
          <w:sz w:val="24"/>
          <w:lang w:eastAsia="zh-CN"/>
        </w:rPr>
        <w:t>resolves</w:t>
      </w:r>
      <w:r w:rsidRPr="002D16F4">
        <w:rPr>
          <w:sz w:val="24"/>
          <w:lang w:eastAsia="zh-CN"/>
        </w:rPr>
        <w:t> 2), that have been successfully coordinated under Article </w:t>
      </w:r>
      <w:r w:rsidRPr="002D16F4">
        <w:rPr>
          <w:b/>
          <w:bCs/>
          <w:sz w:val="24"/>
          <w:lang w:eastAsia="zh-CN"/>
        </w:rPr>
        <w:t>9</w:t>
      </w:r>
      <w:r w:rsidRPr="002D16F4">
        <w:rPr>
          <w:sz w:val="24"/>
          <w:lang w:eastAsia="zh-CN"/>
        </w:rPr>
        <w:t xml:space="preserve"> (including provisions identified in </w:t>
      </w:r>
      <w:r w:rsidRPr="002D16F4">
        <w:rPr>
          <w:i/>
          <w:sz w:val="24"/>
          <w:lang w:eastAsia="zh-CN"/>
        </w:rPr>
        <w:t>resolves</w:t>
      </w:r>
      <w:r w:rsidRPr="002D16F4">
        <w:rPr>
          <w:sz w:val="24"/>
          <w:lang w:eastAsia="zh-CN"/>
        </w:rPr>
        <w:t> 4) and recorded in the Master International Frequency Register (MIFR) with a favourable finding under Article </w:t>
      </w:r>
      <w:r w:rsidRPr="002D16F4">
        <w:rPr>
          <w:b/>
          <w:bCs/>
          <w:sz w:val="24"/>
        </w:rPr>
        <w:t>11</w:t>
      </w:r>
      <w:r w:rsidRPr="002D16F4">
        <w:rPr>
          <w:sz w:val="24"/>
          <w:lang w:eastAsia="zh-CN"/>
        </w:rPr>
        <w:t>, including Nos. </w:t>
      </w:r>
      <w:r w:rsidRPr="002D16F4">
        <w:rPr>
          <w:b/>
          <w:bCs/>
          <w:sz w:val="24"/>
          <w:lang w:eastAsia="zh-CN"/>
        </w:rPr>
        <w:t>11.31</w:t>
      </w:r>
      <w:r w:rsidRPr="002D16F4">
        <w:rPr>
          <w:sz w:val="24"/>
          <w:lang w:eastAsia="zh-CN"/>
        </w:rPr>
        <w:t xml:space="preserve">, </w:t>
      </w:r>
      <w:r w:rsidRPr="002D16F4">
        <w:rPr>
          <w:b/>
          <w:bCs/>
          <w:sz w:val="24"/>
          <w:lang w:eastAsia="zh-CN"/>
        </w:rPr>
        <w:t xml:space="preserve">11.32 </w:t>
      </w:r>
      <w:r w:rsidRPr="002D16F4">
        <w:rPr>
          <w:sz w:val="24"/>
          <w:lang w:eastAsia="zh-CN"/>
        </w:rPr>
        <w:t xml:space="preserve">or </w:t>
      </w:r>
      <w:r w:rsidRPr="002D16F4">
        <w:rPr>
          <w:b/>
          <w:bCs/>
          <w:sz w:val="24"/>
          <w:lang w:eastAsia="zh-CN"/>
        </w:rPr>
        <w:t xml:space="preserve">11.32A </w:t>
      </w:r>
      <w:r w:rsidRPr="002D16F4">
        <w:rPr>
          <w:sz w:val="24"/>
          <w:lang w:eastAsia="zh-CN"/>
        </w:rPr>
        <w:t>where applicable, and except those assignments that have not successfully completed coordination procedures under No. </w:t>
      </w:r>
      <w:r w:rsidRPr="002D16F4">
        <w:rPr>
          <w:b/>
          <w:bCs/>
          <w:sz w:val="24"/>
          <w:lang w:eastAsia="zh-CN"/>
        </w:rPr>
        <w:t>11.32</w:t>
      </w:r>
      <w:r w:rsidRPr="002D16F4">
        <w:rPr>
          <w:sz w:val="24"/>
          <w:lang w:eastAsia="zh-CN"/>
        </w:rPr>
        <w:t xml:space="preserve"> by applying Appendix </w:t>
      </w:r>
      <w:r w:rsidRPr="002D16F4">
        <w:rPr>
          <w:b/>
          <w:bCs/>
          <w:sz w:val="24"/>
          <w:lang w:eastAsia="zh-CN"/>
        </w:rPr>
        <w:t>5</w:t>
      </w:r>
      <w:r w:rsidRPr="002D16F4">
        <w:rPr>
          <w:sz w:val="24"/>
          <w:lang w:eastAsia="zh-CN"/>
        </w:rPr>
        <w:t xml:space="preserve"> § 6.d.i</w:t>
      </w:r>
      <w:r w:rsidRPr="002D16F4">
        <w:rPr>
          <w:sz w:val="24"/>
        </w:rPr>
        <w:t>;</w:t>
      </w:r>
    </w:p>
    <w:p w14:paraId="484257BB" w14:textId="77777777" w:rsidR="00F53717" w:rsidRPr="002D16F4" w:rsidRDefault="00F53717" w:rsidP="00F53717">
      <w:pPr>
        <w:tabs>
          <w:tab w:val="left" w:pos="1134"/>
          <w:tab w:val="left" w:pos="1871"/>
          <w:tab w:val="left" w:pos="2608"/>
          <w:tab w:val="left" w:pos="3345"/>
        </w:tabs>
        <w:overflowPunct w:val="0"/>
        <w:autoSpaceDE w:val="0"/>
        <w:autoSpaceDN w:val="0"/>
        <w:adjustRightInd w:val="0"/>
        <w:spacing w:before="80"/>
        <w:ind w:left="1134" w:hanging="1134"/>
        <w:textAlignment w:val="baseline"/>
        <w:rPr>
          <w:sz w:val="24"/>
        </w:rPr>
      </w:pPr>
      <w:r w:rsidRPr="002D16F4">
        <w:rPr>
          <w:sz w:val="24"/>
          <w:lang w:eastAsia="zh-CN"/>
        </w:rPr>
        <w:t>–</w:t>
      </w:r>
      <w:r w:rsidRPr="002D16F4">
        <w:rPr>
          <w:sz w:val="24"/>
          <w:lang w:eastAsia="zh-CN"/>
        </w:rPr>
        <w:tab/>
        <w:t>ensure that real-time interference monitoring, estimation and prediction of interference risks and planning solutions for potential interference scenarios are addressed by FSS operators and UAS operators with guidance from aviation authorities;</w:t>
      </w:r>
    </w:p>
    <w:p w14:paraId="342C82CA" w14:textId="77777777" w:rsidR="00F53717" w:rsidRPr="002D16F4" w:rsidRDefault="00F53717" w:rsidP="00F53717">
      <w:pPr>
        <w:tabs>
          <w:tab w:val="left" w:pos="1134"/>
          <w:tab w:val="left" w:pos="1871"/>
          <w:tab w:val="left" w:pos="2268"/>
        </w:tabs>
        <w:overflowPunct w:val="0"/>
        <w:autoSpaceDE w:val="0"/>
        <w:autoSpaceDN w:val="0"/>
        <w:adjustRightInd w:val="0"/>
        <w:spacing w:before="120"/>
        <w:textAlignment w:val="baseline"/>
        <w:rPr>
          <w:sz w:val="24"/>
        </w:rPr>
      </w:pPr>
      <w:r w:rsidRPr="002D16F4">
        <w:rPr>
          <w:bCs/>
          <w:sz w:val="24"/>
        </w:rPr>
        <w:lastRenderedPageBreak/>
        <w:t>14</w:t>
      </w:r>
      <w:r w:rsidRPr="002D16F4">
        <w:rPr>
          <w:bCs/>
          <w:sz w:val="24"/>
        </w:rPr>
        <w:tab/>
        <w:t xml:space="preserve">that, </w:t>
      </w:r>
      <w:r w:rsidRPr="002D16F4">
        <w:rPr>
          <w:sz w:val="24"/>
        </w:rPr>
        <w:t>unless otherwise agreed between the administrations concerned,</w:t>
      </w:r>
      <w:r w:rsidRPr="002D16F4">
        <w:rPr>
          <w:bCs/>
          <w:sz w:val="24"/>
        </w:rPr>
        <w:t xml:space="preserve"> UA CNPC earth stations shall not cause harmful interference to terrestrial services of other administrations (see also Annex 2); </w:t>
      </w:r>
    </w:p>
    <w:p w14:paraId="2AA261C4" w14:textId="77777777" w:rsidR="00F53717" w:rsidRPr="002D16F4" w:rsidRDefault="00F53717" w:rsidP="00F53717">
      <w:pPr>
        <w:tabs>
          <w:tab w:val="left" w:pos="1134"/>
          <w:tab w:val="left" w:pos="1871"/>
          <w:tab w:val="left" w:pos="2268"/>
        </w:tabs>
        <w:overflowPunct w:val="0"/>
        <w:autoSpaceDE w:val="0"/>
        <w:autoSpaceDN w:val="0"/>
        <w:adjustRightInd w:val="0"/>
        <w:spacing w:before="120"/>
        <w:textAlignment w:val="baseline"/>
        <w:rPr>
          <w:sz w:val="24"/>
        </w:rPr>
      </w:pPr>
      <w:r w:rsidRPr="002D16F4">
        <w:rPr>
          <w:sz w:val="24"/>
        </w:rPr>
        <w:t>15</w:t>
      </w:r>
      <w:r w:rsidRPr="002D16F4">
        <w:rPr>
          <w:sz w:val="24"/>
        </w:rPr>
        <w:tab/>
        <w:t xml:space="preserve">that, in order to implement </w:t>
      </w:r>
      <w:r w:rsidRPr="002D16F4">
        <w:rPr>
          <w:i/>
          <w:sz w:val="24"/>
        </w:rPr>
        <w:t>resolves</w:t>
      </w:r>
      <w:r w:rsidRPr="002D16F4">
        <w:rPr>
          <w:sz w:val="24"/>
        </w:rPr>
        <w:t> 14 above, power flux-density hard limits need to be developed for UAS CNPC links; one possible example of such provisional limits to protect the fixed service is provided in Annex 2; subject to agreement between the administrations concerned, that annex may be used for the implementation of this resolution;</w:t>
      </w:r>
    </w:p>
    <w:p w14:paraId="328D62A3" w14:textId="77777777" w:rsidR="00F53717" w:rsidRPr="002D16F4" w:rsidRDefault="00F53717" w:rsidP="00F53717">
      <w:pPr>
        <w:tabs>
          <w:tab w:val="left" w:pos="1134"/>
          <w:tab w:val="left" w:pos="1871"/>
          <w:tab w:val="left" w:pos="2268"/>
        </w:tabs>
        <w:overflowPunct w:val="0"/>
        <w:autoSpaceDE w:val="0"/>
        <w:autoSpaceDN w:val="0"/>
        <w:adjustRightInd w:val="0"/>
        <w:spacing w:before="120"/>
        <w:textAlignment w:val="baseline"/>
        <w:rPr>
          <w:sz w:val="24"/>
        </w:rPr>
      </w:pPr>
      <w:r w:rsidRPr="002D16F4">
        <w:rPr>
          <w:sz w:val="24"/>
        </w:rPr>
        <w:t>16</w:t>
      </w:r>
      <w:r w:rsidRPr="002D16F4">
        <w:rPr>
          <w:sz w:val="24"/>
        </w:rPr>
        <w:tab/>
        <w:t>that the power flux-density hard limits provided in Annex 2 shall be reviewed and, if necessary, revised by the next conference;</w:t>
      </w:r>
    </w:p>
    <w:p w14:paraId="750DD729" w14:textId="77777777" w:rsidR="00F53717" w:rsidRPr="002D16F4" w:rsidRDefault="00F53717" w:rsidP="00F53717">
      <w:pPr>
        <w:tabs>
          <w:tab w:val="left" w:pos="1134"/>
          <w:tab w:val="left" w:pos="1871"/>
          <w:tab w:val="left" w:pos="2268"/>
        </w:tabs>
        <w:overflowPunct w:val="0"/>
        <w:autoSpaceDE w:val="0"/>
        <w:autoSpaceDN w:val="0"/>
        <w:adjustRightInd w:val="0"/>
        <w:spacing w:before="120"/>
        <w:textAlignment w:val="baseline"/>
        <w:rPr>
          <w:i/>
          <w:sz w:val="24"/>
        </w:rPr>
      </w:pPr>
      <w:r w:rsidRPr="002D16F4">
        <w:rPr>
          <w:sz w:val="24"/>
        </w:rPr>
        <w:t>17</w:t>
      </w:r>
      <w:r w:rsidRPr="002D16F4">
        <w:rPr>
          <w:sz w:val="24"/>
        </w:rPr>
        <w:tab/>
        <w:t>that, in order to protect the radio astronomy service in the frequency band 14.47-14.5 GHz, administrations operating UAS in accordance with this resolution in the frequency band 14-14.47 GHz within line-of-sight of radio astronomy stations are urged to take all practicable steps to ensure that the emissions from the UA in the frequency band 14.47-14.5 GHz do not exceed the levels and percentage of data loss given in the most recent versions of Recommendations ITU</w:t>
      </w:r>
      <w:r w:rsidRPr="002D16F4">
        <w:rPr>
          <w:sz w:val="24"/>
        </w:rPr>
        <w:noBreakHyphen/>
        <w:t>R RA.769 and ITU</w:t>
      </w:r>
      <w:r w:rsidRPr="002D16F4">
        <w:rPr>
          <w:sz w:val="24"/>
        </w:rPr>
        <w:noBreakHyphen/>
        <w:t>R RA.1513;</w:t>
      </w:r>
    </w:p>
    <w:p w14:paraId="2F0438D5" w14:textId="77777777" w:rsidR="00F53717" w:rsidRPr="002D16F4" w:rsidRDefault="00F53717" w:rsidP="00F53717">
      <w:pPr>
        <w:tabs>
          <w:tab w:val="left" w:pos="1134"/>
          <w:tab w:val="left" w:pos="1871"/>
          <w:tab w:val="left" w:pos="2268"/>
        </w:tabs>
        <w:overflowPunct w:val="0"/>
        <w:autoSpaceDE w:val="0"/>
        <w:autoSpaceDN w:val="0"/>
        <w:adjustRightInd w:val="0"/>
        <w:spacing w:before="120"/>
        <w:textAlignment w:val="baseline"/>
        <w:rPr>
          <w:sz w:val="24"/>
        </w:rPr>
      </w:pPr>
      <w:r w:rsidRPr="002D16F4">
        <w:rPr>
          <w:sz w:val="24"/>
        </w:rPr>
        <w:t>18</w:t>
      </w:r>
      <w:r w:rsidRPr="002D16F4">
        <w:rPr>
          <w:sz w:val="24"/>
        </w:rPr>
        <w:tab/>
        <w:t>to consider the progress obtained by ICAO in the process of preparation of SARPs for UAS CNPC links, to review this resolution at WRC</w:t>
      </w:r>
      <w:r w:rsidRPr="002D16F4">
        <w:rPr>
          <w:sz w:val="24"/>
        </w:rPr>
        <w:noBreakHyphen/>
        <w:t>23, taking into account the results of the implementation of Resolution </w:t>
      </w:r>
      <w:r w:rsidRPr="002D16F4">
        <w:rPr>
          <w:b/>
          <w:sz w:val="24"/>
        </w:rPr>
        <w:t>COM5/2 (WRC</w:t>
      </w:r>
      <w:r w:rsidRPr="002D16F4">
        <w:rPr>
          <w:b/>
          <w:sz w:val="24"/>
        </w:rPr>
        <w:noBreakHyphen/>
        <w:t>15)</w:t>
      </w:r>
      <w:r w:rsidRPr="002D16F4">
        <w:rPr>
          <w:bCs/>
          <w:sz w:val="24"/>
        </w:rPr>
        <w:t>,</w:t>
      </w:r>
      <w:r w:rsidRPr="002D16F4">
        <w:rPr>
          <w:sz w:val="24"/>
        </w:rPr>
        <w:t xml:space="preserve"> and to take necessary actions as appropriate;</w:t>
      </w:r>
    </w:p>
    <w:p w14:paraId="5004FD73" w14:textId="77777777" w:rsidR="00F53717" w:rsidRPr="002D16F4" w:rsidRDefault="00F53717" w:rsidP="00F53717">
      <w:pPr>
        <w:tabs>
          <w:tab w:val="left" w:pos="1134"/>
          <w:tab w:val="left" w:pos="1871"/>
          <w:tab w:val="left" w:pos="2268"/>
        </w:tabs>
        <w:overflowPunct w:val="0"/>
        <w:autoSpaceDE w:val="0"/>
        <w:autoSpaceDN w:val="0"/>
        <w:adjustRightInd w:val="0"/>
        <w:spacing w:before="120"/>
        <w:textAlignment w:val="baseline"/>
        <w:rPr>
          <w:sz w:val="24"/>
        </w:rPr>
      </w:pPr>
      <w:r w:rsidRPr="002D16F4">
        <w:rPr>
          <w:sz w:val="24"/>
        </w:rPr>
        <w:t>19</w:t>
      </w:r>
      <w:r w:rsidRPr="002D16F4">
        <w:rPr>
          <w:sz w:val="24"/>
        </w:rPr>
        <w:tab/>
        <w:t>that ITU Radiocommunication Sector (ITU</w:t>
      </w:r>
      <w:r w:rsidRPr="002D16F4">
        <w:rPr>
          <w:sz w:val="24"/>
        </w:rPr>
        <w:noBreakHyphen/>
        <w:t>R) studies on technical, operational and regulatory aspects in relation to the implementation of this resolution shall be completed, together with the adoption of relevant ITU</w:t>
      </w:r>
      <w:r w:rsidRPr="002D16F4">
        <w:rPr>
          <w:sz w:val="24"/>
        </w:rPr>
        <w:noBreakHyphen/>
        <w:t>R Recommendations defining the technical characteristics of CNPC links and conditions of sharing with other services,</w:t>
      </w:r>
    </w:p>
    <w:p w14:paraId="6A7BF5D9" w14:textId="77777777" w:rsidR="00F53717" w:rsidRPr="002D16F4" w:rsidRDefault="00F53717" w:rsidP="00F53717">
      <w:pPr>
        <w:keepNext/>
        <w:keepLines/>
        <w:tabs>
          <w:tab w:val="left" w:pos="1134"/>
          <w:tab w:val="left" w:pos="1871"/>
          <w:tab w:val="left" w:pos="2268"/>
        </w:tabs>
        <w:overflowPunct w:val="0"/>
        <w:autoSpaceDE w:val="0"/>
        <w:autoSpaceDN w:val="0"/>
        <w:adjustRightInd w:val="0"/>
        <w:spacing w:before="160"/>
        <w:ind w:left="1134"/>
        <w:textAlignment w:val="baseline"/>
        <w:rPr>
          <w:i/>
          <w:sz w:val="24"/>
        </w:rPr>
      </w:pPr>
      <w:r w:rsidRPr="002D16F4">
        <w:rPr>
          <w:i/>
          <w:sz w:val="24"/>
        </w:rPr>
        <w:t>resolves to encourage administrations</w:t>
      </w:r>
    </w:p>
    <w:p w14:paraId="30937434" w14:textId="77777777" w:rsidR="00F53717" w:rsidRPr="002D16F4" w:rsidRDefault="00F53717" w:rsidP="00F53717">
      <w:pPr>
        <w:tabs>
          <w:tab w:val="left" w:pos="1134"/>
          <w:tab w:val="left" w:pos="1871"/>
          <w:tab w:val="left" w:pos="2268"/>
        </w:tabs>
        <w:overflowPunct w:val="0"/>
        <w:autoSpaceDE w:val="0"/>
        <w:autoSpaceDN w:val="0"/>
        <w:adjustRightInd w:val="0"/>
        <w:spacing w:before="120"/>
        <w:textAlignment w:val="baseline"/>
        <w:rPr>
          <w:sz w:val="24"/>
        </w:rPr>
      </w:pPr>
      <w:r w:rsidRPr="002D16F4">
        <w:rPr>
          <w:sz w:val="24"/>
        </w:rPr>
        <w:t>1</w:t>
      </w:r>
      <w:r w:rsidRPr="002D16F4">
        <w:rPr>
          <w:sz w:val="24"/>
        </w:rPr>
        <w:tab/>
        <w:t xml:space="preserve">to provide the relevant information where available in order to facilitate the application of </w:t>
      </w:r>
      <w:r w:rsidRPr="002D16F4">
        <w:rPr>
          <w:i/>
          <w:sz w:val="24"/>
        </w:rPr>
        <w:t>resolves </w:t>
      </w:r>
      <w:r w:rsidRPr="002D16F4">
        <w:rPr>
          <w:sz w:val="24"/>
        </w:rPr>
        <w:t>6;</w:t>
      </w:r>
    </w:p>
    <w:p w14:paraId="23DDB7B9" w14:textId="77777777" w:rsidR="00F53717" w:rsidRPr="002D16F4" w:rsidRDefault="00F53717" w:rsidP="00F53717">
      <w:pPr>
        <w:tabs>
          <w:tab w:val="left" w:pos="1134"/>
          <w:tab w:val="left" w:pos="1871"/>
          <w:tab w:val="left" w:pos="2268"/>
        </w:tabs>
        <w:overflowPunct w:val="0"/>
        <w:autoSpaceDE w:val="0"/>
        <w:autoSpaceDN w:val="0"/>
        <w:adjustRightInd w:val="0"/>
        <w:spacing w:before="120"/>
        <w:textAlignment w:val="baseline"/>
        <w:rPr>
          <w:sz w:val="24"/>
        </w:rPr>
      </w:pPr>
      <w:r w:rsidRPr="002D16F4">
        <w:rPr>
          <w:sz w:val="24"/>
        </w:rPr>
        <w:t>2</w:t>
      </w:r>
      <w:r w:rsidRPr="002D16F4">
        <w:rPr>
          <w:sz w:val="24"/>
        </w:rPr>
        <w:tab/>
        <w:t xml:space="preserve">to participate actively in the studies referred to in </w:t>
      </w:r>
      <w:r w:rsidRPr="002D16F4">
        <w:rPr>
          <w:i/>
          <w:sz w:val="24"/>
        </w:rPr>
        <w:t>invites ITU</w:t>
      </w:r>
      <w:r w:rsidRPr="002D16F4">
        <w:rPr>
          <w:i/>
          <w:sz w:val="24"/>
        </w:rPr>
        <w:noBreakHyphen/>
        <w:t>R</w:t>
      </w:r>
      <w:r w:rsidRPr="002D16F4">
        <w:rPr>
          <w:sz w:val="24"/>
        </w:rPr>
        <w:t xml:space="preserve"> by submitting contributions to ITU</w:t>
      </w:r>
      <w:r w:rsidRPr="002D16F4">
        <w:rPr>
          <w:sz w:val="24"/>
        </w:rPr>
        <w:noBreakHyphen/>
        <w:t>R,</w:t>
      </w:r>
    </w:p>
    <w:p w14:paraId="0BDDFCF7" w14:textId="77777777" w:rsidR="00F53717" w:rsidRPr="002D16F4" w:rsidRDefault="00F53717" w:rsidP="00F53717">
      <w:pPr>
        <w:keepNext/>
        <w:keepLines/>
        <w:tabs>
          <w:tab w:val="left" w:pos="1134"/>
          <w:tab w:val="left" w:pos="1871"/>
          <w:tab w:val="left" w:pos="2268"/>
        </w:tabs>
        <w:overflowPunct w:val="0"/>
        <w:autoSpaceDE w:val="0"/>
        <w:autoSpaceDN w:val="0"/>
        <w:adjustRightInd w:val="0"/>
        <w:spacing w:before="160"/>
        <w:ind w:left="1134"/>
        <w:textAlignment w:val="baseline"/>
        <w:rPr>
          <w:i/>
          <w:sz w:val="24"/>
        </w:rPr>
      </w:pPr>
      <w:r w:rsidRPr="002D16F4">
        <w:rPr>
          <w:i/>
          <w:sz w:val="24"/>
        </w:rPr>
        <w:t>resolves further to invite the 2023 World Radiocommunication Conference</w:t>
      </w:r>
    </w:p>
    <w:p w14:paraId="5E3E5184" w14:textId="77777777" w:rsidR="00F53717" w:rsidRPr="002D16F4" w:rsidRDefault="00F53717" w:rsidP="00F53717">
      <w:pPr>
        <w:tabs>
          <w:tab w:val="left" w:pos="1134"/>
          <w:tab w:val="left" w:pos="1871"/>
          <w:tab w:val="left" w:pos="2268"/>
        </w:tabs>
        <w:overflowPunct w:val="0"/>
        <w:autoSpaceDE w:val="0"/>
        <w:autoSpaceDN w:val="0"/>
        <w:adjustRightInd w:val="0"/>
        <w:spacing w:before="120"/>
        <w:textAlignment w:val="baseline"/>
        <w:rPr>
          <w:sz w:val="24"/>
        </w:rPr>
      </w:pPr>
      <w:r w:rsidRPr="002D16F4">
        <w:rPr>
          <w:sz w:val="24"/>
        </w:rPr>
        <w:t>to consider the results of the above studies referred to in this resolution with a view to reviewing and, if necessary, revising this resolution, and take necessary actions, as appropriate,</w:t>
      </w:r>
    </w:p>
    <w:p w14:paraId="17CA213A" w14:textId="77777777" w:rsidR="00F53717" w:rsidRPr="002D16F4" w:rsidRDefault="00F53717" w:rsidP="00F53717">
      <w:pPr>
        <w:keepNext/>
        <w:keepLines/>
        <w:tabs>
          <w:tab w:val="left" w:pos="1134"/>
          <w:tab w:val="left" w:pos="1871"/>
          <w:tab w:val="left" w:pos="2268"/>
        </w:tabs>
        <w:overflowPunct w:val="0"/>
        <w:autoSpaceDE w:val="0"/>
        <w:autoSpaceDN w:val="0"/>
        <w:adjustRightInd w:val="0"/>
        <w:spacing w:before="160"/>
        <w:ind w:left="1134"/>
        <w:textAlignment w:val="baseline"/>
        <w:rPr>
          <w:i/>
          <w:sz w:val="24"/>
        </w:rPr>
      </w:pPr>
      <w:r w:rsidRPr="002D16F4">
        <w:rPr>
          <w:i/>
          <w:sz w:val="24"/>
        </w:rPr>
        <w:t>invites ITU</w:t>
      </w:r>
      <w:r w:rsidRPr="002D16F4">
        <w:rPr>
          <w:i/>
          <w:sz w:val="24"/>
        </w:rPr>
        <w:noBreakHyphen/>
        <w:t>R</w:t>
      </w:r>
    </w:p>
    <w:p w14:paraId="4069739B" w14:textId="77777777" w:rsidR="00F53717" w:rsidRPr="002D16F4" w:rsidRDefault="00F53717" w:rsidP="00F53717">
      <w:pPr>
        <w:tabs>
          <w:tab w:val="left" w:pos="1134"/>
          <w:tab w:val="left" w:pos="1871"/>
          <w:tab w:val="left" w:pos="2268"/>
        </w:tabs>
        <w:overflowPunct w:val="0"/>
        <w:autoSpaceDE w:val="0"/>
        <w:autoSpaceDN w:val="0"/>
        <w:adjustRightInd w:val="0"/>
        <w:spacing w:before="120"/>
        <w:textAlignment w:val="baseline"/>
        <w:rPr>
          <w:sz w:val="24"/>
        </w:rPr>
      </w:pPr>
      <w:r w:rsidRPr="002D16F4">
        <w:rPr>
          <w:sz w:val="24"/>
        </w:rPr>
        <w:t>to conduct, as a matter of urgency, relevant studies of technical, operational and regulatory aspects in relation to the implementation of this resolution,</w:t>
      </w:r>
    </w:p>
    <w:p w14:paraId="2884CA5E" w14:textId="77777777" w:rsidR="00F53717" w:rsidRPr="002D16F4" w:rsidRDefault="00F53717" w:rsidP="00F53717">
      <w:pPr>
        <w:keepNext/>
        <w:keepLines/>
        <w:tabs>
          <w:tab w:val="left" w:pos="1134"/>
          <w:tab w:val="left" w:pos="1871"/>
          <w:tab w:val="left" w:pos="2268"/>
        </w:tabs>
        <w:overflowPunct w:val="0"/>
        <w:autoSpaceDE w:val="0"/>
        <w:autoSpaceDN w:val="0"/>
        <w:adjustRightInd w:val="0"/>
        <w:spacing w:before="160"/>
        <w:ind w:left="1134"/>
        <w:textAlignment w:val="baseline"/>
        <w:rPr>
          <w:i/>
          <w:sz w:val="24"/>
        </w:rPr>
      </w:pPr>
      <w:r w:rsidRPr="002D16F4">
        <w:rPr>
          <w:i/>
          <w:sz w:val="24"/>
        </w:rPr>
        <w:t>instructs the Director of the Radiocommunication Bureau</w:t>
      </w:r>
    </w:p>
    <w:p w14:paraId="09542F73" w14:textId="77777777" w:rsidR="00F53717" w:rsidRPr="002D16F4" w:rsidRDefault="00F53717" w:rsidP="00F53717">
      <w:pPr>
        <w:tabs>
          <w:tab w:val="left" w:pos="1134"/>
          <w:tab w:val="left" w:pos="1871"/>
          <w:tab w:val="left" w:pos="2268"/>
        </w:tabs>
        <w:overflowPunct w:val="0"/>
        <w:autoSpaceDE w:val="0"/>
        <w:autoSpaceDN w:val="0"/>
        <w:adjustRightInd w:val="0"/>
        <w:spacing w:before="120"/>
        <w:textAlignment w:val="baseline"/>
        <w:rPr>
          <w:sz w:val="24"/>
        </w:rPr>
      </w:pPr>
      <w:r w:rsidRPr="002D16F4">
        <w:rPr>
          <w:sz w:val="24"/>
        </w:rPr>
        <w:t>1</w:t>
      </w:r>
      <w:r w:rsidRPr="002D16F4">
        <w:rPr>
          <w:sz w:val="24"/>
        </w:rPr>
        <w:tab/>
        <w:t>to examine the relevant part of this resolution requiring actions to be taken by administrations to implement this resolution, with a view to sending it to administrations and posting it on the ITU website;</w:t>
      </w:r>
    </w:p>
    <w:p w14:paraId="7DAD0433" w14:textId="77777777" w:rsidR="00F53717" w:rsidRPr="002D16F4" w:rsidRDefault="00F53717" w:rsidP="00F53717">
      <w:pPr>
        <w:tabs>
          <w:tab w:val="left" w:pos="1134"/>
          <w:tab w:val="left" w:pos="1871"/>
          <w:tab w:val="left" w:pos="2268"/>
        </w:tabs>
        <w:overflowPunct w:val="0"/>
        <w:autoSpaceDE w:val="0"/>
        <w:autoSpaceDN w:val="0"/>
        <w:adjustRightInd w:val="0"/>
        <w:spacing w:before="120"/>
        <w:textAlignment w:val="baseline"/>
        <w:rPr>
          <w:sz w:val="24"/>
        </w:rPr>
      </w:pPr>
      <w:r w:rsidRPr="002D16F4">
        <w:rPr>
          <w:sz w:val="24"/>
        </w:rPr>
        <w:lastRenderedPageBreak/>
        <w:t>2</w:t>
      </w:r>
      <w:r w:rsidRPr="002D16F4">
        <w:rPr>
          <w:sz w:val="24"/>
        </w:rPr>
        <w:tab/>
        <w:t>to present to subsequent WRCs a progress report relating to the implementation of this resolution;</w:t>
      </w:r>
    </w:p>
    <w:p w14:paraId="718705EC" w14:textId="77777777" w:rsidR="00F53717" w:rsidRPr="002D16F4" w:rsidRDefault="00F53717" w:rsidP="00F53717">
      <w:pPr>
        <w:tabs>
          <w:tab w:val="left" w:pos="1134"/>
          <w:tab w:val="left" w:pos="1871"/>
          <w:tab w:val="left" w:pos="2268"/>
        </w:tabs>
        <w:overflowPunct w:val="0"/>
        <w:autoSpaceDE w:val="0"/>
        <w:autoSpaceDN w:val="0"/>
        <w:adjustRightInd w:val="0"/>
        <w:spacing w:before="120"/>
        <w:textAlignment w:val="baseline"/>
        <w:rPr>
          <w:sz w:val="24"/>
        </w:rPr>
      </w:pPr>
      <w:r w:rsidRPr="002D16F4">
        <w:rPr>
          <w:sz w:val="24"/>
        </w:rPr>
        <w:t>3</w:t>
      </w:r>
      <w:r w:rsidRPr="002D16F4">
        <w:rPr>
          <w:sz w:val="24"/>
        </w:rPr>
        <w:tab/>
        <w:t xml:space="preserve">to define a new class of station in order to be able to process satellite network filings submitted by administrations for earth stations providing UA CNPC links, after the resolution is implemented, in accordance with this resolution, and publish the information as referred in </w:t>
      </w:r>
      <w:r w:rsidRPr="002D16F4">
        <w:rPr>
          <w:i/>
          <w:sz w:val="24"/>
        </w:rPr>
        <w:t>resolves </w:t>
      </w:r>
      <w:r w:rsidRPr="002D16F4">
        <w:rPr>
          <w:sz w:val="24"/>
        </w:rPr>
        <w:t>4;</w:t>
      </w:r>
    </w:p>
    <w:p w14:paraId="63FB1010" w14:textId="77777777" w:rsidR="00F53717" w:rsidRPr="002D16F4" w:rsidRDefault="00F53717" w:rsidP="00F53717">
      <w:pPr>
        <w:tabs>
          <w:tab w:val="left" w:pos="1134"/>
          <w:tab w:val="left" w:pos="1871"/>
          <w:tab w:val="left" w:pos="2268"/>
        </w:tabs>
        <w:overflowPunct w:val="0"/>
        <w:autoSpaceDE w:val="0"/>
        <w:autoSpaceDN w:val="0"/>
        <w:adjustRightInd w:val="0"/>
        <w:spacing w:before="120"/>
        <w:textAlignment w:val="baseline"/>
        <w:rPr>
          <w:sz w:val="24"/>
        </w:rPr>
      </w:pPr>
      <w:r w:rsidRPr="002D16F4">
        <w:rPr>
          <w:sz w:val="24"/>
        </w:rPr>
        <w:t>4</w:t>
      </w:r>
      <w:r w:rsidRPr="002D16F4">
        <w:rPr>
          <w:sz w:val="24"/>
        </w:rPr>
        <w:tab/>
        <w:t xml:space="preserve">not to process satellite network filing submissions by administrations with a new class of a station for earth stations providing UA CNPC links before </w:t>
      </w:r>
      <w:r w:rsidRPr="002D16F4">
        <w:rPr>
          <w:i/>
          <w:iCs/>
          <w:sz w:val="24"/>
        </w:rPr>
        <w:t>resolves</w:t>
      </w:r>
      <w:r w:rsidRPr="002D16F4">
        <w:rPr>
          <w:sz w:val="24"/>
        </w:rPr>
        <w:t> 1-12 and 14-19 of this resolution are implemented;</w:t>
      </w:r>
    </w:p>
    <w:p w14:paraId="31A43438" w14:textId="77777777" w:rsidR="00F53717" w:rsidRPr="002D16F4" w:rsidRDefault="00F53717" w:rsidP="00F53717">
      <w:pPr>
        <w:tabs>
          <w:tab w:val="left" w:pos="1134"/>
          <w:tab w:val="left" w:pos="1871"/>
          <w:tab w:val="left" w:pos="2268"/>
        </w:tabs>
        <w:overflowPunct w:val="0"/>
        <w:autoSpaceDE w:val="0"/>
        <w:autoSpaceDN w:val="0"/>
        <w:adjustRightInd w:val="0"/>
        <w:spacing w:before="120"/>
        <w:textAlignment w:val="baseline"/>
        <w:rPr>
          <w:sz w:val="24"/>
        </w:rPr>
      </w:pPr>
      <w:r w:rsidRPr="002D16F4">
        <w:rPr>
          <w:sz w:val="24"/>
        </w:rPr>
        <w:t>5</w:t>
      </w:r>
      <w:r w:rsidRPr="002D16F4">
        <w:rPr>
          <w:sz w:val="24"/>
        </w:rPr>
        <w:tab/>
        <w:t>to report to subsequent WRCs on the progress made by ICAO on the development of SARPs for UAS CNPC links,</w:t>
      </w:r>
    </w:p>
    <w:p w14:paraId="03740C3C" w14:textId="77777777" w:rsidR="00F53717" w:rsidRPr="002D16F4" w:rsidRDefault="00F53717" w:rsidP="00F53717">
      <w:pPr>
        <w:keepNext/>
        <w:keepLines/>
        <w:tabs>
          <w:tab w:val="left" w:pos="1134"/>
          <w:tab w:val="left" w:pos="1871"/>
          <w:tab w:val="left" w:pos="2268"/>
        </w:tabs>
        <w:overflowPunct w:val="0"/>
        <w:autoSpaceDE w:val="0"/>
        <w:autoSpaceDN w:val="0"/>
        <w:adjustRightInd w:val="0"/>
        <w:spacing w:before="160"/>
        <w:ind w:left="1134"/>
        <w:textAlignment w:val="baseline"/>
        <w:rPr>
          <w:i/>
          <w:sz w:val="24"/>
        </w:rPr>
      </w:pPr>
      <w:r w:rsidRPr="002D16F4">
        <w:rPr>
          <w:i/>
          <w:sz w:val="24"/>
        </w:rPr>
        <w:t>instructs the Secretary-General</w:t>
      </w:r>
    </w:p>
    <w:p w14:paraId="1605FCA4" w14:textId="77777777" w:rsidR="00F53717" w:rsidRPr="002D16F4" w:rsidRDefault="00F53717" w:rsidP="00F53717">
      <w:pPr>
        <w:tabs>
          <w:tab w:val="left" w:pos="1134"/>
          <w:tab w:val="left" w:pos="1871"/>
          <w:tab w:val="left" w:pos="2268"/>
        </w:tabs>
        <w:overflowPunct w:val="0"/>
        <w:autoSpaceDE w:val="0"/>
        <w:autoSpaceDN w:val="0"/>
        <w:adjustRightInd w:val="0"/>
        <w:spacing w:before="120"/>
        <w:textAlignment w:val="baseline"/>
        <w:rPr>
          <w:sz w:val="24"/>
          <w:lang w:eastAsia="fr-FR"/>
        </w:rPr>
      </w:pPr>
      <w:r w:rsidRPr="002D16F4">
        <w:rPr>
          <w:sz w:val="24"/>
          <w:lang w:eastAsia="fr-FR"/>
        </w:rPr>
        <w:t>to bring this resolution to the attention of the Secretary-General of ICAO,</w:t>
      </w:r>
    </w:p>
    <w:p w14:paraId="7EB9E4CF" w14:textId="77777777" w:rsidR="00F53717" w:rsidRPr="002D16F4" w:rsidRDefault="00F53717" w:rsidP="00F53717">
      <w:pPr>
        <w:keepNext/>
        <w:keepLines/>
        <w:tabs>
          <w:tab w:val="left" w:pos="1134"/>
          <w:tab w:val="left" w:pos="1871"/>
          <w:tab w:val="left" w:pos="2268"/>
        </w:tabs>
        <w:overflowPunct w:val="0"/>
        <w:autoSpaceDE w:val="0"/>
        <w:autoSpaceDN w:val="0"/>
        <w:adjustRightInd w:val="0"/>
        <w:spacing w:before="160"/>
        <w:ind w:left="1134"/>
        <w:textAlignment w:val="baseline"/>
        <w:rPr>
          <w:i/>
          <w:sz w:val="24"/>
        </w:rPr>
      </w:pPr>
      <w:r w:rsidRPr="002D16F4">
        <w:rPr>
          <w:i/>
          <w:sz w:val="24"/>
        </w:rPr>
        <w:t>invites the International Civil Aviation Organization</w:t>
      </w:r>
    </w:p>
    <w:p w14:paraId="3C8BD31C" w14:textId="77777777" w:rsidR="00F53717" w:rsidRPr="002D16F4" w:rsidRDefault="00F53717" w:rsidP="00F53717">
      <w:pPr>
        <w:tabs>
          <w:tab w:val="left" w:pos="1134"/>
          <w:tab w:val="left" w:pos="1871"/>
          <w:tab w:val="left" w:pos="2268"/>
        </w:tabs>
        <w:overflowPunct w:val="0"/>
        <w:autoSpaceDE w:val="0"/>
        <w:autoSpaceDN w:val="0"/>
        <w:adjustRightInd w:val="0"/>
        <w:spacing w:before="120"/>
        <w:textAlignment w:val="baseline"/>
        <w:rPr>
          <w:sz w:val="24"/>
        </w:rPr>
      </w:pPr>
      <w:r w:rsidRPr="002D16F4">
        <w:rPr>
          <w:sz w:val="24"/>
        </w:rPr>
        <w:t>to provide to the Director of the Radiocommunication Bureau, in time for WRC</w:t>
      </w:r>
      <w:r w:rsidRPr="002D16F4">
        <w:rPr>
          <w:sz w:val="24"/>
        </w:rPr>
        <w:noBreakHyphen/>
        <w:t>19 and WRC</w:t>
      </w:r>
      <w:r w:rsidRPr="002D16F4">
        <w:rPr>
          <w:sz w:val="24"/>
        </w:rPr>
        <w:noBreakHyphen/>
        <w:t>23, information on ICAO efforts regarding implementation of UAS CNPC links, including the information related to the development of SARPs for UAS CNPC links.</w:t>
      </w:r>
    </w:p>
    <w:p w14:paraId="5B2EA107" w14:textId="77777777" w:rsidR="00F53717" w:rsidRPr="002D16F4" w:rsidRDefault="00F53717" w:rsidP="00F53717">
      <w:pPr>
        <w:tabs>
          <w:tab w:val="left" w:pos="1134"/>
          <w:tab w:val="left" w:pos="1871"/>
          <w:tab w:val="left" w:pos="2268"/>
        </w:tabs>
        <w:overflowPunct w:val="0"/>
        <w:autoSpaceDE w:val="0"/>
        <w:autoSpaceDN w:val="0"/>
        <w:adjustRightInd w:val="0"/>
        <w:spacing w:before="120"/>
        <w:textAlignment w:val="baseline"/>
        <w:rPr>
          <w:sz w:val="24"/>
        </w:rPr>
      </w:pPr>
    </w:p>
    <w:p w14:paraId="26E46ACD" w14:textId="77777777" w:rsidR="00F53717" w:rsidRPr="00366C76" w:rsidRDefault="00F53717" w:rsidP="00366C76">
      <w:pPr>
        <w:pStyle w:val="Listabc"/>
        <w:numPr>
          <w:ilvl w:val="0"/>
          <w:numId w:val="0"/>
        </w:numPr>
        <w:ind w:left="360" w:hanging="360"/>
        <w:jc w:val="center"/>
        <w:rPr>
          <w:b/>
        </w:rPr>
      </w:pPr>
    </w:p>
    <w:p w14:paraId="23E20B79" w14:textId="77777777" w:rsidR="00F53717" w:rsidRDefault="00F53717">
      <w:pPr>
        <w:jc w:val="left"/>
        <w:rPr>
          <w:noProof/>
          <w:lang w:val="en-AU"/>
        </w:rPr>
      </w:pPr>
      <w:r>
        <w:br w:type="page"/>
      </w:r>
    </w:p>
    <w:p w14:paraId="31DEE1FF" w14:textId="77777777" w:rsidR="00366C76" w:rsidRPr="0060644D" w:rsidRDefault="0060644D" w:rsidP="0060644D">
      <w:pPr>
        <w:pStyle w:val="Listabc"/>
        <w:numPr>
          <w:ilvl w:val="0"/>
          <w:numId w:val="0"/>
        </w:numPr>
        <w:ind w:left="360" w:hanging="360"/>
        <w:jc w:val="center"/>
        <w:rPr>
          <w:b/>
          <w:sz w:val="28"/>
        </w:rPr>
      </w:pPr>
      <w:r w:rsidRPr="0060644D">
        <w:rPr>
          <w:b/>
          <w:sz w:val="28"/>
        </w:rPr>
        <w:lastRenderedPageBreak/>
        <w:t xml:space="preserve">Attachment </w:t>
      </w:r>
      <w:r w:rsidR="00AC2031" w:rsidRPr="0060644D">
        <w:rPr>
          <w:b/>
          <w:sz w:val="28"/>
        </w:rPr>
        <w:t>2</w:t>
      </w:r>
    </w:p>
    <w:p w14:paraId="4E90C096" w14:textId="77777777" w:rsidR="00AC2031" w:rsidRPr="0060644D" w:rsidRDefault="00AC2031" w:rsidP="0060644D">
      <w:pPr>
        <w:pStyle w:val="Listabc"/>
        <w:numPr>
          <w:ilvl w:val="0"/>
          <w:numId w:val="0"/>
        </w:numPr>
        <w:ind w:left="360" w:hanging="360"/>
        <w:jc w:val="center"/>
        <w:rPr>
          <w:b/>
          <w:sz w:val="28"/>
        </w:rPr>
      </w:pPr>
      <w:r w:rsidRPr="0060644D">
        <w:rPr>
          <w:b/>
          <w:sz w:val="28"/>
        </w:rPr>
        <w:t>Extracts of the Radio Regulations as Amended by WRC-19</w:t>
      </w:r>
    </w:p>
    <w:p w14:paraId="2239293D" w14:textId="77777777" w:rsidR="00AC2031" w:rsidRDefault="00AC2031" w:rsidP="00366C76">
      <w:pPr>
        <w:pStyle w:val="Listabc"/>
        <w:numPr>
          <w:ilvl w:val="0"/>
          <w:numId w:val="0"/>
        </w:numPr>
        <w:ind w:left="360" w:hanging="360"/>
      </w:pPr>
    </w:p>
    <w:tbl>
      <w:tblPr>
        <w:tblW w:w="0" w:type="auto"/>
        <w:jc w:val="center"/>
        <w:tblLayout w:type="fixed"/>
        <w:tblCellMar>
          <w:left w:w="107" w:type="dxa"/>
          <w:right w:w="107" w:type="dxa"/>
        </w:tblCellMar>
        <w:tblLook w:val="04A0" w:firstRow="1" w:lastRow="0" w:firstColumn="1" w:lastColumn="0" w:noHBand="0" w:noVBand="1"/>
      </w:tblPr>
      <w:tblGrid>
        <w:gridCol w:w="3101"/>
        <w:gridCol w:w="6203"/>
      </w:tblGrid>
      <w:tr w:rsidR="00AC2031" w:rsidRPr="00302721" w14:paraId="799091C2" w14:textId="77777777" w:rsidTr="001C4621">
        <w:trPr>
          <w:cantSplit/>
          <w:jc w:val="center"/>
        </w:trPr>
        <w:tc>
          <w:tcPr>
            <w:tcW w:w="3101" w:type="dxa"/>
            <w:tcBorders>
              <w:top w:val="single" w:sz="4" w:space="0" w:color="auto"/>
              <w:left w:val="single" w:sz="6" w:space="0" w:color="auto"/>
              <w:bottom w:val="single" w:sz="4" w:space="0" w:color="auto"/>
              <w:right w:val="single" w:sz="6" w:space="0" w:color="auto"/>
            </w:tcBorders>
          </w:tcPr>
          <w:p w14:paraId="05EFCE79" w14:textId="77777777" w:rsidR="00AC2031" w:rsidRPr="00302721" w:rsidRDefault="00AC2031" w:rsidP="001C4621">
            <w:pPr>
              <w:pStyle w:val="TableTextS5"/>
              <w:spacing w:before="50" w:after="50"/>
              <w:rPr>
                <w:rStyle w:val="Tablefreq"/>
              </w:rPr>
            </w:pPr>
            <w:r w:rsidRPr="00302721">
              <w:rPr>
                <w:rStyle w:val="Tablefreq"/>
              </w:rPr>
              <w:t>10.95-11.2</w:t>
            </w:r>
          </w:p>
          <w:p w14:paraId="5BD0AC1B" w14:textId="77777777" w:rsidR="00AC2031" w:rsidRPr="00302721" w:rsidRDefault="00AC2031" w:rsidP="001C4621">
            <w:pPr>
              <w:pStyle w:val="TableTextS5"/>
              <w:spacing w:before="50" w:after="50"/>
              <w:rPr>
                <w:color w:val="000000"/>
              </w:rPr>
            </w:pPr>
            <w:r w:rsidRPr="00302721">
              <w:rPr>
                <w:color w:val="000000"/>
              </w:rPr>
              <w:t>FIXED</w:t>
            </w:r>
          </w:p>
          <w:p w14:paraId="6F6771D4" w14:textId="77777777" w:rsidR="00AC2031" w:rsidRPr="00302721" w:rsidRDefault="00AC2031" w:rsidP="001C4621">
            <w:pPr>
              <w:pStyle w:val="TableTextS5"/>
              <w:spacing w:before="50" w:after="50"/>
              <w:ind w:left="170" w:hanging="170"/>
              <w:rPr>
                <w:color w:val="000000"/>
              </w:rPr>
            </w:pPr>
            <w:r w:rsidRPr="00302721">
              <w:rPr>
                <w:color w:val="000000"/>
              </w:rPr>
              <w:t>FIXED-SATELLITE</w:t>
            </w:r>
            <w:r w:rsidRPr="00302721">
              <w:rPr>
                <w:color w:val="000000"/>
              </w:rPr>
              <w:br/>
              <w:t>(space-to-Earth</w:t>
            </w:r>
            <w:proofErr w:type="gramStart"/>
            <w:r w:rsidRPr="00302721">
              <w:rPr>
                <w:color w:val="000000"/>
              </w:rPr>
              <w:t xml:space="preserve">)  </w:t>
            </w:r>
            <w:r w:rsidRPr="00302721">
              <w:rPr>
                <w:rStyle w:val="Artref"/>
                <w:color w:val="000000"/>
              </w:rPr>
              <w:t>5.484A</w:t>
            </w:r>
            <w:proofErr w:type="gramEnd"/>
            <w:r w:rsidRPr="00302721">
              <w:rPr>
                <w:rStyle w:val="Artref"/>
                <w:color w:val="000000"/>
              </w:rPr>
              <w:br/>
            </w:r>
            <w:r w:rsidRPr="00302721">
              <w:rPr>
                <w:rStyle w:val="Artref"/>
              </w:rPr>
              <w:t>ADD 5.A15</w:t>
            </w:r>
            <w:r w:rsidRPr="00302721">
              <w:rPr>
                <w:color w:val="000000"/>
              </w:rPr>
              <w:br/>
              <w:t xml:space="preserve">(Earth-to-space)  </w:t>
            </w:r>
            <w:r w:rsidRPr="00302721">
              <w:rPr>
                <w:rStyle w:val="Artref"/>
                <w:color w:val="000000"/>
              </w:rPr>
              <w:t>5.484</w:t>
            </w:r>
          </w:p>
          <w:p w14:paraId="6E86D30A" w14:textId="77777777" w:rsidR="00AC2031" w:rsidRPr="00302721" w:rsidRDefault="00AC2031" w:rsidP="001C4621">
            <w:pPr>
              <w:pStyle w:val="TableTextS5"/>
              <w:spacing w:before="50" w:after="50"/>
              <w:ind w:left="170" w:hanging="170"/>
              <w:rPr>
                <w:color w:val="000000"/>
              </w:rPr>
            </w:pPr>
            <w:r w:rsidRPr="00302721">
              <w:rPr>
                <w:color w:val="000000"/>
              </w:rPr>
              <w:t>MOBILE except aeronautical</w:t>
            </w:r>
            <w:r w:rsidRPr="00302721">
              <w:rPr>
                <w:color w:val="000000"/>
              </w:rPr>
              <w:br/>
              <w:t>mobile</w:t>
            </w:r>
          </w:p>
        </w:tc>
        <w:tc>
          <w:tcPr>
            <w:tcW w:w="6203" w:type="dxa"/>
            <w:tcBorders>
              <w:top w:val="single" w:sz="4" w:space="0" w:color="auto"/>
              <w:left w:val="single" w:sz="6" w:space="0" w:color="auto"/>
              <w:bottom w:val="single" w:sz="4" w:space="0" w:color="auto"/>
              <w:right w:val="single" w:sz="6" w:space="0" w:color="auto"/>
            </w:tcBorders>
          </w:tcPr>
          <w:p w14:paraId="455B1EBE" w14:textId="77777777" w:rsidR="00AC2031" w:rsidRPr="00302721" w:rsidRDefault="00AC2031" w:rsidP="001C4621">
            <w:pPr>
              <w:pStyle w:val="TableTextS5"/>
              <w:tabs>
                <w:tab w:val="clear" w:pos="170"/>
                <w:tab w:val="clear" w:pos="567"/>
                <w:tab w:val="clear" w:pos="737"/>
                <w:tab w:val="left" w:pos="594"/>
                <w:tab w:val="left" w:pos="878"/>
              </w:tabs>
              <w:spacing w:before="50" w:after="50"/>
              <w:ind w:left="57" w:right="130"/>
              <w:rPr>
                <w:rStyle w:val="Tablefreq"/>
              </w:rPr>
            </w:pPr>
            <w:r w:rsidRPr="00302721">
              <w:rPr>
                <w:rStyle w:val="Tablefreq"/>
              </w:rPr>
              <w:t>10.95-11.2</w:t>
            </w:r>
          </w:p>
          <w:p w14:paraId="53B73F75" w14:textId="77777777" w:rsidR="00AC2031" w:rsidRPr="00302721" w:rsidRDefault="00AC2031" w:rsidP="001C4621">
            <w:pPr>
              <w:pStyle w:val="TableTextS5"/>
              <w:tabs>
                <w:tab w:val="clear" w:pos="170"/>
                <w:tab w:val="left" w:pos="459"/>
              </w:tabs>
              <w:spacing w:before="50" w:after="50"/>
              <w:ind w:right="130"/>
              <w:rPr>
                <w:color w:val="000000"/>
              </w:rPr>
            </w:pPr>
            <w:r w:rsidRPr="00302721">
              <w:rPr>
                <w:color w:val="000000"/>
              </w:rPr>
              <w:tab/>
              <w:t>FIXED</w:t>
            </w:r>
          </w:p>
          <w:p w14:paraId="380A3C94" w14:textId="77777777" w:rsidR="00AC2031" w:rsidRPr="00302721" w:rsidRDefault="00AC2031" w:rsidP="001C4621">
            <w:pPr>
              <w:pStyle w:val="TableTextS5"/>
              <w:tabs>
                <w:tab w:val="clear" w:pos="170"/>
                <w:tab w:val="left" w:pos="459"/>
              </w:tabs>
              <w:spacing w:before="50" w:after="50"/>
              <w:ind w:right="130"/>
              <w:rPr>
                <w:color w:val="000000"/>
              </w:rPr>
            </w:pPr>
            <w:r w:rsidRPr="00302721">
              <w:rPr>
                <w:color w:val="000000"/>
              </w:rPr>
              <w:tab/>
              <w:t>FIXED-SATELLITE (space-to-Earth</w:t>
            </w:r>
            <w:proofErr w:type="gramStart"/>
            <w:r w:rsidRPr="00302721">
              <w:rPr>
                <w:color w:val="000000"/>
              </w:rPr>
              <w:t>)</w:t>
            </w:r>
            <w:r w:rsidRPr="00302721">
              <w:t xml:space="preserve">  </w:t>
            </w:r>
            <w:r w:rsidRPr="00302721">
              <w:rPr>
                <w:rStyle w:val="Artref"/>
                <w:color w:val="000000"/>
              </w:rPr>
              <w:t>5.484A</w:t>
            </w:r>
            <w:proofErr w:type="gramEnd"/>
            <w:r w:rsidRPr="00302721">
              <w:rPr>
                <w:rStyle w:val="Artref"/>
                <w:color w:val="000000"/>
              </w:rPr>
              <w:t xml:space="preserve"> ADD 5.A15</w:t>
            </w:r>
          </w:p>
          <w:p w14:paraId="7BC2C1C5" w14:textId="77777777" w:rsidR="00AC2031" w:rsidRPr="001E2645" w:rsidRDefault="00AC2031" w:rsidP="001C4621">
            <w:pPr>
              <w:pStyle w:val="TableTextS5"/>
              <w:tabs>
                <w:tab w:val="clear" w:pos="170"/>
                <w:tab w:val="left" w:pos="459"/>
              </w:tabs>
              <w:spacing w:before="50" w:after="50"/>
              <w:ind w:right="130"/>
              <w:rPr>
                <w:color w:val="000000"/>
              </w:rPr>
            </w:pPr>
            <w:r w:rsidRPr="00302721">
              <w:rPr>
                <w:color w:val="000000"/>
              </w:rPr>
              <w:tab/>
              <w:t>MOBILE except aeronautical mobile</w:t>
            </w:r>
          </w:p>
        </w:tc>
      </w:tr>
    </w:tbl>
    <w:p w14:paraId="3A34AE99" w14:textId="77777777" w:rsidR="00AC2031" w:rsidRDefault="00AC2031" w:rsidP="00366C76">
      <w:pPr>
        <w:pStyle w:val="Listabc"/>
        <w:numPr>
          <w:ilvl w:val="0"/>
          <w:numId w:val="0"/>
        </w:numPr>
        <w:ind w:left="360" w:hanging="360"/>
      </w:pPr>
    </w:p>
    <w:tbl>
      <w:tblPr>
        <w:tblW w:w="0" w:type="auto"/>
        <w:jc w:val="center"/>
        <w:tblLayout w:type="fixed"/>
        <w:tblCellMar>
          <w:left w:w="107" w:type="dxa"/>
          <w:right w:w="107" w:type="dxa"/>
        </w:tblCellMar>
        <w:tblLook w:val="04A0" w:firstRow="1" w:lastRow="0" w:firstColumn="1" w:lastColumn="0" w:noHBand="0" w:noVBand="1"/>
      </w:tblPr>
      <w:tblGrid>
        <w:gridCol w:w="3101"/>
        <w:gridCol w:w="6203"/>
      </w:tblGrid>
      <w:tr w:rsidR="00AC2031" w:rsidRPr="00302721" w14:paraId="2DD0D9D3" w14:textId="77777777" w:rsidTr="001C4621">
        <w:trPr>
          <w:cantSplit/>
          <w:jc w:val="center"/>
        </w:trPr>
        <w:tc>
          <w:tcPr>
            <w:tcW w:w="3101" w:type="dxa"/>
            <w:tcBorders>
              <w:top w:val="single" w:sz="4" w:space="0" w:color="auto"/>
              <w:left w:val="single" w:sz="6" w:space="0" w:color="auto"/>
              <w:bottom w:val="single" w:sz="6" w:space="0" w:color="auto"/>
              <w:right w:val="single" w:sz="6" w:space="0" w:color="auto"/>
            </w:tcBorders>
          </w:tcPr>
          <w:p w14:paraId="121AE572" w14:textId="77777777" w:rsidR="00AC2031" w:rsidRPr="00302721" w:rsidRDefault="00AC2031" w:rsidP="001C4621">
            <w:pPr>
              <w:pStyle w:val="TableTextS5"/>
              <w:spacing w:before="50" w:after="50"/>
              <w:rPr>
                <w:rStyle w:val="Tablefreq"/>
              </w:rPr>
            </w:pPr>
            <w:r w:rsidRPr="00302721">
              <w:rPr>
                <w:rStyle w:val="Tablefreq"/>
              </w:rPr>
              <w:t>11.45-11.7</w:t>
            </w:r>
          </w:p>
          <w:p w14:paraId="2CE1134B" w14:textId="77777777" w:rsidR="00AC2031" w:rsidRPr="00302721" w:rsidRDefault="00AC2031" w:rsidP="001C4621">
            <w:pPr>
              <w:pStyle w:val="TableTextS5"/>
              <w:spacing w:before="50" w:after="50"/>
              <w:rPr>
                <w:color w:val="000000"/>
              </w:rPr>
            </w:pPr>
            <w:r w:rsidRPr="00302721">
              <w:rPr>
                <w:color w:val="000000"/>
              </w:rPr>
              <w:t>FIXED</w:t>
            </w:r>
          </w:p>
          <w:p w14:paraId="51ADE5A8" w14:textId="77777777" w:rsidR="00AC2031" w:rsidRPr="00302721" w:rsidRDefault="00AC2031" w:rsidP="001C4621">
            <w:pPr>
              <w:pStyle w:val="TableTextS5"/>
              <w:spacing w:before="50" w:after="50"/>
              <w:ind w:left="170" w:hanging="170"/>
              <w:rPr>
                <w:color w:val="000000"/>
              </w:rPr>
            </w:pPr>
            <w:r w:rsidRPr="00302721">
              <w:rPr>
                <w:color w:val="000000"/>
              </w:rPr>
              <w:t>FIXED-SATELLITE</w:t>
            </w:r>
            <w:r w:rsidRPr="00302721">
              <w:rPr>
                <w:color w:val="000000"/>
              </w:rPr>
              <w:br/>
              <w:t>(space-to-Earth</w:t>
            </w:r>
            <w:proofErr w:type="gramStart"/>
            <w:r w:rsidRPr="00302721">
              <w:rPr>
                <w:color w:val="000000"/>
              </w:rPr>
              <w:t xml:space="preserve">)  </w:t>
            </w:r>
            <w:r w:rsidRPr="00302721">
              <w:rPr>
                <w:rStyle w:val="Artref"/>
                <w:color w:val="000000"/>
              </w:rPr>
              <w:t>5.484A</w:t>
            </w:r>
            <w:proofErr w:type="gramEnd"/>
            <w:r w:rsidRPr="00302721">
              <w:rPr>
                <w:color w:val="000000"/>
              </w:rPr>
              <w:br/>
              <w:t xml:space="preserve">(Earth-to-space)  </w:t>
            </w:r>
            <w:r w:rsidRPr="00302721">
              <w:rPr>
                <w:rStyle w:val="Artref"/>
                <w:color w:val="000000"/>
              </w:rPr>
              <w:t>5.484 ADD 5.A15</w:t>
            </w:r>
          </w:p>
          <w:p w14:paraId="17504DD4" w14:textId="77777777" w:rsidR="00AC2031" w:rsidRPr="001E2645" w:rsidRDefault="00AC2031" w:rsidP="001C4621">
            <w:pPr>
              <w:pStyle w:val="TableTextS5"/>
              <w:spacing w:before="50" w:after="50"/>
              <w:ind w:left="170" w:hanging="170"/>
              <w:rPr>
                <w:color w:val="000000"/>
              </w:rPr>
            </w:pPr>
            <w:r w:rsidRPr="00302721">
              <w:rPr>
                <w:color w:val="000000"/>
              </w:rPr>
              <w:t>MOBILE except aeronautical</w:t>
            </w:r>
            <w:r w:rsidRPr="00302721">
              <w:rPr>
                <w:color w:val="000000"/>
              </w:rPr>
              <w:br/>
              <w:t>mobile</w:t>
            </w:r>
          </w:p>
        </w:tc>
        <w:tc>
          <w:tcPr>
            <w:tcW w:w="6203" w:type="dxa"/>
            <w:tcBorders>
              <w:top w:val="single" w:sz="4" w:space="0" w:color="auto"/>
              <w:left w:val="single" w:sz="6" w:space="0" w:color="auto"/>
              <w:bottom w:val="single" w:sz="6" w:space="0" w:color="auto"/>
              <w:right w:val="single" w:sz="6" w:space="0" w:color="auto"/>
            </w:tcBorders>
          </w:tcPr>
          <w:p w14:paraId="7EC671CA" w14:textId="77777777" w:rsidR="00AC2031" w:rsidRPr="00302721" w:rsidRDefault="00AC2031" w:rsidP="001C4621">
            <w:pPr>
              <w:pStyle w:val="TableTextS5"/>
              <w:tabs>
                <w:tab w:val="clear" w:pos="170"/>
                <w:tab w:val="clear" w:pos="567"/>
                <w:tab w:val="clear" w:pos="737"/>
                <w:tab w:val="left" w:pos="594"/>
                <w:tab w:val="left" w:pos="878"/>
              </w:tabs>
              <w:spacing w:before="50" w:after="50"/>
              <w:ind w:left="57" w:right="130"/>
              <w:rPr>
                <w:rStyle w:val="Tablefreq"/>
              </w:rPr>
            </w:pPr>
            <w:r w:rsidRPr="00302721">
              <w:rPr>
                <w:rStyle w:val="Tablefreq"/>
              </w:rPr>
              <w:t>11.45-11.7</w:t>
            </w:r>
          </w:p>
          <w:p w14:paraId="1E083FEE" w14:textId="77777777" w:rsidR="00AC2031" w:rsidRPr="00302721" w:rsidRDefault="00AC2031" w:rsidP="001C4621">
            <w:pPr>
              <w:pStyle w:val="TableTextS5"/>
              <w:tabs>
                <w:tab w:val="clear" w:pos="170"/>
                <w:tab w:val="left" w:pos="459"/>
              </w:tabs>
              <w:spacing w:before="50" w:after="50"/>
              <w:ind w:right="130"/>
              <w:rPr>
                <w:color w:val="000000"/>
              </w:rPr>
            </w:pPr>
            <w:r w:rsidRPr="00302721">
              <w:rPr>
                <w:color w:val="000000"/>
              </w:rPr>
              <w:tab/>
              <w:t>FIXED</w:t>
            </w:r>
          </w:p>
          <w:p w14:paraId="3D895684" w14:textId="77777777" w:rsidR="00AC2031" w:rsidRPr="00302721" w:rsidRDefault="00AC2031" w:rsidP="001C4621">
            <w:pPr>
              <w:pStyle w:val="TableTextS5"/>
              <w:tabs>
                <w:tab w:val="clear" w:pos="170"/>
                <w:tab w:val="left" w:pos="459"/>
              </w:tabs>
              <w:spacing w:before="50" w:after="50"/>
              <w:ind w:right="130"/>
              <w:rPr>
                <w:color w:val="000000"/>
              </w:rPr>
            </w:pPr>
            <w:r w:rsidRPr="00302721">
              <w:rPr>
                <w:color w:val="000000"/>
              </w:rPr>
              <w:tab/>
              <w:t>FIXED-SATELLITE (space-to-Earth</w:t>
            </w:r>
            <w:proofErr w:type="gramStart"/>
            <w:r w:rsidRPr="00302721">
              <w:rPr>
                <w:color w:val="000000"/>
              </w:rPr>
              <w:t>)</w:t>
            </w:r>
            <w:r w:rsidRPr="00302721">
              <w:t xml:space="preserve">  </w:t>
            </w:r>
            <w:r w:rsidRPr="00302721">
              <w:rPr>
                <w:rStyle w:val="Artref"/>
                <w:color w:val="000000"/>
              </w:rPr>
              <w:t>5.484A</w:t>
            </w:r>
            <w:proofErr w:type="gramEnd"/>
            <w:r w:rsidRPr="00302721">
              <w:rPr>
                <w:rStyle w:val="Artref"/>
                <w:color w:val="000000"/>
              </w:rPr>
              <w:t xml:space="preserve"> ADD 5.A15</w:t>
            </w:r>
          </w:p>
          <w:p w14:paraId="58C8E39D" w14:textId="77777777" w:rsidR="00AC2031" w:rsidRPr="001E2645" w:rsidRDefault="00AC2031" w:rsidP="001C4621">
            <w:pPr>
              <w:pStyle w:val="TableTextS5"/>
              <w:tabs>
                <w:tab w:val="clear" w:pos="170"/>
                <w:tab w:val="left" w:pos="459"/>
              </w:tabs>
              <w:spacing w:before="50" w:after="50"/>
              <w:ind w:right="130"/>
              <w:rPr>
                <w:color w:val="000000"/>
              </w:rPr>
            </w:pPr>
            <w:r w:rsidRPr="00302721">
              <w:rPr>
                <w:color w:val="000000"/>
              </w:rPr>
              <w:tab/>
              <w:t>MOBILE except aeronautical mobile</w:t>
            </w:r>
          </w:p>
        </w:tc>
      </w:tr>
    </w:tbl>
    <w:p w14:paraId="40413AAF" w14:textId="77777777" w:rsidR="00AC2031" w:rsidRDefault="00AC2031" w:rsidP="00366C76">
      <w:pPr>
        <w:pStyle w:val="Listabc"/>
        <w:numPr>
          <w:ilvl w:val="0"/>
          <w:numId w:val="0"/>
        </w:numPr>
        <w:ind w:left="360" w:hanging="360"/>
      </w:pP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AC2031" w:rsidRPr="00302721" w14:paraId="27489840" w14:textId="77777777" w:rsidTr="001C4621">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14:paraId="21752CE9" w14:textId="77777777" w:rsidR="00AC2031" w:rsidRPr="00302721" w:rsidRDefault="00AC2031" w:rsidP="001C4621">
            <w:pPr>
              <w:pStyle w:val="Tablehead"/>
            </w:pPr>
            <w:r w:rsidRPr="00302721">
              <w:t>Allocation to services</w:t>
            </w:r>
          </w:p>
        </w:tc>
      </w:tr>
      <w:tr w:rsidR="00AC2031" w:rsidRPr="00302721" w14:paraId="7E4792C7" w14:textId="77777777" w:rsidTr="001C4621">
        <w:trPr>
          <w:cantSplit/>
          <w:jc w:val="center"/>
        </w:trPr>
        <w:tc>
          <w:tcPr>
            <w:tcW w:w="3101" w:type="dxa"/>
            <w:tcBorders>
              <w:top w:val="single" w:sz="6" w:space="0" w:color="auto"/>
              <w:left w:val="single" w:sz="6" w:space="0" w:color="auto"/>
              <w:bottom w:val="single" w:sz="6" w:space="0" w:color="auto"/>
              <w:right w:val="single" w:sz="6" w:space="0" w:color="auto"/>
            </w:tcBorders>
          </w:tcPr>
          <w:p w14:paraId="27058C2B" w14:textId="77777777" w:rsidR="00AC2031" w:rsidRPr="00302721" w:rsidRDefault="00AC2031" w:rsidP="001C4621">
            <w:pPr>
              <w:pStyle w:val="Tablehead"/>
            </w:pPr>
            <w:r w:rsidRPr="00302721">
              <w:t>Region 1</w:t>
            </w:r>
          </w:p>
        </w:tc>
        <w:tc>
          <w:tcPr>
            <w:tcW w:w="3101" w:type="dxa"/>
            <w:tcBorders>
              <w:top w:val="single" w:sz="6" w:space="0" w:color="auto"/>
              <w:left w:val="single" w:sz="6" w:space="0" w:color="auto"/>
              <w:bottom w:val="single" w:sz="6" w:space="0" w:color="auto"/>
              <w:right w:val="single" w:sz="6" w:space="0" w:color="auto"/>
            </w:tcBorders>
          </w:tcPr>
          <w:p w14:paraId="1ADF1AF3" w14:textId="77777777" w:rsidR="00AC2031" w:rsidRPr="00302721" w:rsidRDefault="00AC2031" w:rsidP="001C4621">
            <w:pPr>
              <w:pStyle w:val="Tablehead"/>
            </w:pPr>
            <w:r w:rsidRPr="00302721">
              <w:t>Region 2</w:t>
            </w:r>
          </w:p>
        </w:tc>
        <w:tc>
          <w:tcPr>
            <w:tcW w:w="3101" w:type="dxa"/>
            <w:tcBorders>
              <w:top w:val="single" w:sz="6" w:space="0" w:color="auto"/>
              <w:left w:val="single" w:sz="6" w:space="0" w:color="auto"/>
              <w:bottom w:val="single" w:sz="6" w:space="0" w:color="auto"/>
              <w:right w:val="single" w:sz="6" w:space="0" w:color="auto"/>
            </w:tcBorders>
          </w:tcPr>
          <w:p w14:paraId="7C19A122" w14:textId="77777777" w:rsidR="00AC2031" w:rsidRPr="00302721" w:rsidRDefault="00AC2031" w:rsidP="001C4621">
            <w:pPr>
              <w:pStyle w:val="Tablehead"/>
            </w:pPr>
            <w:r w:rsidRPr="00302721">
              <w:t>Region 3</w:t>
            </w:r>
          </w:p>
        </w:tc>
      </w:tr>
      <w:tr w:rsidR="00AC2031" w:rsidRPr="00302721" w14:paraId="452C93C5" w14:textId="77777777" w:rsidTr="001C4621">
        <w:trPr>
          <w:cantSplit/>
          <w:jc w:val="center"/>
        </w:trPr>
        <w:tc>
          <w:tcPr>
            <w:tcW w:w="3101" w:type="dxa"/>
            <w:vMerge w:val="restart"/>
            <w:tcBorders>
              <w:top w:val="single" w:sz="6" w:space="0" w:color="auto"/>
              <w:left w:val="single" w:sz="6" w:space="0" w:color="auto"/>
              <w:right w:val="single" w:sz="6" w:space="0" w:color="auto"/>
            </w:tcBorders>
          </w:tcPr>
          <w:p w14:paraId="1AD6DF32" w14:textId="77777777" w:rsidR="00AC2031" w:rsidRPr="00302721" w:rsidRDefault="00AC2031" w:rsidP="001C4621">
            <w:pPr>
              <w:pStyle w:val="TableTextS5"/>
              <w:spacing w:before="30" w:after="30"/>
              <w:rPr>
                <w:rStyle w:val="Tablefreq"/>
              </w:rPr>
            </w:pPr>
            <w:r w:rsidRPr="00302721">
              <w:rPr>
                <w:rStyle w:val="Tablefreq"/>
              </w:rPr>
              <w:t>11.7-12.5</w:t>
            </w:r>
          </w:p>
          <w:p w14:paraId="403D413A" w14:textId="77777777" w:rsidR="00AC2031" w:rsidRPr="00302721" w:rsidRDefault="00AC2031" w:rsidP="001C4621">
            <w:pPr>
              <w:pStyle w:val="TableTextS5"/>
              <w:spacing w:before="30" w:after="30"/>
              <w:rPr>
                <w:color w:val="000000"/>
              </w:rPr>
            </w:pPr>
            <w:r w:rsidRPr="00302721">
              <w:rPr>
                <w:color w:val="000000"/>
              </w:rPr>
              <w:t>FIXED</w:t>
            </w:r>
          </w:p>
          <w:p w14:paraId="08FC3387" w14:textId="77777777" w:rsidR="00AC2031" w:rsidRPr="00302721" w:rsidRDefault="00AC2031" w:rsidP="001C4621">
            <w:pPr>
              <w:pStyle w:val="TableTextS5"/>
              <w:spacing w:before="30" w:after="30"/>
              <w:ind w:left="170" w:hanging="170"/>
              <w:rPr>
                <w:color w:val="000000"/>
              </w:rPr>
            </w:pPr>
            <w:r w:rsidRPr="00302721">
              <w:rPr>
                <w:color w:val="000000"/>
              </w:rPr>
              <w:t>MOBILE except aeronautical mobile</w:t>
            </w:r>
          </w:p>
          <w:p w14:paraId="4E517345" w14:textId="77777777" w:rsidR="00AC2031" w:rsidRPr="00302721" w:rsidRDefault="00AC2031" w:rsidP="001C4621">
            <w:pPr>
              <w:pStyle w:val="TableTextS5"/>
              <w:spacing w:before="30" w:after="30"/>
              <w:rPr>
                <w:color w:val="000000"/>
              </w:rPr>
            </w:pPr>
            <w:r w:rsidRPr="00302721">
              <w:rPr>
                <w:color w:val="000000"/>
              </w:rPr>
              <w:t>BROADCASTING</w:t>
            </w:r>
          </w:p>
          <w:p w14:paraId="25C004DF" w14:textId="77777777" w:rsidR="00AC2031" w:rsidRPr="00302721" w:rsidRDefault="00AC2031" w:rsidP="001C4621">
            <w:pPr>
              <w:pStyle w:val="TableTextS5"/>
              <w:spacing w:before="30" w:after="30"/>
              <w:ind w:left="170" w:hanging="170"/>
            </w:pPr>
            <w:r w:rsidRPr="00302721">
              <w:rPr>
                <w:color w:val="000000"/>
              </w:rPr>
              <w:t>BROADCASTING-SATELLITE</w:t>
            </w:r>
            <w:r w:rsidRPr="00302721">
              <w:rPr>
                <w:color w:val="000000"/>
              </w:rPr>
              <w:br/>
            </w:r>
            <w:r w:rsidRPr="00302721">
              <w:rPr>
                <w:rStyle w:val="Artref"/>
                <w:color w:val="000000"/>
              </w:rPr>
              <w:t>5.492</w:t>
            </w:r>
          </w:p>
        </w:tc>
        <w:tc>
          <w:tcPr>
            <w:tcW w:w="3101" w:type="dxa"/>
            <w:tcBorders>
              <w:top w:val="single" w:sz="6" w:space="0" w:color="auto"/>
              <w:left w:val="single" w:sz="6" w:space="0" w:color="auto"/>
              <w:bottom w:val="single" w:sz="4" w:space="0" w:color="auto"/>
              <w:right w:val="single" w:sz="6" w:space="0" w:color="auto"/>
            </w:tcBorders>
          </w:tcPr>
          <w:p w14:paraId="52879A94" w14:textId="77777777" w:rsidR="00AC2031" w:rsidRPr="00302721" w:rsidRDefault="00AC2031" w:rsidP="001C4621">
            <w:pPr>
              <w:pStyle w:val="TableTextS5"/>
              <w:spacing w:before="30" w:after="30"/>
              <w:rPr>
                <w:rStyle w:val="Tablefreq"/>
              </w:rPr>
            </w:pPr>
            <w:r w:rsidRPr="00302721">
              <w:rPr>
                <w:rStyle w:val="Tablefreq"/>
              </w:rPr>
              <w:t>11.7-12.1</w:t>
            </w:r>
          </w:p>
          <w:p w14:paraId="3742091E" w14:textId="77777777" w:rsidR="00AC2031" w:rsidRPr="00302721" w:rsidRDefault="00AC2031" w:rsidP="001C4621">
            <w:pPr>
              <w:pStyle w:val="TableTextS5"/>
              <w:spacing w:before="30" w:after="30"/>
              <w:rPr>
                <w:color w:val="000000"/>
              </w:rPr>
            </w:pPr>
            <w:proofErr w:type="gramStart"/>
            <w:r w:rsidRPr="00302721">
              <w:rPr>
                <w:color w:val="000000"/>
              </w:rPr>
              <w:t xml:space="preserve">FIXED  </w:t>
            </w:r>
            <w:r w:rsidRPr="00302721">
              <w:rPr>
                <w:rStyle w:val="Artref"/>
                <w:color w:val="000000"/>
              </w:rPr>
              <w:t>5.486</w:t>
            </w:r>
            <w:proofErr w:type="gramEnd"/>
          </w:p>
          <w:p w14:paraId="7B648635" w14:textId="77777777" w:rsidR="00AC2031" w:rsidRPr="00302721" w:rsidRDefault="00AC2031" w:rsidP="001C4621">
            <w:pPr>
              <w:pStyle w:val="TableTextS5"/>
              <w:spacing w:before="30" w:after="30"/>
              <w:ind w:left="170" w:hanging="170"/>
              <w:rPr>
                <w:color w:val="000000"/>
              </w:rPr>
            </w:pPr>
            <w:r w:rsidRPr="00302721">
              <w:rPr>
                <w:color w:val="000000"/>
              </w:rPr>
              <w:t>FIXED-SATELLITE</w:t>
            </w:r>
            <w:r w:rsidRPr="00302721">
              <w:rPr>
                <w:color w:val="000000"/>
              </w:rPr>
              <w:br/>
              <w:t>(space-to-Earth</w:t>
            </w:r>
            <w:proofErr w:type="gramStart"/>
            <w:r w:rsidRPr="00302721">
              <w:rPr>
                <w:color w:val="000000"/>
              </w:rPr>
              <w:t xml:space="preserve">)  </w:t>
            </w:r>
            <w:r w:rsidRPr="00302721">
              <w:rPr>
                <w:rStyle w:val="Artref"/>
                <w:color w:val="000000"/>
              </w:rPr>
              <w:t>5.484A</w:t>
            </w:r>
            <w:proofErr w:type="gramEnd"/>
            <w:r w:rsidRPr="00302721">
              <w:rPr>
                <w:rStyle w:val="Artref"/>
                <w:color w:val="000000"/>
              </w:rPr>
              <w:t xml:space="preserve">  5.488  ADD 5.A15</w:t>
            </w:r>
          </w:p>
          <w:p w14:paraId="5A7D95F0" w14:textId="77777777" w:rsidR="00AC2031" w:rsidRPr="00302721" w:rsidRDefault="00AC2031" w:rsidP="001C4621">
            <w:pPr>
              <w:pStyle w:val="TableTextS5"/>
              <w:spacing w:before="30" w:after="30"/>
              <w:ind w:left="170" w:hanging="170"/>
              <w:rPr>
                <w:color w:val="000000"/>
              </w:rPr>
            </w:pPr>
            <w:r w:rsidRPr="00302721">
              <w:rPr>
                <w:color w:val="000000"/>
              </w:rPr>
              <w:t>Mobile except aeronautical mobile</w:t>
            </w:r>
          </w:p>
          <w:p w14:paraId="1EEE0D9A" w14:textId="77777777" w:rsidR="00AC2031" w:rsidRPr="00302721" w:rsidRDefault="00AC2031" w:rsidP="001C4621">
            <w:pPr>
              <w:pStyle w:val="TableTextS5"/>
            </w:pPr>
            <w:r w:rsidRPr="00302721">
              <w:rPr>
                <w:rStyle w:val="Artref"/>
                <w:color w:val="000000"/>
              </w:rPr>
              <w:t>5.485</w:t>
            </w:r>
          </w:p>
        </w:tc>
        <w:tc>
          <w:tcPr>
            <w:tcW w:w="3101" w:type="dxa"/>
            <w:vMerge w:val="restart"/>
            <w:tcBorders>
              <w:top w:val="single" w:sz="6" w:space="0" w:color="auto"/>
              <w:left w:val="single" w:sz="6" w:space="0" w:color="auto"/>
              <w:bottom w:val="nil"/>
              <w:right w:val="single" w:sz="6" w:space="0" w:color="auto"/>
            </w:tcBorders>
          </w:tcPr>
          <w:p w14:paraId="2D8C98A0" w14:textId="77777777" w:rsidR="00AC2031" w:rsidRPr="00302721" w:rsidRDefault="00AC2031" w:rsidP="001C4621">
            <w:pPr>
              <w:pStyle w:val="TableTextS5"/>
              <w:spacing w:before="30" w:after="30"/>
              <w:rPr>
                <w:rStyle w:val="Tablefreq"/>
              </w:rPr>
            </w:pPr>
            <w:r w:rsidRPr="00302721">
              <w:rPr>
                <w:rStyle w:val="Tablefreq"/>
              </w:rPr>
              <w:t>11.7-12.2</w:t>
            </w:r>
          </w:p>
          <w:p w14:paraId="05C7F723" w14:textId="77777777" w:rsidR="00AC2031" w:rsidRPr="00302721" w:rsidRDefault="00AC2031" w:rsidP="001C4621">
            <w:pPr>
              <w:pStyle w:val="TableTextS5"/>
              <w:spacing w:before="30" w:after="30"/>
              <w:rPr>
                <w:color w:val="000000"/>
              </w:rPr>
            </w:pPr>
            <w:r w:rsidRPr="00302721">
              <w:rPr>
                <w:color w:val="000000"/>
              </w:rPr>
              <w:t>FIXED</w:t>
            </w:r>
          </w:p>
          <w:p w14:paraId="6360B85A" w14:textId="77777777" w:rsidR="00AC2031" w:rsidRPr="00302721" w:rsidRDefault="00AC2031" w:rsidP="001C4621">
            <w:pPr>
              <w:pStyle w:val="TableTextS5"/>
              <w:spacing w:before="30" w:after="30"/>
              <w:ind w:left="170" w:hanging="170"/>
              <w:rPr>
                <w:color w:val="000000"/>
              </w:rPr>
            </w:pPr>
            <w:r w:rsidRPr="00302721">
              <w:rPr>
                <w:color w:val="000000"/>
              </w:rPr>
              <w:t>MOBILE except aeronautical mobile</w:t>
            </w:r>
          </w:p>
          <w:p w14:paraId="108D4F35" w14:textId="77777777" w:rsidR="00AC2031" w:rsidRPr="00302721" w:rsidRDefault="00AC2031" w:rsidP="001C4621">
            <w:pPr>
              <w:pStyle w:val="TableTextS5"/>
              <w:spacing w:before="30" w:after="30"/>
              <w:rPr>
                <w:color w:val="000000"/>
              </w:rPr>
            </w:pPr>
            <w:r w:rsidRPr="00302721">
              <w:rPr>
                <w:color w:val="000000"/>
              </w:rPr>
              <w:t>BROADCASTING</w:t>
            </w:r>
          </w:p>
          <w:p w14:paraId="1824570F" w14:textId="77777777" w:rsidR="00AC2031" w:rsidRPr="00302721" w:rsidRDefault="00AC2031" w:rsidP="001C4621">
            <w:pPr>
              <w:pStyle w:val="TableTextS5"/>
              <w:spacing w:before="30" w:after="30"/>
              <w:ind w:left="170" w:hanging="170"/>
            </w:pPr>
            <w:r w:rsidRPr="00302721">
              <w:rPr>
                <w:color w:val="000000"/>
              </w:rPr>
              <w:t>BROADCASTING-SATELLITE</w:t>
            </w:r>
            <w:r w:rsidRPr="00302721">
              <w:rPr>
                <w:color w:val="000000"/>
              </w:rPr>
              <w:br/>
            </w:r>
            <w:r w:rsidRPr="00302721">
              <w:rPr>
                <w:rStyle w:val="Artref"/>
                <w:color w:val="000000"/>
              </w:rPr>
              <w:t>5.492</w:t>
            </w:r>
          </w:p>
        </w:tc>
      </w:tr>
      <w:tr w:rsidR="00AC2031" w:rsidRPr="00302721" w14:paraId="5313C81E" w14:textId="77777777" w:rsidTr="001C4621">
        <w:trPr>
          <w:cantSplit/>
          <w:jc w:val="center"/>
        </w:trPr>
        <w:tc>
          <w:tcPr>
            <w:tcW w:w="3101" w:type="dxa"/>
            <w:vMerge/>
            <w:tcBorders>
              <w:left w:val="single" w:sz="6" w:space="0" w:color="auto"/>
              <w:right w:val="single" w:sz="6" w:space="0" w:color="auto"/>
            </w:tcBorders>
          </w:tcPr>
          <w:p w14:paraId="5A2DC4AE" w14:textId="77777777" w:rsidR="00AC2031" w:rsidRPr="00302721" w:rsidRDefault="00AC2031" w:rsidP="001C4621">
            <w:pPr>
              <w:pStyle w:val="TableTextS5"/>
            </w:pPr>
          </w:p>
        </w:tc>
        <w:tc>
          <w:tcPr>
            <w:tcW w:w="3101" w:type="dxa"/>
            <w:tcBorders>
              <w:top w:val="single" w:sz="4" w:space="0" w:color="auto"/>
              <w:left w:val="single" w:sz="6" w:space="0" w:color="auto"/>
              <w:right w:val="single" w:sz="6" w:space="0" w:color="auto"/>
            </w:tcBorders>
          </w:tcPr>
          <w:p w14:paraId="28DF386E" w14:textId="77777777" w:rsidR="00AC2031" w:rsidRPr="00302721" w:rsidRDefault="00AC2031" w:rsidP="001C4621">
            <w:pPr>
              <w:pStyle w:val="TableTextS5"/>
              <w:spacing w:before="30" w:after="30"/>
              <w:rPr>
                <w:rStyle w:val="Tablefreq"/>
              </w:rPr>
            </w:pPr>
            <w:r w:rsidRPr="00302721">
              <w:rPr>
                <w:rStyle w:val="Tablefreq"/>
              </w:rPr>
              <w:t>12.1-12.2</w:t>
            </w:r>
          </w:p>
          <w:p w14:paraId="1684990C" w14:textId="77777777" w:rsidR="00AC2031" w:rsidRPr="00302721" w:rsidRDefault="00AC2031" w:rsidP="001C4621">
            <w:pPr>
              <w:pStyle w:val="TableTextS5"/>
              <w:ind w:left="170" w:hanging="170"/>
            </w:pPr>
            <w:r w:rsidRPr="00302721">
              <w:rPr>
                <w:color w:val="000000"/>
              </w:rPr>
              <w:t xml:space="preserve">FIXED-SATELLITE </w:t>
            </w:r>
            <w:r w:rsidRPr="00302721">
              <w:rPr>
                <w:color w:val="000000"/>
              </w:rPr>
              <w:br/>
              <w:t>(space-to-Earth</w:t>
            </w:r>
            <w:proofErr w:type="gramStart"/>
            <w:r w:rsidRPr="00302721">
              <w:rPr>
                <w:color w:val="000000"/>
              </w:rPr>
              <w:t xml:space="preserve">)  </w:t>
            </w:r>
            <w:r w:rsidRPr="00302721">
              <w:rPr>
                <w:rStyle w:val="Artref"/>
                <w:color w:val="000000"/>
              </w:rPr>
              <w:t>5.484A</w:t>
            </w:r>
            <w:proofErr w:type="gramEnd"/>
            <w:r w:rsidRPr="00302721">
              <w:rPr>
                <w:rStyle w:val="Artref"/>
                <w:color w:val="000000"/>
              </w:rPr>
              <w:t xml:space="preserve">  5.488  ADD 5.A15</w:t>
            </w:r>
          </w:p>
        </w:tc>
        <w:tc>
          <w:tcPr>
            <w:tcW w:w="3101" w:type="dxa"/>
            <w:vMerge/>
            <w:tcBorders>
              <w:left w:val="single" w:sz="6" w:space="0" w:color="auto"/>
              <w:right w:val="single" w:sz="6" w:space="0" w:color="auto"/>
            </w:tcBorders>
          </w:tcPr>
          <w:p w14:paraId="77F026F7" w14:textId="77777777" w:rsidR="00AC2031" w:rsidRPr="00302721" w:rsidRDefault="00AC2031" w:rsidP="001C4621">
            <w:pPr>
              <w:pStyle w:val="TableTextS5"/>
            </w:pPr>
          </w:p>
        </w:tc>
      </w:tr>
      <w:tr w:rsidR="00AC2031" w:rsidRPr="00302721" w14:paraId="260BA67B" w14:textId="77777777" w:rsidTr="001C4621">
        <w:tblPrEx>
          <w:tblLook w:val="04A0" w:firstRow="1" w:lastRow="0" w:firstColumn="1" w:lastColumn="0" w:noHBand="0" w:noVBand="1"/>
        </w:tblPrEx>
        <w:trPr>
          <w:cantSplit/>
          <w:jc w:val="center"/>
        </w:trPr>
        <w:tc>
          <w:tcPr>
            <w:tcW w:w="3101" w:type="dxa"/>
            <w:vMerge/>
            <w:tcBorders>
              <w:left w:val="single" w:sz="6" w:space="0" w:color="auto"/>
              <w:right w:val="single" w:sz="6" w:space="0" w:color="auto"/>
            </w:tcBorders>
          </w:tcPr>
          <w:p w14:paraId="38F10070" w14:textId="77777777" w:rsidR="00AC2031" w:rsidRPr="00302721" w:rsidRDefault="00AC2031" w:rsidP="001C4621">
            <w:pPr>
              <w:pStyle w:val="TableTextS5"/>
              <w:spacing w:before="30" w:after="30"/>
              <w:rPr>
                <w:color w:val="000000"/>
              </w:rPr>
            </w:pPr>
          </w:p>
        </w:tc>
        <w:tc>
          <w:tcPr>
            <w:tcW w:w="3101" w:type="dxa"/>
            <w:tcBorders>
              <w:top w:val="nil"/>
              <w:left w:val="nil"/>
              <w:bottom w:val="single" w:sz="4" w:space="0" w:color="auto"/>
              <w:right w:val="single" w:sz="6" w:space="0" w:color="auto"/>
            </w:tcBorders>
            <w:hideMark/>
          </w:tcPr>
          <w:p w14:paraId="10AAA4DA" w14:textId="77777777" w:rsidR="00AC2031" w:rsidRPr="00302721" w:rsidRDefault="00AC2031" w:rsidP="001C4621">
            <w:pPr>
              <w:pStyle w:val="TableTextS5"/>
              <w:spacing w:before="30" w:after="30"/>
              <w:rPr>
                <w:color w:val="000000"/>
              </w:rPr>
            </w:pPr>
            <w:proofErr w:type="gramStart"/>
            <w:r w:rsidRPr="00302721">
              <w:rPr>
                <w:rStyle w:val="Artref"/>
                <w:color w:val="000000"/>
              </w:rPr>
              <w:t>5.485</w:t>
            </w:r>
            <w:r w:rsidRPr="00302721">
              <w:rPr>
                <w:color w:val="000000"/>
              </w:rPr>
              <w:t xml:space="preserve">  </w:t>
            </w:r>
            <w:r w:rsidRPr="00302721">
              <w:rPr>
                <w:rStyle w:val="Artref"/>
                <w:color w:val="000000"/>
              </w:rPr>
              <w:t>5.489</w:t>
            </w:r>
            <w:proofErr w:type="gramEnd"/>
          </w:p>
        </w:tc>
        <w:tc>
          <w:tcPr>
            <w:tcW w:w="3101" w:type="dxa"/>
            <w:tcBorders>
              <w:top w:val="nil"/>
              <w:left w:val="nil"/>
              <w:bottom w:val="single" w:sz="4" w:space="0" w:color="auto"/>
              <w:right w:val="single" w:sz="4" w:space="0" w:color="auto"/>
            </w:tcBorders>
            <w:hideMark/>
          </w:tcPr>
          <w:p w14:paraId="7D8302B4" w14:textId="77777777" w:rsidR="00AC2031" w:rsidRPr="00302721" w:rsidRDefault="00AC2031" w:rsidP="001C4621">
            <w:pPr>
              <w:pStyle w:val="TableTextS5"/>
              <w:spacing w:before="30" w:after="30"/>
              <w:rPr>
                <w:color w:val="000000"/>
              </w:rPr>
            </w:pPr>
            <w:proofErr w:type="gramStart"/>
            <w:r w:rsidRPr="00302721">
              <w:rPr>
                <w:rStyle w:val="Artref"/>
                <w:color w:val="000000"/>
              </w:rPr>
              <w:t>5.487</w:t>
            </w:r>
            <w:r w:rsidRPr="00302721">
              <w:rPr>
                <w:color w:val="000000"/>
              </w:rPr>
              <w:t xml:space="preserve">  </w:t>
            </w:r>
            <w:r w:rsidRPr="00302721">
              <w:rPr>
                <w:rStyle w:val="Artref"/>
                <w:color w:val="000000"/>
              </w:rPr>
              <w:t>5.487A</w:t>
            </w:r>
            <w:proofErr w:type="gramEnd"/>
          </w:p>
        </w:tc>
      </w:tr>
      <w:tr w:rsidR="00AC2031" w:rsidRPr="00302721" w14:paraId="5A25C69C" w14:textId="77777777" w:rsidTr="001C4621">
        <w:tblPrEx>
          <w:tblLook w:val="04A0" w:firstRow="1" w:lastRow="0" w:firstColumn="1" w:lastColumn="0" w:noHBand="0" w:noVBand="1"/>
        </w:tblPrEx>
        <w:trPr>
          <w:cantSplit/>
          <w:jc w:val="center"/>
        </w:trPr>
        <w:tc>
          <w:tcPr>
            <w:tcW w:w="3101" w:type="dxa"/>
            <w:vMerge/>
            <w:tcBorders>
              <w:left w:val="single" w:sz="6" w:space="0" w:color="auto"/>
              <w:bottom w:val="nil"/>
              <w:right w:val="single" w:sz="6" w:space="0" w:color="auto"/>
            </w:tcBorders>
          </w:tcPr>
          <w:p w14:paraId="27FE9686" w14:textId="77777777" w:rsidR="00AC2031" w:rsidRPr="00302721" w:rsidRDefault="00AC2031" w:rsidP="001C4621">
            <w:pPr>
              <w:pStyle w:val="TableTextS5"/>
              <w:spacing w:before="30" w:after="30"/>
              <w:rPr>
                <w:color w:val="000000"/>
              </w:rPr>
            </w:pPr>
          </w:p>
        </w:tc>
        <w:tc>
          <w:tcPr>
            <w:tcW w:w="3101" w:type="dxa"/>
            <w:vMerge w:val="restart"/>
            <w:tcBorders>
              <w:top w:val="single" w:sz="4" w:space="0" w:color="auto"/>
              <w:left w:val="nil"/>
              <w:right w:val="single" w:sz="6" w:space="0" w:color="auto"/>
            </w:tcBorders>
            <w:hideMark/>
          </w:tcPr>
          <w:p w14:paraId="6CE16459" w14:textId="77777777" w:rsidR="00AC2031" w:rsidRPr="00302721" w:rsidRDefault="00AC2031" w:rsidP="001C4621">
            <w:pPr>
              <w:pStyle w:val="TableTextS5"/>
              <w:spacing w:before="30" w:after="30"/>
              <w:rPr>
                <w:rStyle w:val="Tablefreq"/>
              </w:rPr>
            </w:pPr>
            <w:r w:rsidRPr="00302721">
              <w:rPr>
                <w:rStyle w:val="Tablefreq"/>
              </w:rPr>
              <w:t>12.2-12.7</w:t>
            </w:r>
          </w:p>
          <w:p w14:paraId="1DD3AA16" w14:textId="77777777" w:rsidR="00AC2031" w:rsidRPr="00302721" w:rsidRDefault="00AC2031" w:rsidP="001C4621">
            <w:pPr>
              <w:pStyle w:val="TableTextS5"/>
              <w:spacing w:before="30" w:after="30"/>
              <w:rPr>
                <w:color w:val="000000"/>
              </w:rPr>
            </w:pPr>
            <w:r w:rsidRPr="00302721">
              <w:rPr>
                <w:color w:val="000000"/>
              </w:rPr>
              <w:t>FIXED</w:t>
            </w:r>
          </w:p>
          <w:p w14:paraId="5C30DC4A" w14:textId="77777777" w:rsidR="00AC2031" w:rsidRPr="00302721" w:rsidRDefault="00AC2031" w:rsidP="001C4621">
            <w:pPr>
              <w:pStyle w:val="TableTextS5"/>
              <w:spacing w:before="30" w:after="30"/>
              <w:ind w:left="170" w:hanging="170"/>
              <w:rPr>
                <w:color w:val="000000"/>
              </w:rPr>
            </w:pPr>
            <w:r w:rsidRPr="00302721">
              <w:rPr>
                <w:color w:val="000000"/>
              </w:rPr>
              <w:t>MOBILE except aeronautical</w:t>
            </w:r>
            <w:r w:rsidRPr="00302721">
              <w:rPr>
                <w:color w:val="000000"/>
              </w:rPr>
              <w:br/>
              <w:t>mobile</w:t>
            </w:r>
          </w:p>
          <w:p w14:paraId="597FFBF7" w14:textId="77777777" w:rsidR="00AC2031" w:rsidRPr="00302721" w:rsidRDefault="00AC2031" w:rsidP="001C4621">
            <w:pPr>
              <w:pStyle w:val="TableTextS5"/>
              <w:spacing w:before="30" w:after="30"/>
              <w:rPr>
                <w:color w:val="000000"/>
              </w:rPr>
            </w:pPr>
            <w:r w:rsidRPr="00302721">
              <w:rPr>
                <w:color w:val="000000"/>
              </w:rPr>
              <w:t>BROADCASTING</w:t>
            </w:r>
          </w:p>
          <w:p w14:paraId="1DF220F4" w14:textId="77777777" w:rsidR="00AC2031" w:rsidRPr="00302721" w:rsidRDefault="00AC2031" w:rsidP="001C4621">
            <w:pPr>
              <w:pStyle w:val="TableTextS5"/>
              <w:spacing w:before="30" w:after="30"/>
              <w:ind w:left="160" w:hanging="160"/>
              <w:rPr>
                <w:color w:val="000000"/>
              </w:rPr>
            </w:pPr>
            <w:r w:rsidRPr="00302721">
              <w:rPr>
                <w:color w:val="000000"/>
              </w:rPr>
              <w:t>BROADCASTING-SATELLITE</w:t>
            </w:r>
            <w:r w:rsidRPr="00302721">
              <w:rPr>
                <w:color w:val="000000"/>
              </w:rPr>
              <w:br/>
              <w:t>5.492</w:t>
            </w:r>
          </w:p>
        </w:tc>
        <w:tc>
          <w:tcPr>
            <w:tcW w:w="3101" w:type="dxa"/>
            <w:tcBorders>
              <w:top w:val="single" w:sz="4" w:space="0" w:color="auto"/>
              <w:left w:val="nil"/>
              <w:bottom w:val="nil"/>
              <w:right w:val="single" w:sz="4" w:space="0" w:color="auto"/>
            </w:tcBorders>
            <w:hideMark/>
          </w:tcPr>
          <w:p w14:paraId="6CE6EB88" w14:textId="77777777" w:rsidR="00AC2031" w:rsidRPr="00302721" w:rsidRDefault="00AC2031" w:rsidP="001C4621">
            <w:pPr>
              <w:pStyle w:val="TableTextS5"/>
              <w:spacing w:before="30" w:after="30"/>
              <w:rPr>
                <w:rStyle w:val="Tablefreq"/>
              </w:rPr>
            </w:pPr>
            <w:r w:rsidRPr="00302721">
              <w:rPr>
                <w:rStyle w:val="Tablefreq"/>
              </w:rPr>
              <w:t>12.2-12.5</w:t>
            </w:r>
          </w:p>
          <w:p w14:paraId="71E6B7C4" w14:textId="77777777" w:rsidR="00AC2031" w:rsidRPr="00302721" w:rsidRDefault="00AC2031" w:rsidP="001C4621">
            <w:pPr>
              <w:pStyle w:val="TableTextS5"/>
              <w:spacing w:before="30" w:after="30"/>
              <w:rPr>
                <w:color w:val="000000"/>
              </w:rPr>
            </w:pPr>
            <w:r w:rsidRPr="00302721">
              <w:rPr>
                <w:color w:val="000000"/>
              </w:rPr>
              <w:t>FIXED</w:t>
            </w:r>
          </w:p>
          <w:p w14:paraId="3B24C1AE" w14:textId="77777777" w:rsidR="00AC2031" w:rsidRPr="00302721" w:rsidRDefault="00AC2031" w:rsidP="001C4621">
            <w:pPr>
              <w:pStyle w:val="TableTextS5"/>
              <w:spacing w:before="30" w:after="30"/>
              <w:ind w:left="170" w:hanging="170"/>
              <w:rPr>
                <w:color w:val="000000"/>
              </w:rPr>
            </w:pPr>
            <w:r w:rsidRPr="00302721">
              <w:rPr>
                <w:color w:val="000000"/>
              </w:rPr>
              <w:t>FIXED-SATELLITE</w:t>
            </w:r>
            <w:r w:rsidRPr="00302721">
              <w:rPr>
                <w:color w:val="000000"/>
              </w:rPr>
              <w:br/>
              <w:t>(space-to-Earth</w:t>
            </w:r>
            <w:proofErr w:type="gramStart"/>
            <w:r w:rsidRPr="00302721">
              <w:rPr>
                <w:color w:val="000000"/>
              </w:rPr>
              <w:t xml:space="preserve">) </w:t>
            </w:r>
            <w:r w:rsidRPr="00302721">
              <w:rPr>
                <w:rStyle w:val="Artref"/>
                <w:color w:val="000000"/>
              </w:rPr>
              <w:t xml:space="preserve"> ADD</w:t>
            </w:r>
            <w:proofErr w:type="gramEnd"/>
            <w:r w:rsidRPr="00302721">
              <w:rPr>
                <w:rStyle w:val="Artref"/>
                <w:color w:val="000000"/>
              </w:rPr>
              <w:t> 5.A15</w:t>
            </w:r>
          </w:p>
          <w:p w14:paraId="0C270436" w14:textId="77777777" w:rsidR="00AC2031" w:rsidRPr="00302721" w:rsidRDefault="00AC2031" w:rsidP="001C4621">
            <w:pPr>
              <w:pStyle w:val="TableTextS5"/>
              <w:spacing w:before="30" w:after="30"/>
              <w:ind w:left="170" w:hanging="170"/>
              <w:rPr>
                <w:color w:val="000000"/>
              </w:rPr>
            </w:pPr>
            <w:r w:rsidRPr="00302721">
              <w:rPr>
                <w:color w:val="000000"/>
              </w:rPr>
              <w:t>MOBILE except aeronautical</w:t>
            </w:r>
            <w:r w:rsidRPr="00302721">
              <w:rPr>
                <w:color w:val="000000"/>
              </w:rPr>
              <w:br/>
              <w:t>mobile</w:t>
            </w:r>
          </w:p>
          <w:p w14:paraId="4FD9307B" w14:textId="77777777" w:rsidR="00AC2031" w:rsidRPr="00302721" w:rsidRDefault="00AC2031" w:rsidP="001C4621">
            <w:pPr>
              <w:pStyle w:val="TableTextS5"/>
              <w:spacing w:before="30" w:after="30"/>
              <w:rPr>
                <w:color w:val="000000"/>
              </w:rPr>
            </w:pPr>
            <w:r w:rsidRPr="00302721">
              <w:rPr>
                <w:color w:val="000000"/>
              </w:rPr>
              <w:t>BROADCASTING</w:t>
            </w:r>
          </w:p>
        </w:tc>
      </w:tr>
      <w:tr w:rsidR="00AC2031" w:rsidRPr="00302721" w14:paraId="283EE757" w14:textId="77777777" w:rsidTr="001C4621">
        <w:tblPrEx>
          <w:tblLook w:val="04A0" w:firstRow="1" w:lastRow="0" w:firstColumn="1" w:lastColumn="0" w:noHBand="0" w:noVBand="1"/>
        </w:tblPrEx>
        <w:trPr>
          <w:cantSplit/>
          <w:jc w:val="center"/>
        </w:trPr>
        <w:tc>
          <w:tcPr>
            <w:tcW w:w="3101" w:type="dxa"/>
            <w:tcBorders>
              <w:top w:val="nil"/>
              <w:left w:val="single" w:sz="4" w:space="0" w:color="auto"/>
              <w:bottom w:val="single" w:sz="6" w:space="0" w:color="auto"/>
              <w:right w:val="single" w:sz="6" w:space="0" w:color="auto"/>
            </w:tcBorders>
            <w:hideMark/>
          </w:tcPr>
          <w:p w14:paraId="76412609" w14:textId="77777777" w:rsidR="00AC2031" w:rsidRPr="00302721" w:rsidRDefault="00AC2031" w:rsidP="001C4621">
            <w:pPr>
              <w:pStyle w:val="TableTextS5"/>
              <w:spacing w:before="30" w:after="30"/>
              <w:rPr>
                <w:color w:val="000000"/>
              </w:rPr>
            </w:pPr>
            <w:proofErr w:type="gramStart"/>
            <w:r w:rsidRPr="00302721">
              <w:rPr>
                <w:rStyle w:val="Artref"/>
                <w:color w:val="000000"/>
              </w:rPr>
              <w:t>5.487</w:t>
            </w:r>
            <w:r w:rsidRPr="00302721">
              <w:rPr>
                <w:color w:val="000000"/>
              </w:rPr>
              <w:t xml:space="preserve">  </w:t>
            </w:r>
            <w:r w:rsidRPr="00302721">
              <w:rPr>
                <w:rStyle w:val="Artref"/>
                <w:color w:val="000000"/>
              </w:rPr>
              <w:t>5.487A</w:t>
            </w:r>
            <w:proofErr w:type="gramEnd"/>
          </w:p>
        </w:tc>
        <w:tc>
          <w:tcPr>
            <w:tcW w:w="3101" w:type="dxa"/>
            <w:vMerge/>
            <w:tcBorders>
              <w:left w:val="nil"/>
              <w:bottom w:val="nil"/>
              <w:right w:val="single" w:sz="6" w:space="0" w:color="auto"/>
            </w:tcBorders>
          </w:tcPr>
          <w:p w14:paraId="3C5D1F88" w14:textId="77777777" w:rsidR="00AC2031" w:rsidRPr="00302721" w:rsidRDefault="00AC2031" w:rsidP="001C4621">
            <w:pPr>
              <w:pStyle w:val="TableTextS5"/>
              <w:spacing w:before="30" w:after="30"/>
              <w:rPr>
                <w:rStyle w:val="Artref"/>
                <w:color w:val="000000"/>
              </w:rPr>
            </w:pPr>
          </w:p>
        </w:tc>
        <w:tc>
          <w:tcPr>
            <w:tcW w:w="3101" w:type="dxa"/>
            <w:tcBorders>
              <w:top w:val="nil"/>
              <w:left w:val="nil"/>
              <w:bottom w:val="single" w:sz="4" w:space="0" w:color="auto"/>
              <w:right w:val="single" w:sz="4" w:space="0" w:color="auto"/>
            </w:tcBorders>
            <w:hideMark/>
          </w:tcPr>
          <w:p w14:paraId="5B8F6C69" w14:textId="77777777" w:rsidR="00AC2031" w:rsidRPr="00302721" w:rsidRDefault="00AC2031" w:rsidP="001C4621">
            <w:pPr>
              <w:pStyle w:val="TableTextS5"/>
              <w:spacing w:before="30" w:after="30"/>
              <w:rPr>
                <w:rStyle w:val="Artref"/>
                <w:color w:val="000000"/>
              </w:rPr>
            </w:pPr>
            <w:r w:rsidRPr="00302721">
              <w:rPr>
                <w:rStyle w:val="Artref"/>
                <w:color w:val="000000"/>
              </w:rPr>
              <w:t>5.487</w:t>
            </w:r>
            <w:r>
              <w:rPr>
                <w:rStyle w:val="Artref"/>
                <w:color w:val="000000"/>
              </w:rPr>
              <w:t xml:space="preserve"> </w:t>
            </w:r>
            <w:r w:rsidRPr="00302721">
              <w:rPr>
                <w:rStyle w:val="Artref"/>
                <w:color w:val="000000"/>
              </w:rPr>
              <w:t>5.484A</w:t>
            </w:r>
          </w:p>
        </w:tc>
      </w:tr>
      <w:tr w:rsidR="00AC2031" w:rsidRPr="00302721" w14:paraId="7EBAD9BA" w14:textId="77777777" w:rsidTr="001C4621">
        <w:tblPrEx>
          <w:tblLook w:val="04A0" w:firstRow="1" w:lastRow="0" w:firstColumn="1" w:lastColumn="0" w:noHBand="0" w:noVBand="1"/>
        </w:tblPrEx>
        <w:trPr>
          <w:cantSplit/>
          <w:jc w:val="center"/>
        </w:trPr>
        <w:tc>
          <w:tcPr>
            <w:tcW w:w="3101" w:type="dxa"/>
            <w:tcBorders>
              <w:top w:val="single" w:sz="6" w:space="0" w:color="auto"/>
              <w:left w:val="single" w:sz="4" w:space="0" w:color="auto"/>
              <w:right w:val="single" w:sz="6" w:space="0" w:color="auto"/>
            </w:tcBorders>
            <w:hideMark/>
          </w:tcPr>
          <w:p w14:paraId="103DBD5D" w14:textId="77777777" w:rsidR="00AC2031" w:rsidRPr="00302721" w:rsidRDefault="00AC2031" w:rsidP="001C4621">
            <w:pPr>
              <w:pStyle w:val="TableTextS5"/>
              <w:spacing w:before="30" w:after="30"/>
              <w:rPr>
                <w:rStyle w:val="Tablefreq"/>
              </w:rPr>
            </w:pPr>
            <w:r w:rsidRPr="00302721">
              <w:rPr>
                <w:rStyle w:val="Tablefreq"/>
              </w:rPr>
              <w:t>12.5-12.75</w:t>
            </w:r>
          </w:p>
          <w:p w14:paraId="2B965A93" w14:textId="77777777" w:rsidR="00AC2031" w:rsidRPr="00302721" w:rsidRDefault="00AC2031" w:rsidP="001C4621">
            <w:pPr>
              <w:pStyle w:val="TableTextS5"/>
              <w:spacing w:before="30" w:after="30"/>
              <w:ind w:left="170" w:hanging="170"/>
              <w:rPr>
                <w:color w:val="000000"/>
              </w:rPr>
            </w:pPr>
            <w:r w:rsidRPr="00302721">
              <w:rPr>
                <w:color w:val="000000"/>
              </w:rPr>
              <w:t>FIXED-SATELLITE</w:t>
            </w:r>
            <w:r w:rsidRPr="00302721">
              <w:rPr>
                <w:color w:val="000000"/>
              </w:rPr>
              <w:br/>
              <w:t>(space-to-Earth</w:t>
            </w:r>
            <w:proofErr w:type="gramStart"/>
            <w:r w:rsidRPr="00302721">
              <w:rPr>
                <w:color w:val="000000"/>
              </w:rPr>
              <w:t xml:space="preserve">)  </w:t>
            </w:r>
            <w:r w:rsidRPr="00302721">
              <w:rPr>
                <w:rStyle w:val="Artref"/>
                <w:color w:val="000000"/>
              </w:rPr>
              <w:t>5.484A</w:t>
            </w:r>
            <w:proofErr w:type="gramEnd"/>
            <w:r w:rsidRPr="00302721">
              <w:rPr>
                <w:rStyle w:val="Artref"/>
                <w:color w:val="000000"/>
              </w:rPr>
              <w:t xml:space="preserve">  ADD 5.A15</w:t>
            </w:r>
            <w:r w:rsidRPr="00302721">
              <w:rPr>
                <w:color w:val="000000"/>
              </w:rPr>
              <w:br/>
              <w:t>(Earth-to-space)</w:t>
            </w:r>
          </w:p>
          <w:p w14:paraId="421D7F50" w14:textId="77777777" w:rsidR="00AC2031" w:rsidRPr="00302721" w:rsidRDefault="00AC2031" w:rsidP="001C4621">
            <w:pPr>
              <w:pStyle w:val="TableTextS5"/>
              <w:spacing w:before="30" w:after="30"/>
              <w:rPr>
                <w:color w:val="000000"/>
              </w:rPr>
            </w:pPr>
            <w:r w:rsidRPr="00302721">
              <w:rPr>
                <w:color w:val="000000"/>
              </w:rPr>
              <w:br/>
            </w:r>
          </w:p>
          <w:p w14:paraId="00A9E59A" w14:textId="77777777" w:rsidR="00AC2031" w:rsidRPr="00302721" w:rsidRDefault="00AC2031" w:rsidP="001C4621">
            <w:pPr>
              <w:pStyle w:val="TableTextS5"/>
              <w:spacing w:before="30" w:after="30"/>
              <w:rPr>
                <w:color w:val="000000"/>
              </w:rPr>
            </w:pPr>
          </w:p>
          <w:p w14:paraId="10D9E7A4" w14:textId="77777777" w:rsidR="00AC2031" w:rsidRPr="00302721" w:rsidRDefault="00AC2031" w:rsidP="001C4621">
            <w:pPr>
              <w:pStyle w:val="TableTextS5"/>
              <w:spacing w:before="30" w:after="30"/>
              <w:rPr>
                <w:rStyle w:val="Tablefreq"/>
              </w:rPr>
            </w:pPr>
            <w:proofErr w:type="gramStart"/>
            <w:r w:rsidRPr="00302721">
              <w:rPr>
                <w:rStyle w:val="Artref"/>
                <w:color w:val="000000"/>
              </w:rPr>
              <w:t>5.494</w:t>
            </w:r>
            <w:r w:rsidRPr="00302721">
              <w:rPr>
                <w:color w:val="000000"/>
              </w:rPr>
              <w:t xml:space="preserve">  </w:t>
            </w:r>
            <w:r w:rsidRPr="00302721">
              <w:rPr>
                <w:rStyle w:val="Artref"/>
                <w:color w:val="000000"/>
              </w:rPr>
              <w:t>5.495</w:t>
            </w:r>
            <w:proofErr w:type="gramEnd"/>
            <w:r w:rsidRPr="00302721">
              <w:rPr>
                <w:color w:val="000000"/>
              </w:rPr>
              <w:t xml:space="preserve">  </w:t>
            </w:r>
            <w:r w:rsidRPr="00302721">
              <w:rPr>
                <w:rStyle w:val="Artref"/>
                <w:color w:val="000000"/>
              </w:rPr>
              <w:t>5.496</w:t>
            </w:r>
          </w:p>
        </w:tc>
        <w:tc>
          <w:tcPr>
            <w:tcW w:w="3101" w:type="dxa"/>
            <w:tcBorders>
              <w:top w:val="nil"/>
              <w:left w:val="nil"/>
              <w:bottom w:val="single" w:sz="4" w:space="0" w:color="auto"/>
              <w:right w:val="single" w:sz="6" w:space="0" w:color="auto"/>
            </w:tcBorders>
            <w:hideMark/>
          </w:tcPr>
          <w:p w14:paraId="129835E1" w14:textId="77777777" w:rsidR="00AC2031" w:rsidRPr="00302721" w:rsidRDefault="00AC2031" w:rsidP="001C4621">
            <w:pPr>
              <w:pStyle w:val="TableTextS5"/>
              <w:spacing w:before="20" w:after="20"/>
              <w:rPr>
                <w:color w:val="000000"/>
              </w:rPr>
            </w:pPr>
            <w:proofErr w:type="gramStart"/>
            <w:r w:rsidRPr="00302721">
              <w:rPr>
                <w:rStyle w:val="Artref"/>
                <w:color w:val="000000"/>
              </w:rPr>
              <w:t>5.487A</w:t>
            </w:r>
            <w:r w:rsidRPr="00302721">
              <w:rPr>
                <w:color w:val="000000"/>
              </w:rPr>
              <w:t xml:space="preserve">  </w:t>
            </w:r>
            <w:r w:rsidRPr="00302721">
              <w:rPr>
                <w:rStyle w:val="Artref"/>
                <w:color w:val="000000"/>
              </w:rPr>
              <w:t>5.488</w:t>
            </w:r>
            <w:proofErr w:type="gramEnd"/>
            <w:r w:rsidRPr="00302721">
              <w:rPr>
                <w:color w:val="000000"/>
              </w:rPr>
              <w:t xml:space="preserve">  </w:t>
            </w:r>
            <w:r w:rsidRPr="00302721">
              <w:rPr>
                <w:rStyle w:val="Artref"/>
                <w:color w:val="000000"/>
              </w:rPr>
              <w:t>5.490</w:t>
            </w:r>
            <w:r w:rsidRPr="00302721">
              <w:rPr>
                <w:color w:val="000000"/>
              </w:rPr>
              <w:t xml:space="preserve">  </w:t>
            </w:r>
          </w:p>
        </w:tc>
        <w:tc>
          <w:tcPr>
            <w:tcW w:w="3101" w:type="dxa"/>
            <w:tcBorders>
              <w:top w:val="single" w:sz="4" w:space="0" w:color="auto"/>
              <w:left w:val="nil"/>
              <w:right w:val="single" w:sz="4" w:space="0" w:color="auto"/>
            </w:tcBorders>
            <w:hideMark/>
          </w:tcPr>
          <w:p w14:paraId="7457B9A9" w14:textId="77777777" w:rsidR="00AC2031" w:rsidRPr="00302721" w:rsidRDefault="00AC2031" w:rsidP="001C4621">
            <w:pPr>
              <w:pStyle w:val="TableTextS5"/>
              <w:spacing w:before="20" w:after="20"/>
              <w:rPr>
                <w:rStyle w:val="Tablefreq"/>
              </w:rPr>
            </w:pPr>
            <w:r w:rsidRPr="00302721">
              <w:rPr>
                <w:rStyle w:val="Tablefreq"/>
              </w:rPr>
              <w:t>12.5-12.75</w:t>
            </w:r>
          </w:p>
          <w:p w14:paraId="647A8470" w14:textId="77777777" w:rsidR="00AC2031" w:rsidRPr="00302721" w:rsidRDefault="00AC2031" w:rsidP="001C4621">
            <w:pPr>
              <w:pStyle w:val="TableTextS5"/>
              <w:spacing w:before="30" w:after="30"/>
              <w:rPr>
                <w:color w:val="000000"/>
              </w:rPr>
            </w:pPr>
            <w:r w:rsidRPr="00302721">
              <w:rPr>
                <w:color w:val="000000"/>
              </w:rPr>
              <w:t>FIXED</w:t>
            </w:r>
          </w:p>
          <w:p w14:paraId="4B379E78" w14:textId="77777777" w:rsidR="00AC2031" w:rsidRPr="00302721" w:rsidRDefault="00AC2031" w:rsidP="001C4621">
            <w:pPr>
              <w:pStyle w:val="TableTextS5"/>
              <w:spacing w:before="30" w:after="30"/>
              <w:ind w:left="170" w:hanging="170"/>
              <w:rPr>
                <w:color w:val="000000"/>
              </w:rPr>
            </w:pPr>
            <w:r w:rsidRPr="00302721">
              <w:rPr>
                <w:color w:val="000000"/>
              </w:rPr>
              <w:t>FIXED-SATELLITE</w:t>
            </w:r>
            <w:r w:rsidRPr="00302721">
              <w:rPr>
                <w:color w:val="000000"/>
              </w:rPr>
              <w:br/>
              <w:t>(space-to-Earth</w:t>
            </w:r>
            <w:proofErr w:type="gramStart"/>
            <w:r w:rsidRPr="00302721">
              <w:rPr>
                <w:color w:val="000000"/>
              </w:rPr>
              <w:t xml:space="preserve">)  </w:t>
            </w:r>
            <w:r w:rsidRPr="00302721">
              <w:rPr>
                <w:rStyle w:val="Artref"/>
                <w:color w:val="000000"/>
              </w:rPr>
              <w:t>5.484A</w:t>
            </w:r>
            <w:proofErr w:type="gramEnd"/>
            <w:r w:rsidRPr="00302721">
              <w:rPr>
                <w:rStyle w:val="Artref"/>
                <w:color w:val="000000"/>
              </w:rPr>
              <w:t xml:space="preserve">  ADD 5.A15</w:t>
            </w:r>
          </w:p>
          <w:p w14:paraId="2FC73D02" w14:textId="77777777" w:rsidR="00AC2031" w:rsidRPr="00302721" w:rsidRDefault="00AC2031" w:rsidP="001C4621">
            <w:pPr>
              <w:pStyle w:val="TableTextS5"/>
              <w:spacing w:before="30" w:after="30"/>
              <w:ind w:left="170" w:hanging="170"/>
              <w:rPr>
                <w:color w:val="000000"/>
              </w:rPr>
            </w:pPr>
            <w:r w:rsidRPr="00302721">
              <w:rPr>
                <w:color w:val="000000"/>
              </w:rPr>
              <w:t>MOBILE except aeronautical</w:t>
            </w:r>
            <w:r w:rsidRPr="00302721">
              <w:rPr>
                <w:color w:val="000000"/>
              </w:rPr>
              <w:br/>
              <w:t>mobile</w:t>
            </w:r>
          </w:p>
          <w:p w14:paraId="097C4049" w14:textId="77777777" w:rsidR="00AC2031" w:rsidRPr="00302721" w:rsidRDefault="00AC2031" w:rsidP="001C4621">
            <w:pPr>
              <w:pStyle w:val="TableTextS5"/>
              <w:spacing w:before="30" w:after="30"/>
              <w:ind w:left="170" w:hanging="170"/>
              <w:rPr>
                <w:rStyle w:val="Tablefreq"/>
              </w:rPr>
            </w:pPr>
            <w:r w:rsidRPr="00302721">
              <w:rPr>
                <w:color w:val="000000"/>
              </w:rPr>
              <w:t>BROADCASTING-</w:t>
            </w:r>
            <w:r w:rsidRPr="00302721">
              <w:rPr>
                <w:color w:val="000000"/>
              </w:rPr>
              <w:br/>
              <w:t xml:space="preserve">SATELLITE  </w:t>
            </w:r>
            <w:r w:rsidRPr="00302721">
              <w:rPr>
                <w:rStyle w:val="Artref"/>
                <w:color w:val="000000"/>
              </w:rPr>
              <w:t>5.493</w:t>
            </w:r>
          </w:p>
        </w:tc>
      </w:tr>
    </w:tbl>
    <w:p w14:paraId="613FB106" w14:textId="77777777" w:rsidR="00AC2031" w:rsidRDefault="00AC2031" w:rsidP="00366C76">
      <w:pPr>
        <w:pStyle w:val="Listabc"/>
        <w:numPr>
          <w:ilvl w:val="0"/>
          <w:numId w:val="0"/>
        </w:numPr>
        <w:ind w:left="360" w:hanging="360"/>
      </w:pPr>
    </w:p>
    <w:tbl>
      <w:tblPr>
        <w:tblW w:w="0" w:type="auto"/>
        <w:jc w:val="center"/>
        <w:tblBorders>
          <w:bottom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9303"/>
      </w:tblGrid>
      <w:tr w:rsidR="00AC2031" w:rsidRPr="00302721" w14:paraId="6B4465D9" w14:textId="77777777" w:rsidTr="001C4621">
        <w:trPr>
          <w:cantSplit/>
          <w:jc w:val="center"/>
        </w:trPr>
        <w:tc>
          <w:tcPr>
            <w:tcW w:w="9303" w:type="dxa"/>
            <w:tcBorders>
              <w:top w:val="single" w:sz="4" w:space="0" w:color="auto"/>
              <w:left w:val="single" w:sz="4" w:space="0" w:color="auto"/>
              <w:bottom w:val="single" w:sz="4" w:space="0" w:color="auto"/>
              <w:right w:val="single" w:sz="4" w:space="0" w:color="auto"/>
            </w:tcBorders>
            <w:hideMark/>
          </w:tcPr>
          <w:p w14:paraId="63772824" w14:textId="77777777" w:rsidR="00AC2031" w:rsidRPr="00302721" w:rsidRDefault="00AC2031" w:rsidP="001C4621">
            <w:pPr>
              <w:pStyle w:val="TableTextS5"/>
              <w:keepNext/>
              <w:keepLines/>
              <w:tabs>
                <w:tab w:val="clear" w:pos="170"/>
                <w:tab w:val="clear" w:pos="567"/>
                <w:tab w:val="clear" w:pos="737"/>
              </w:tabs>
              <w:spacing w:before="30" w:after="30" w:line="210" w:lineRule="exact"/>
              <w:rPr>
                <w:color w:val="000000"/>
              </w:rPr>
            </w:pPr>
            <w:r w:rsidRPr="00302721">
              <w:rPr>
                <w:rStyle w:val="Tablefreq"/>
              </w:rPr>
              <w:t>14.4-14.47</w:t>
            </w:r>
            <w:r w:rsidRPr="00302721">
              <w:rPr>
                <w:color w:val="000000"/>
              </w:rPr>
              <w:tab/>
              <w:t>FIXED</w:t>
            </w:r>
          </w:p>
          <w:p w14:paraId="6D4BDBAB" w14:textId="77777777" w:rsidR="00AC2031" w:rsidRPr="00302721" w:rsidRDefault="00AC2031" w:rsidP="001C4621">
            <w:pPr>
              <w:pStyle w:val="TableTextS5"/>
              <w:keepNext/>
              <w:keepLines/>
              <w:tabs>
                <w:tab w:val="clear" w:pos="170"/>
                <w:tab w:val="clear" w:pos="567"/>
                <w:tab w:val="clear" w:pos="737"/>
              </w:tabs>
              <w:spacing w:before="30" w:after="30" w:line="210" w:lineRule="exact"/>
              <w:ind w:left="3266" w:hanging="3266"/>
              <w:rPr>
                <w:color w:val="000000"/>
              </w:rPr>
            </w:pPr>
            <w:r w:rsidRPr="00302721">
              <w:rPr>
                <w:color w:val="000000"/>
              </w:rPr>
              <w:tab/>
              <w:t>FIXED-SATELLITE (Earth-to-space</w:t>
            </w:r>
            <w:proofErr w:type="gramStart"/>
            <w:r w:rsidRPr="00302721">
              <w:rPr>
                <w:color w:val="000000"/>
              </w:rPr>
              <w:t xml:space="preserve">)  </w:t>
            </w:r>
            <w:r w:rsidR="000B4280">
              <w:rPr>
                <w:color w:val="000000"/>
              </w:rPr>
              <w:t>MOD</w:t>
            </w:r>
            <w:proofErr w:type="gramEnd"/>
            <w:r w:rsidR="000B4280">
              <w:rPr>
                <w:color w:val="000000"/>
              </w:rPr>
              <w:t xml:space="preserve"> </w:t>
            </w:r>
            <w:r w:rsidRPr="00302721">
              <w:rPr>
                <w:rStyle w:val="Artref"/>
                <w:color w:val="000000"/>
              </w:rPr>
              <w:t>5.457A</w:t>
            </w:r>
            <w:r w:rsidRPr="00302721">
              <w:rPr>
                <w:color w:val="000000"/>
              </w:rPr>
              <w:t xml:space="preserve">  </w:t>
            </w:r>
            <w:r w:rsidRPr="00302721">
              <w:rPr>
                <w:rStyle w:val="Artref"/>
                <w:color w:val="000000"/>
              </w:rPr>
              <w:t>5.457B</w:t>
            </w:r>
            <w:r w:rsidRPr="00302721">
              <w:rPr>
                <w:color w:val="000000"/>
              </w:rPr>
              <w:t xml:space="preserve">  </w:t>
            </w:r>
            <w:r w:rsidRPr="00302721">
              <w:rPr>
                <w:rStyle w:val="Artref"/>
                <w:color w:val="000000"/>
              </w:rPr>
              <w:t>5.484A  5.506</w:t>
            </w:r>
            <w:r w:rsidRPr="00302721">
              <w:rPr>
                <w:color w:val="000000"/>
              </w:rPr>
              <w:t>  </w:t>
            </w:r>
            <w:r w:rsidRPr="00302721">
              <w:rPr>
                <w:rStyle w:val="Artref"/>
                <w:color w:val="000000"/>
              </w:rPr>
              <w:t>5.506B ADD 5.A15</w:t>
            </w:r>
          </w:p>
          <w:p w14:paraId="12373339" w14:textId="77777777" w:rsidR="00AC2031" w:rsidRPr="00302721" w:rsidRDefault="00AC2031" w:rsidP="001C4621">
            <w:pPr>
              <w:pStyle w:val="TableTextS5"/>
              <w:keepNext/>
              <w:keepLines/>
              <w:tabs>
                <w:tab w:val="clear" w:pos="170"/>
                <w:tab w:val="clear" w:pos="567"/>
                <w:tab w:val="clear" w:pos="737"/>
              </w:tabs>
              <w:spacing w:before="30" w:after="30" w:line="210" w:lineRule="exact"/>
              <w:ind w:left="3005" w:hanging="3005"/>
              <w:rPr>
                <w:color w:val="000000"/>
              </w:rPr>
            </w:pPr>
            <w:r w:rsidRPr="00302721">
              <w:rPr>
                <w:color w:val="000000"/>
              </w:rPr>
              <w:tab/>
              <w:t>MOBILE except aeronautical mobile</w:t>
            </w:r>
          </w:p>
          <w:p w14:paraId="6AB4CE2C" w14:textId="77777777" w:rsidR="00AC2031" w:rsidRPr="00302721" w:rsidRDefault="00AC2031" w:rsidP="001C4621">
            <w:pPr>
              <w:pStyle w:val="TableTextS5"/>
              <w:keepNext/>
              <w:keepLines/>
              <w:tabs>
                <w:tab w:val="clear" w:pos="170"/>
                <w:tab w:val="clear" w:pos="567"/>
                <w:tab w:val="clear" w:pos="737"/>
              </w:tabs>
              <w:spacing w:before="30" w:after="30" w:line="210" w:lineRule="exact"/>
              <w:ind w:left="3005" w:hanging="3005"/>
              <w:rPr>
                <w:color w:val="000000"/>
              </w:rPr>
            </w:pPr>
            <w:r w:rsidRPr="00302721">
              <w:rPr>
                <w:color w:val="000000"/>
              </w:rPr>
              <w:tab/>
              <w:t>Mobile-satellite (Earth-to-space</w:t>
            </w:r>
            <w:proofErr w:type="gramStart"/>
            <w:r w:rsidRPr="00302721">
              <w:rPr>
                <w:color w:val="000000"/>
              </w:rPr>
              <w:t>)  5.504B</w:t>
            </w:r>
            <w:proofErr w:type="gramEnd"/>
            <w:r w:rsidRPr="00302721">
              <w:rPr>
                <w:color w:val="000000"/>
              </w:rPr>
              <w:t xml:space="preserve">  </w:t>
            </w:r>
            <w:r w:rsidRPr="00302721">
              <w:rPr>
                <w:rStyle w:val="Artref"/>
                <w:color w:val="000000"/>
              </w:rPr>
              <w:t>5.506A</w:t>
            </w:r>
            <w:r w:rsidRPr="00302721">
              <w:rPr>
                <w:color w:val="000000"/>
              </w:rPr>
              <w:t xml:space="preserve">  </w:t>
            </w:r>
            <w:r w:rsidRPr="00302721">
              <w:rPr>
                <w:rStyle w:val="Artref"/>
                <w:color w:val="000000"/>
              </w:rPr>
              <w:t>5.509A</w:t>
            </w:r>
          </w:p>
          <w:p w14:paraId="35565E3A" w14:textId="77777777" w:rsidR="00AC2031" w:rsidRPr="00302721" w:rsidRDefault="00AC2031" w:rsidP="001C4621">
            <w:pPr>
              <w:pStyle w:val="TableTextS5"/>
              <w:keepNext/>
              <w:keepLines/>
              <w:tabs>
                <w:tab w:val="clear" w:pos="170"/>
                <w:tab w:val="clear" w:pos="567"/>
                <w:tab w:val="clear" w:pos="737"/>
              </w:tabs>
              <w:spacing w:before="30" w:after="30" w:line="210" w:lineRule="exact"/>
              <w:ind w:left="3005" w:hanging="3005"/>
              <w:rPr>
                <w:color w:val="000000"/>
              </w:rPr>
            </w:pPr>
            <w:r w:rsidRPr="00302721">
              <w:rPr>
                <w:color w:val="000000"/>
              </w:rPr>
              <w:tab/>
              <w:t>Space research (space-to-Earth)</w:t>
            </w:r>
          </w:p>
          <w:p w14:paraId="4D69B4A8" w14:textId="77777777" w:rsidR="00AC2031" w:rsidRPr="00302721" w:rsidRDefault="00AC2031" w:rsidP="001C4621">
            <w:pPr>
              <w:pStyle w:val="TableTextS5"/>
              <w:keepNext/>
              <w:keepLines/>
              <w:tabs>
                <w:tab w:val="clear" w:pos="170"/>
                <w:tab w:val="clear" w:pos="567"/>
                <w:tab w:val="clear" w:pos="737"/>
              </w:tabs>
              <w:spacing w:before="30" w:after="30" w:line="210" w:lineRule="exact"/>
              <w:rPr>
                <w:color w:val="000000"/>
              </w:rPr>
            </w:pPr>
            <w:r w:rsidRPr="00302721">
              <w:rPr>
                <w:color w:val="000000"/>
              </w:rPr>
              <w:tab/>
            </w:r>
            <w:r w:rsidRPr="00302721">
              <w:rPr>
                <w:rStyle w:val="Artref"/>
                <w:color w:val="000000"/>
              </w:rPr>
              <w:t>5.504A</w:t>
            </w:r>
          </w:p>
        </w:tc>
      </w:tr>
    </w:tbl>
    <w:p w14:paraId="3A042759" w14:textId="77777777" w:rsidR="00AC2031" w:rsidRDefault="00AC2031" w:rsidP="00366C76">
      <w:pPr>
        <w:pStyle w:val="Listabc"/>
        <w:numPr>
          <w:ilvl w:val="0"/>
          <w:numId w:val="0"/>
        </w:numPr>
        <w:ind w:left="360" w:hanging="360"/>
      </w:pP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101"/>
        <w:gridCol w:w="3101"/>
        <w:gridCol w:w="3101"/>
      </w:tblGrid>
      <w:tr w:rsidR="00F13169" w14:paraId="4C8BA6E0" w14:textId="77777777" w:rsidTr="001C4621">
        <w:trPr>
          <w:cantSplit/>
        </w:trPr>
        <w:tc>
          <w:tcPr>
            <w:tcW w:w="3101" w:type="dxa"/>
            <w:tcBorders>
              <w:top w:val="single" w:sz="4" w:space="0" w:color="auto"/>
              <w:left w:val="single" w:sz="6" w:space="0" w:color="auto"/>
              <w:bottom w:val="nil"/>
              <w:right w:val="single" w:sz="6" w:space="0" w:color="auto"/>
            </w:tcBorders>
            <w:hideMark/>
          </w:tcPr>
          <w:p w14:paraId="4C66625D" w14:textId="77777777" w:rsidR="00F13169" w:rsidRPr="00D518E2" w:rsidRDefault="00F13169" w:rsidP="001C4621">
            <w:pPr>
              <w:pStyle w:val="TableTextS5"/>
              <w:spacing w:before="30" w:after="30"/>
              <w:rPr>
                <w:rStyle w:val="Tablefreq"/>
              </w:rPr>
            </w:pPr>
            <w:r w:rsidRPr="00D518E2">
              <w:rPr>
                <w:rStyle w:val="Tablefreq"/>
              </w:rPr>
              <w:t>19.7-20.1</w:t>
            </w:r>
          </w:p>
          <w:p w14:paraId="0ED86C3F" w14:textId="77777777" w:rsidR="00F13169" w:rsidRDefault="00F13169" w:rsidP="001C4621">
            <w:pPr>
              <w:pStyle w:val="TableTextS5"/>
              <w:spacing w:before="30" w:after="30"/>
              <w:ind w:left="170" w:hanging="170"/>
              <w:rPr>
                <w:color w:val="000000"/>
                <w:lang w:val="en-AU"/>
              </w:rPr>
            </w:pPr>
            <w:r>
              <w:rPr>
                <w:color w:val="000000"/>
                <w:lang w:val="en-AU"/>
              </w:rPr>
              <w:t>FIXED-SATELLITE</w:t>
            </w:r>
            <w:r>
              <w:rPr>
                <w:color w:val="000000"/>
                <w:lang w:val="en-AU"/>
              </w:rPr>
              <w:br/>
              <w:t>(space-to-Earth</w:t>
            </w:r>
            <w:proofErr w:type="gramStart"/>
            <w:r>
              <w:rPr>
                <w:color w:val="000000"/>
                <w:lang w:val="en-AU"/>
              </w:rPr>
              <w:t xml:space="preserve">)  </w:t>
            </w:r>
            <w:r>
              <w:rPr>
                <w:rStyle w:val="Artref"/>
                <w:color w:val="000000"/>
                <w:lang w:val="en-AU"/>
              </w:rPr>
              <w:t>5.484A</w:t>
            </w:r>
            <w:proofErr w:type="gramEnd"/>
            <w:r>
              <w:rPr>
                <w:color w:val="000000"/>
              </w:rPr>
              <w:t xml:space="preserve">  </w:t>
            </w:r>
            <w:r>
              <w:rPr>
                <w:rStyle w:val="Artref"/>
                <w:color w:val="000000"/>
                <w:lang w:val="en-AU"/>
              </w:rPr>
              <w:t>5.516B</w:t>
            </w:r>
            <w:r w:rsidR="00856397">
              <w:rPr>
                <w:rStyle w:val="Artref"/>
                <w:color w:val="000000"/>
                <w:lang w:val="en-AU"/>
              </w:rPr>
              <w:t xml:space="preserve"> ADD 5.5X  ADD 5.A15</w:t>
            </w:r>
          </w:p>
          <w:p w14:paraId="1FBD53ED" w14:textId="77777777" w:rsidR="00F13169" w:rsidRDefault="00F13169" w:rsidP="001C4621">
            <w:pPr>
              <w:pStyle w:val="TableTextS5"/>
              <w:spacing w:before="30" w:after="30"/>
              <w:rPr>
                <w:color w:val="000000"/>
                <w:lang w:val="en-AU"/>
              </w:rPr>
            </w:pPr>
            <w:r>
              <w:rPr>
                <w:color w:val="000000"/>
                <w:lang w:val="en-AU"/>
              </w:rPr>
              <w:t>Mobile-satellite (space-to-Earth)</w:t>
            </w:r>
          </w:p>
        </w:tc>
        <w:tc>
          <w:tcPr>
            <w:tcW w:w="3101" w:type="dxa"/>
            <w:tcBorders>
              <w:top w:val="single" w:sz="4" w:space="0" w:color="auto"/>
              <w:left w:val="single" w:sz="6" w:space="0" w:color="auto"/>
              <w:bottom w:val="nil"/>
              <w:right w:val="single" w:sz="6" w:space="0" w:color="auto"/>
            </w:tcBorders>
            <w:hideMark/>
          </w:tcPr>
          <w:p w14:paraId="3D4976ED" w14:textId="77777777" w:rsidR="00F13169" w:rsidRPr="00D518E2" w:rsidRDefault="00F13169" w:rsidP="001C4621">
            <w:pPr>
              <w:pStyle w:val="TableTextS5"/>
              <w:spacing w:before="30" w:after="30"/>
              <w:rPr>
                <w:rStyle w:val="Tablefreq"/>
              </w:rPr>
            </w:pPr>
            <w:r w:rsidRPr="00D518E2">
              <w:rPr>
                <w:rStyle w:val="Tablefreq"/>
              </w:rPr>
              <w:t>19.7-20.1</w:t>
            </w:r>
          </w:p>
          <w:p w14:paraId="4664350B" w14:textId="77777777" w:rsidR="00F13169" w:rsidRDefault="00F13169" w:rsidP="001C4621">
            <w:pPr>
              <w:pStyle w:val="TableTextS5"/>
              <w:spacing w:before="30" w:after="30"/>
              <w:ind w:left="170" w:hanging="170"/>
              <w:rPr>
                <w:color w:val="000000"/>
                <w:lang w:val="en-AU"/>
              </w:rPr>
            </w:pPr>
            <w:r>
              <w:rPr>
                <w:color w:val="000000"/>
                <w:lang w:val="en-AU"/>
              </w:rPr>
              <w:t>FIXED-SATELLITE</w:t>
            </w:r>
            <w:r>
              <w:rPr>
                <w:color w:val="000000"/>
                <w:lang w:val="en-AU"/>
              </w:rPr>
              <w:br/>
              <w:t>(space-to-Earth</w:t>
            </w:r>
            <w:proofErr w:type="gramStart"/>
            <w:r>
              <w:rPr>
                <w:color w:val="000000"/>
                <w:lang w:val="en-AU"/>
              </w:rPr>
              <w:t xml:space="preserve">)  </w:t>
            </w:r>
            <w:r>
              <w:rPr>
                <w:rStyle w:val="Artref"/>
                <w:color w:val="000000"/>
                <w:lang w:val="en-AU"/>
              </w:rPr>
              <w:t>5.484A</w:t>
            </w:r>
            <w:proofErr w:type="gramEnd"/>
            <w:r>
              <w:rPr>
                <w:color w:val="000000"/>
              </w:rPr>
              <w:t xml:space="preserve">  </w:t>
            </w:r>
            <w:r>
              <w:rPr>
                <w:rStyle w:val="Artref"/>
                <w:color w:val="000000"/>
                <w:lang w:val="en-AU"/>
              </w:rPr>
              <w:t>5.516B</w:t>
            </w:r>
            <w:r w:rsidR="00856397">
              <w:rPr>
                <w:rStyle w:val="Artref"/>
                <w:color w:val="000000"/>
                <w:lang w:val="en-AU"/>
              </w:rPr>
              <w:t xml:space="preserve">   ADD 5.5X  ADD 5.A15</w:t>
            </w:r>
          </w:p>
          <w:p w14:paraId="0D53C3C3" w14:textId="77777777" w:rsidR="00F13169" w:rsidRDefault="00F13169" w:rsidP="001C4621">
            <w:pPr>
              <w:pStyle w:val="TableTextS5"/>
              <w:spacing w:before="30" w:after="30"/>
              <w:ind w:left="170" w:hanging="170"/>
              <w:rPr>
                <w:color w:val="000000"/>
                <w:lang w:val="en-AU"/>
              </w:rPr>
            </w:pPr>
            <w:r>
              <w:rPr>
                <w:color w:val="000000"/>
                <w:lang w:val="en-AU"/>
              </w:rPr>
              <w:t>MOBILE-SATELLITE</w:t>
            </w:r>
            <w:r>
              <w:rPr>
                <w:color w:val="000000"/>
                <w:lang w:val="en-AU"/>
              </w:rPr>
              <w:br/>
              <w:t>(space-to-Earth)</w:t>
            </w:r>
          </w:p>
        </w:tc>
        <w:tc>
          <w:tcPr>
            <w:tcW w:w="3101" w:type="dxa"/>
            <w:tcBorders>
              <w:top w:val="single" w:sz="4" w:space="0" w:color="auto"/>
              <w:left w:val="single" w:sz="6" w:space="0" w:color="auto"/>
              <w:bottom w:val="nil"/>
              <w:right w:val="single" w:sz="6" w:space="0" w:color="auto"/>
            </w:tcBorders>
            <w:hideMark/>
          </w:tcPr>
          <w:p w14:paraId="6189BE5E" w14:textId="77777777" w:rsidR="00F13169" w:rsidRPr="00D518E2" w:rsidRDefault="00F13169" w:rsidP="001C4621">
            <w:pPr>
              <w:pStyle w:val="TableTextS5"/>
              <w:spacing w:before="30" w:after="30"/>
              <w:rPr>
                <w:rStyle w:val="Tablefreq"/>
              </w:rPr>
            </w:pPr>
            <w:r w:rsidRPr="00D518E2">
              <w:rPr>
                <w:rStyle w:val="Tablefreq"/>
              </w:rPr>
              <w:t>19.7-20.1</w:t>
            </w:r>
          </w:p>
          <w:p w14:paraId="7C5914A1" w14:textId="77777777" w:rsidR="00F13169" w:rsidRDefault="00F13169" w:rsidP="001C4621">
            <w:pPr>
              <w:pStyle w:val="TableTextS5"/>
              <w:spacing w:before="30" w:after="30"/>
              <w:ind w:left="170" w:hanging="170"/>
              <w:rPr>
                <w:color w:val="000000"/>
                <w:lang w:val="en-AU"/>
              </w:rPr>
            </w:pPr>
            <w:r>
              <w:rPr>
                <w:color w:val="000000"/>
                <w:lang w:val="en-AU"/>
              </w:rPr>
              <w:t>FIXED-SATELLITE</w:t>
            </w:r>
            <w:r>
              <w:rPr>
                <w:color w:val="000000"/>
                <w:lang w:val="en-AU"/>
              </w:rPr>
              <w:br/>
              <w:t>(space-to-Earth</w:t>
            </w:r>
            <w:proofErr w:type="gramStart"/>
            <w:r>
              <w:rPr>
                <w:color w:val="000000"/>
                <w:lang w:val="en-AU"/>
              </w:rPr>
              <w:t xml:space="preserve">)  </w:t>
            </w:r>
            <w:r>
              <w:rPr>
                <w:rStyle w:val="Artref"/>
                <w:color w:val="000000"/>
                <w:lang w:val="en-AU"/>
              </w:rPr>
              <w:t>5.484A</w:t>
            </w:r>
            <w:proofErr w:type="gramEnd"/>
            <w:r>
              <w:rPr>
                <w:color w:val="000000"/>
              </w:rPr>
              <w:t xml:space="preserve">  </w:t>
            </w:r>
            <w:r>
              <w:rPr>
                <w:rStyle w:val="Artref"/>
                <w:color w:val="000000"/>
                <w:lang w:val="en-AU"/>
              </w:rPr>
              <w:t>5.516B</w:t>
            </w:r>
            <w:r w:rsidR="00856397">
              <w:rPr>
                <w:rStyle w:val="Artref"/>
                <w:color w:val="000000"/>
                <w:lang w:val="en-AU"/>
              </w:rPr>
              <w:t xml:space="preserve">   ADD 5.5X  ADD 5.A15</w:t>
            </w:r>
          </w:p>
          <w:p w14:paraId="007967B1" w14:textId="77777777" w:rsidR="00F13169" w:rsidRDefault="00F13169" w:rsidP="001C4621">
            <w:pPr>
              <w:pStyle w:val="TableTextS5"/>
              <w:spacing w:before="30" w:after="30"/>
              <w:rPr>
                <w:color w:val="000000"/>
                <w:lang w:val="en-AU"/>
              </w:rPr>
            </w:pPr>
            <w:r>
              <w:rPr>
                <w:color w:val="000000"/>
                <w:lang w:val="en-AU"/>
              </w:rPr>
              <w:t>Mobile-satellite (space-to-Earth)</w:t>
            </w:r>
          </w:p>
        </w:tc>
      </w:tr>
      <w:tr w:rsidR="00F13169" w14:paraId="13AEBDD8" w14:textId="77777777" w:rsidTr="001C4621">
        <w:trPr>
          <w:cantSplit/>
        </w:trPr>
        <w:tc>
          <w:tcPr>
            <w:tcW w:w="3101" w:type="dxa"/>
            <w:tcBorders>
              <w:top w:val="nil"/>
              <w:left w:val="single" w:sz="6" w:space="0" w:color="auto"/>
              <w:bottom w:val="single" w:sz="6" w:space="0" w:color="auto"/>
              <w:right w:val="single" w:sz="6" w:space="0" w:color="auto"/>
            </w:tcBorders>
            <w:hideMark/>
          </w:tcPr>
          <w:p w14:paraId="248DB459" w14:textId="77777777" w:rsidR="00F13169" w:rsidRDefault="00F13169" w:rsidP="001C4621">
            <w:pPr>
              <w:pStyle w:val="TableTextS5"/>
              <w:spacing w:before="30" w:after="30"/>
              <w:rPr>
                <w:color w:val="000000"/>
                <w:lang w:val="en-AU"/>
              </w:rPr>
            </w:pPr>
            <w:r>
              <w:rPr>
                <w:color w:val="000000"/>
                <w:lang w:val="en-AU"/>
              </w:rPr>
              <w:br/>
            </w:r>
            <w:r>
              <w:rPr>
                <w:rStyle w:val="Artref"/>
                <w:color w:val="000000"/>
                <w:lang w:val="en-AU"/>
              </w:rPr>
              <w:t>5.524</w:t>
            </w:r>
          </w:p>
        </w:tc>
        <w:tc>
          <w:tcPr>
            <w:tcW w:w="3101" w:type="dxa"/>
            <w:tcBorders>
              <w:top w:val="nil"/>
              <w:left w:val="single" w:sz="6" w:space="0" w:color="auto"/>
              <w:bottom w:val="single" w:sz="6" w:space="0" w:color="auto"/>
              <w:right w:val="single" w:sz="6" w:space="0" w:color="auto"/>
            </w:tcBorders>
            <w:hideMark/>
          </w:tcPr>
          <w:p w14:paraId="6B4C7885" w14:textId="77777777" w:rsidR="00F13169" w:rsidRDefault="00F13169" w:rsidP="001C4621">
            <w:pPr>
              <w:pStyle w:val="TableTextS5"/>
              <w:spacing w:before="30" w:after="30"/>
              <w:rPr>
                <w:color w:val="000000"/>
                <w:lang w:val="en-AU"/>
              </w:rPr>
            </w:pPr>
            <w:proofErr w:type="gramStart"/>
            <w:r>
              <w:rPr>
                <w:rStyle w:val="Artref"/>
                <w:color w:val="000000"/>
                <w:lang w:val="en-AU"/>
              </w:rPr>
              <w:t>5.524</w:t>
            </w:r>
            <w:r>
              <w:rPr>
                <w:color w:val="000000"/>
                <w:lang w:val="en-AU"/>
              </w:rPr>
              <w:t xml:space="preserve">  </w:t>
            </w:r>
            <w:r>
              <w:rPr>
                <w:rStyle w:val="Artref"/>
                <w:color w:val="000000"/>
                <w:lang w:val="en-AU"/>
              </w:rPr>
              <w:t>5.525</w:t>
            </w:r>
            <w:proofErr w:type="gramEnd"/>
            <w:r>
              <w:rPr>
                <w:color w:val="000000"/>
                <w:lang w:val="en-AU"/>
              </w:rPr>
              <w:t xml:space="preserve">  </w:t>
            </w:r>
            <w:r>
              <w:rPr>
                <w:rStyle w:val="Artref"/>
                <w:color w:val="000000"/>
                <w:lang w:val="en-AU"/>
              </w:rPr>
              <w:t>5.526</w:t>
            </w:r>
            <w:r>
              <w:rPr>
                <w:color w:val="000000"/>
                <w:lang w:val="en-AU"/>
              </w:rPr>
              <w:t xml:space="preserve">  </w:t>
            </w:r>
            <w:r>
              <w:rPr>
                <w:rStyle w:val="Artref"/>
                <w:color w:val="000000"/>
                <w:lang w:val="en-AU"/>
              </w:rPr>
              <w:t>5.527</w:t>
            </w:r>
            <w:r>
              <w:rPr>
                <w:color w:val="000000"/>
                <w:lang w:val="en-AU"/>
              </w:rPr>
              <w:t xml:space="preserve">  </w:t>
            </w:r>
            <w:r>
              <w:rPr>
                <w:rStyle w:val="Artref"/>
                <w:color w:val="000000"/>
                <w:lang w:val="en-AU"/>
              </w:rPr>
              <w:t>5.528</w:t>
            </w:r>
            <w:r>
              <w:rPr>
                <w:color w:val="000000"/>
                <w:lang w:val="en-AU"/>
              </w:rPr>
              <w:t xml:space="preserve">  </w:t>
            </w:r>
            <w:r>
              <w:rPr>
                <w:rStyle w:val="Artref"/>
                <w:color w:val="000000"/>
                <w:lang w:val="en-AU"/>
              </w:rPr>
              <w:t>5.529</w:t>
            </w:r>
          </w:p>
        </w:tc>
        <w:tc>
          <w:tcPr>
            <w:tcW w:w="3101" w:type="dxa"/>
            <w:tcBorders>
              <w:top w:val="nil"/>
              <w:left w:val="single" w:sz="6" w:space="0" w:color="auto"/>
              <w:bottom w:val="single" w:sz="6" w:space="0" w:color="auto"/>
              <w:right w:val="single" w:sz="6" w:space="0" w:color="auto"/>
            </w:tcBorders>
            <w:hideMark/>
          </w:tcPr>
          <w:p w14:paraId="6FB87D60" w14:textId="77777777" w:rsidR="00F13169" w:rsidRDefault="00F13169" w:rsidP="001C4621">
            <w:pPr>
              <w:pStyle w:val="TableTextS5"/>
              <w:spacing w:before="30" w:after="30"/>
              <w:rPr>
                <w:color w:val="000000"/>
                <w:lang w:val="en-AU"/>
              </w:rPr>
            </w:pPr>
            <w:r>
              <w:rPr>
                <w:color w:val="000000"/>
                <w:lang w:val="en-AU"/>
              </w:rPr>
              <w:br/>
            </w:r>
            <w:r>
              <w:rPr>
                <w:rStyle w:val="Artref"/>
                <w:color w:val="000000"/>
                <w:lang w:val="en-AU"/>
              </w:rPr>
              <w:t>5.524</w:t>
            </w:r>
          </w:p>
        </w:tc>
      </w:tr>
      <w:tr w:rsidR="00F13169" w14:paraId="0A916F20" w14:textId="77777777" w:rsidTr="001C4621">
        <w:trPr>
          <w:cantSplit/>
        </w:trPr>
        <w:tc>
          <w:tcPr>
            <w:tcW w:w="9303" w:type="dxa"/>
            <w:gridSpan w:val="3"/>
            <w:tcBorders>
              <w:top w:val="single" w:sz="6" w:space="0" w:color="auto"/>
              <w:left w:val="single" w:sz="6" w:space="0" w:color="auto"/>
              <w:bottom w:val="single" w:sz="4" w:space="0" w:color="auto"/>
              <w:right w:val="single" w:sz="6" w:space="0" w:color="auto"/>
            </w:tcBorders>
            <w:hideMark/>
          </w:tcPr>
          <w:p w14:paraId="31B5C596" w14:textId="77777777" w:rsidR="00F13169" w:rsidRDefault="00F13169" w:rsidP="001C4621">
            <w:pPr>
              <w:pStyle w:val="TableTextS5"/>
              <w:spacing w:before="30" w:after="30"/>
              <w:rPr>
                <w:color w:val="000000"/>
                <w:lang w:val="en-AU"/>
              </w:rPr>
            </w:pPr>
            <w:r w:rsidRPr="00D518E2">
              <w:rPr>
                <w:rStyle w:val="Tablefreq"/>
              </w:rPr>
              <w:t>20.1-20.2</w:t>
            </w:r>
            <w:r>
              <w:rPr>
                <w:b/>
                <w:color w:val="000000"/>
                <w:lang w:val="en-AU"/>
              </w:rPr>
              <w:tab/>
            </w:r>
            <w:r>
              <w:rPr>
                <w:color w:val="000000"/>
                <w:lang w:val="en-AU"/>
              </w:rPr>
              <w:t>FIXED-SATELLITE (space-to-Earth</w:t>
            </w:r>
            <w:proofErr w:type="gramStart"/>
            <w:r>
              <w:rPr>
                <w:color w:val="000000"/>
                <w:lang w:val="en-AU"/>
              </w:rPr>
              <w:t xml:space="preserve">)  </w:t>
            </w:r>
            <w:r>
              <w:rPr>
                <w:rStyle w:val="Artref"/>
                <w:color w:val="000000"/>
                <w:lang w:val="en-AU"/>
              </w:rPr>
              <w:t>5.484A</w:t>
            </w:r>
            <w:proofErr w:type="gramEnd"/>
            <w:r>
              <w:rPr>
                <w:color w:val="000000"/>
              </w:rPr>
              <w:t xml:space="preserve">  </w:t>
            </w:r>
            <w:r>
              <w:rPr>
                <w:rStyle w:val="Artref"/>
                <w:color w:val="000000"/>
                <w:lang w:val="en-AU"/>
              </w:rPr>
              <w:t>5.516B</w:t>
            </w:r>
            <w:r w:rsidR="00856397">
              <w:rPr>
                <w:rStyle w:val="Artref"/>
                <w:color w:val="000000"/>
                <w:lang w:val="en-AU"/>
              </w:rPr>
              <w:t xml:space="preserve">   ADD 5.5X  </w:t>
            </w:r>
            <w:r w:rsidR="00856397">
              <w:rPr>
                <w:rStyle w:val="Artref"/>
                <w:color w:val="000000"/>
                <w:lang w:val="en-AU"/>
              </w:rPr>
              <w:br/>
            </w:r>
            <w:r w:rsidR="00856397">
              <w:rPr>
                <w:color w:val="000000"/>
                <w:lang w:val="en-AU"/>
              </w:rPr>
              <w:tab/>
            </w:r>
            <w:r w:rsidR="00856397">
              <w:rPr>
                <w:color w:val="000000"/>
                <w:lang w:val="en-AU"/>
              </w:rPr>
              <w:tab/>
            </w:r>
            <w:r w:rsidR="00856397">
              <w:rPr>
                <w:color w:val="000000"/>
                <w:lang w:val="en-AU"/>
              </w:rPr>
              <w:tab/>
            </w:r>
            <w:r w:rsidR="00856397">
              <w:rPr>
                <w:color w:val="000000"/>
                <w:lang w:val="en-AU"/>
              </w:rPr>
              <w:tab/>
            </w:r>
            <w:r w:rsidR="00856397">
              <w:rPr>
                <w:rStyle w:val="Artref"/>
                <w:color w:val="000000"/>
                <w:lang w:val="en-AU"/>
              </w:rPr>
              <w:t>ADD 5.A15</w:t>
            </w:r>
          </w:p>
          <w:p w14:paraId="2569D539" w14:textId="77777777" w:rsidR="00F13169" w:rsidRDefault="00F13169" w:rsidP="001C4621">
            <w:pPr>
              <w:pStyle w:val="TableTextS5"/>
              <w:spacing w:before="30" w:after="30"/>
              <w:rPr>
                <w:color w:val="000000"/>
                <w:lang w:val="en-AU"/>
              </w:rPr>
            </w:pPr>
            <w:r>
              <w:rPr>
                <w:color w:val="000000"/>
                <w:lang w:val="en-AU"/>
              </w:rPr>
              <w:tab/>
            </w:r>
            <w:r>
              <w:rPr>
                <w:color w:val="000000"/>
                <w:lang w:val="en-AU"/>
              </w:rPr>
              <w:tab/>
            </w:r>
            <w:r>
              <w:rPr>
                <w:color w:val="000000"/>
                <w:lang w:val="en-AU"/>
              </w:rPr>
              <w:tab/>
            </w:r>
            <w:r>
              <w:rPr>
                <w:color w:val="000000"/>
                <w:lang w:val="en-AU"/>
              </w:rPr>
              <w:tab/>
              <w:t>MOBILE-SATELLITE (space-to-Earth)</w:t>
            </w:r>
          </w:p>
          <w:p w14:paraId="6825BB5B" w14:textId="77777777" w:rsidR="00F13169" w:rsidRDefault="00F13169" w:rsidP="001C4621">
            <w:pPr>
              <w:pStyle w:val="TableTextS5"/>
              <w:spacing w:before="30" w:after="30"/>
              <w:rPr>
                <w:color w:val="000000"/>
                <w:lang w:val="en-AU"/>
              </w:rPr>
            </w:pPr>
            <w:r>
              <w:rPr>
                <w:color w:val="000000"/>
                <w:lang w:val="en-AU"/>
              </w:rPr>
              <w:tab/>
            </w:r>
            <w:r>
              <w:rPr>
                <w:color w:val="000000"/>
                <w:lang w:val="en-AU"/>
              </w:rPr>
              <w:tab/>
            </w:r>
            <w:r>
              <w:rPr>
                <w:color w:val="000000"/>
                <w:lang w:val="en-AU"/>
              </w:rPr>
              <w:tab/>
            </w:r>
            <w:r>
              <w:rPr>
                <w:color w:val="000000"/>
                <w:lang w:val="en-AU"/>
              </w:rPr>
              <w:tab/>
            </w:r>
            <w:proofErr w:type="gramStart"/>
            <w:r>
              <w:rPr>
                <w:rStyle w:val="Artref"/>
                <w:color w:val="000000"/>
                <w:lang w:val="en-AU"/>
              </w:rPr>
              <w:t>5.524</w:t>
            </w:r>
            <w:r>
              <w:rPr>
                <w:color w:val="000000"/>
                <w:lang w:val="en-AU"/>
              </w:rPr>
              <w:t xml:space="preserve">  </w:t>
            </w:r>
            <w:r>
              <w:rPr>
                <w:rStyle w:val="Artref"/>
                <w:color w:val="000000"/>
                <w:lang w:val="en-AU"/>
              </w:rPr>
              <w:t>5.525</w:t>
            </w:r>
            <w:proofErr w:type="gramEnd"/>
            <w:r>
              <w:rPr>
                <w:color w:val="000000"/>
                <w:lang w:val="en-AU"/>
              </w:rPr>
              <w:t xml:space="preserve">  </w:t>
            </w:r>
            <w:r>
              <w:rPr>
                <w:rStyle w:val="Artref"/>
                <w:color w:val="000000"/>
                <w:lang w:val="en-AU"/>
              </w:rPr>
              <w:t>5.526</w:t>
            </w:r>
            <w:r>
              <w:rPr>
                <w:color w:val="000000"/>
                <w:lang w:val="en-AU"/>
              </w:rPr>
              <w:t xml:space="preserve">  </w:t>
            </w:r>
            <w:r>
              <w:rPr>
                <w:rStyle w:val="Artref"/>
                <w:color w:val="000000"/>
                <w:lang w:val="en-AU"/>
              </w:rPr>
              <w:t>5.527</w:t>
            </w:r>
            <w:r>
              <w:rPr>
                <w:color w:val="000000"/>
                <w:lang w:val="en-AU"/>
              </w:rPr>
              <w:t xml:space="preserve">  </w:t>
            </w:r>
            <w:r>
              <w:rPr>
                <w:rStyle w:val="Artref"/>
                <w:color w:val="000000"/>
                <w:lang w:val="en-AU"/>
              </w:rPr>
              <w:t>5.528</w:t>
            </w:r>
          </w:p>
        </w:tc>
      </w:tr>
    </w:tbl>
    <w:p w14:paraId="0860C2AB" w14:textId="77777777" w:rsidR="00F13169" w:rsidRDefault="00F13169" w:rsidP="00366C76">
      <w:pPr>
        <w:pStyle w:val="Listabc"/>
        <w:numPr>
          <w:ilvl w:val="0"/>
          <w:numId w:val="0"/>
        </w:numPr>
        <w:ind w:left="360" w:hanging="360"/>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1"/>
        <w:gridCol w:w="3101"/>
        <w:gridCol w:w="3102"/>
      </w:tblGrid>
      <w:tr w:rsidR="00F13169" w14:paraId="178FAA86" w14:textId="77777777" w:rsidTr="001C4621">
        <w:trPr>
          <w:cantSplit/>
        </w:trPr>
        <w:tc>
          <w:tcPr>
            <w:tcW w:w="3101" w:type="dxa"/>
            <w:tcBorders>
              <w:top w:val="single" w:sz="4" w:space="0" w:color="auto"/>
              <w:left w:val="single" w:sz="4" w:space="0" w:color="auto"/>
              <w:bottom w:val="nil"/>
              <w:right w:val="single" w:sz="4" w:space="0" w:color="auto"/>
            </w:tcBorders>
            <w:hideMark/>
          </w:tcPr>
          <w:p w14:paraId="0318DBC3" w14:textId="77777777" w:rsidR="00F13169" w:rsidRPr="00D518E2" w:rsidRDefault="00F13169" w:rsidP="001C4621">
            <w:pPr>
              <w:pStyle w:val="TableTextS5"/>
              <w:rPr>
                <w:rStyle w:val="Tablefreq"/>
              </w:rPr>
            </w:pPr>
            <w:r w:rsidRPr="00D518E2">
              <w:rPr>
                <w:rStyle w:val="Tablefreq"/>
              </w:rPr>
              <w:lastRenderedPageBreak/>
              <w:t>29.5-29.9</w:t>
            </w:r>
          </w:p>
          <w:p w14:paraId="6BB37FCF" w14:textId="77777777" w:rsidR="00F13169" w:rsidRDefault="00F13169" w:rsidP="001C4621">
            <w:pPr>
              <w:pStyle w:val="TableTextS5"/>
              <w:ind w:left="170" w:hanging="170"/>
              <w:rPr>
                <w:color w:val="000000"/>
                <w:lang w:val="en-AU"/>
              </w:rPr>
            </w:pPr>
            <w:r>
              <w:rPr>
                <w:color w:val="000000"/>
                <w:lang w:val="en-AU"/>
              </w:rPr>
              <w:t>FIXED-SATELLITE</w:t>
            </w:r>
            <w:r>
              <w:rPr>
                <w:color w:val="000000"/>
                <w:lang w:val="en-AU"/>
              </w:rPr>
              <w:br/>
              <w:t>(Earth-to-space</w:t>
            </w:r>
            <w:proofErr w:type="gramStart"/>
            <w:r>
              <w:rPr>
                <w:color w:val="000000"/>
                <w:lang w:val="en-AU"/>
              </w:rPr>
              <w:t xml:space="preserve">)  </w:t>
            </w:r>
            <w:r>
              <w:rPr>
                <w:rStyle w:val="Artref"/>
                <w:color w:val="000000"/>
                <w:lang w:val="en-AU"/>
              </w:rPr>
              <w:t>5.484A</w:t>
            </w:r>
            <w:proofErr w:type="gramEnd"/>
            <w:r>
              <w:rPr>
                <w:color w:val="000000"/>
                <w:lang w:val="en-AU"/>
              </w:rPr>
              <w:t xml:space="preserve">  </w:t>
            </w:r>
            <w:r>
              <w:rPr>
                <w:rStyle w:val="Artref"/>
                <w:color w:val="000000"/>
                <w:lang w:val="en-AU"/>
              </w:rPr>
              <w:t>5.516B</w:t>
            </w:r>
            <w:r>
              <w:rPr>
                <w:color w:val="000000"/>
              </w:rPr>
              <w:t xml:space="preserve">  </w:t>
            </w:r>
            <w:r>
              <w:rPr>
                <w:rStyle w:val="Artref"/>
                <w:color w:val="000000"/>
                <w:lang w:val="en-AU"/>
              </w:rPr>
              <w:t>5.539</w:t>
            </w:r>
            <w:r w:rsidR="00A232B4">
              <w:rPr>
                <w:rStyle w:val="Artref"/>
                <w:color w:val="000000"/>
                <w:lang w:val="en-AU"/>
              </w:rPr>
              <w:t xml:space="preserve">   ADD 5.5X  ADD 5.A15</w:t>
            </w:r>
          </w:p>
          <w:p w14:paraId="603B1C57" w14:textId="77777777" w:rsidR="00F13169" w:rsidRDefault="00F13169" w:rsidP="001C4621">
            <w:pPr>
              <w:pStyle w:val="TableTextS5"/>
              <w:spacing w:before="0"/>
              <w:ind w:left="170" w:hanging="170"/>
              <w:rPr>
                <w:color w:val="000000"/>
                <w:lang w:val="en-AU"/>
              </w:rPr>
            </w:pPr>
            <w:r>
              <w:rPr>
                <w:color w:val="000000"/>
                <w:lang w:val="en-AU"/>
              </w:rPr>
              <w:t>Earth exploration-satellite</w:t>
            </w:r>
            <w:r>
              <w:rPr>
                <w:color w:val="000000"/>
                <w:lang w:val="en-AU"/>
              </w:rPr>
              <w:br/>
              <w:t>(Earth-to-space</w:t>
            </w:r>
            <w:proofErr w:type="gramStart"/>
            <w:r>
              <w:rPr>
                <w:color w:val="000000"/>
                <w:lang w:val="en-AU"/>
              </w:rPr>
              <w:t xml:space="preserve">)  </w:t>
            </w:r>
            <w:r>
              <w:rPr>
                <w:rStyle w:val="Artref"/>
                <w:color w:val="000000"/>
                <w:lang w:val="en-AU"/>
              </w:rPr>
              <w:t>5.541</w:t>
            </w:r>
            <w:proofErr w:type="gramEnd"/>
          </w:p>
          <w:p w14:paraId="56BB14FD" w14:textId="77777777" w:rsidR="00F13169" w:rsidRDefault="00F13169" w:rsidP="001C4621">
            <w:pPr>
              <w:pStyle w:val="TableTextS5"/>
              <w:spacing w:before="0"/>
              <w:rPr>
                <w:color w:val="000000"/>
                <w:lang w:val="en-AU"/>
              </w:rPr>
            </w:pPr>
            <w:r>
              <w:rPr>
                <w:color w:val="000000"/>
                <w:lang w:val="en-AU"/>
              </w:rPr>
              <w:t>Mobile-satellite (Earth-to-space)</w:t>
            </w:r>
          </w:p>
        </w:tc>
        <w:tc>
          <w:tcPr>
            <w:tcW w:w="3101" w:type="dxa"/>
            <w:tcBorders>
              <w:top w:val="single" w:sz="4" w:space="0" w:color="auto"/>
              <w:left w:val="single" w:sz="4" w:space="0" w:color="auto"/>
              <w:bottom w:val="nil"/>
              <w:right w:val="single" w:sz="4" w:space="0" w:color="auto"/>
            </w:tcBorders>
            <w:hideMark/>
          </w:tcPr>
          <w:p w14:paraId="62211084" w14:textId="77777777" w:rsidR="00F13169" w:rsidRPr="00D518E2" w:rsidRDefault="00F13169" w:rsidP="001C4621">
            <w:pPr>
              <w:pStyle w:val="TableTextS5"/>
              <w:rPr>
                <w:rStyle w:val="Tablefreq"/>
              </w:rPr>
            </w:pPr>
            <w:r w:rsidRPr="00D518E2">
              <w:rPr>
                <w:rStyle w:val="Tablefreq"/>
              </w:rPr>
              <w:t>29.5-29.9</w:t>
            </w:r>
          </w:p>
          <w:p w14:paraId="2983734B" w14:textId="77777777" w:rsidR="00F13169" w:rsidRDefault="00F13169" w:rsidP="001C4621">
            <w:pPr>
              <w:pStyle w:val="TableTextS5"/>
              <w:ind w:left="170" w:hanging="170"/>
              <w:rPr>
                <w:color w:val="000000"/>
                <w:lang w:val="en-AU"/>
              </w:rPr>
            </w:pPr>
            <w:r>
              <w:rPr>
                <w:color w:val="000000"/>
                <w:lang w:val="en-AU"/>
              </w:rPr>
              <w:t>FIXED-SATELLITE</w:t>
            </w:r>
            <w:r>
              <w:rPr>
                <w:color w:val="000000"/>
                <w:lang w:val="en-AU"/>
              </w:rPr>
              <w:br/>
              <w:t>(Earth-to-space</w:t>
            </w:r>
            <w:proofErr w:type="gramStart"/>
            <w:r>
              <w:rPr>
                <w:color w:val="000000"/>
                <w:lang w:val="en-AU"/>
              </w:rPr>
              <w:t xml:space="preserve">)  </w:t>
            </w:r>
            <w:r>
              <w:rPr>
                <w:rStyle w:val="Artref"/>
                <w:color w:val="000000"/>
                <w:lang w:val="en-AU"/>
              </w:rPr>
              <w:t>5.484A</w:t>
            </w:r>
            <w:proofErr w:type="gramEnd"/>
            <w:r>
              <w:rPr>
                <w:color w:val="000000"/>
                <w:lang w:val="en-AU"/>
              </w:rPr>
              <w:t xml:space="preserve">  </w:t>
            </w:r>
            <w:r>
              <w:rPr>
                <w:rStyle w:val="Artref"/>
                <w:color w:val="000000"/>
                <w:lang w:val="en-AU"/>
              </w:rPr>
              <w:t>5.516B</w:t>
            </w:r>
            <w:r>
              <w:rPr>
                <w:color w:val="000000"/>
              </w:rPr>
              <w:t xml:space="preserve">  </w:t>
            </w:r>
            <w:r>
              <w:rPr>
                <w:rStyle w:val="Artref"/>
                <w:color w:val="000000"/>
                <w:lang w:val="en-AU"/>
              </w:rPr>
              <w:t>5.539</w:t>
            </w:r>
            <w:r w:rsidR="00A232B4">
              <w:rPr>
                <w:rStyle w:val="Artref"/>
                <w:color w:val="000000"/>
                <w:lang w:val="en-AU"/>
              </w:rPr>
              <w:t xml:space="preserve">   ADD 5.5X  ADD 5.A15</w:t>
            </w:r>
          </w:p>
          <w:p w14:paraId="32EAC7D5" w14:textId="77777777" w:rsidR="00F13169" w:rsidRDefault="00F13169" w:rsidP="001C4621">
            <w:pPr>
              <w:pStyle w:val="TableTextS5"/>
              <w:spacing w:before="0"/>
              <w:ind w:left="170" w:hanging="170"/>
              <w:rPr>
                <w:color w:val="000000"/>
                <w:lang w:val="en-AU"/>
              </w:rPr>
            </w:pPr>
            <w:r>
              <w:rPr>
                <w:color w:val="000000"/>
                <w:lang w:val="en-AU"/>
              </w:rPr>
              <w:t>MOBILE-SATELLITE</w:t>
            </w:r>
            <w:r>
              <w:rPr>
                <w:color w:val="000000"/>
                <w:lang w:val="en-AU"/>
              </w:rPr>
              <w:br/>
              <w:t>(Earth-to-space)</w:t>
            </w:r>
          </w:p>
          <w:p w14:paraId="74010A12" w14:textId="77777777" w:rsidR="00F13169" w:rsidRDefault="00F13169" w:rsidP="001C4621">
            <w:pPr>
              <w:pStyle w:val="TableTextS5"/>
              <w:spacing w:before="0"/>
              <w:ind w:left="170" w:hanging="170"/>
              <w:rPr>
                <w:color w:val="000000"/>
                <w:lang w:val="en-AU"/>
              </w:rPr>
            </w:pPr>
            <w:r>
              <w:rPr>
                <w:color w:val="000000"/>
                <w:lang w:val="en-AU"/>
              </w:rPr>
              <w:t>Earth exploration-satellite</w:t>
            </w:r>
            <w:r>
              <w:rPr>
                <w:color w:val="000000"/>
                <w:lang w:val="en-AU"/>
              </w:rPr>
              <w:br/>
              <w:t>(Earth-to-space</w:t>
            </w:r>
            <w:proofErr w:type="gramStart"/>
            <w:r>
              <w:rPr>
                <w:color w:val="000000"/>
                <w:lang w:val="en-AU"/>
              </w:rPr>
              <w:t xml:space="preserve">)  </w:t>
            </w:r>
            <w:r>
              <w:rPr>
                <w:rStyle w:val="Artref"/>
                <w:color w:val="000000"/>
                <w:lang w:val="en-AU"/>
              </w:rPr>
              <w:t>5.541</w:t>
            </w:r>
            <w:proofErr w:type="gramEnd"/>
          </w:p>
        </w:tc>
        <w:tc>
          <w:tcPr>
            <w:tcW w:w="3102" w:type="dxa"/>
            <w:tcBorders>
              <w:top w:val="single" w:sz="4" w:space="0" w:color="auto"/>
              <w:left w:val="single" w:sz="4" w:space="0" w:color="auto"/>
              <w:bottom w:val="nil"/>
              <w:right w:val="single" w:sz="4" w:space="0" w:color="auto"/>
            </w:tcBorders>
            <w:hideMark/>
          </w:tcPr>
          <w:p w14:paraId="66EC509E" w14:textId="77777777" w:rsidR="00F13169" w:rsidRPr="00D518E2" w:rsidRDefault="00F13169" w:rsidP="001C4621">
            <w:pPr>
              <w:pStyle w:val="TableTextS5"/>
              <w:rPr>
                <w:rStyle w:val="Tablefreq"/>
              </w:rPr>
            </w:pPr>
            <w:r w:rsidRPr="00D518E2">
              <w:rPr>
                <w:rStyle w:val="Tablefreq"/>
              </w:rPr>
              <w:t>29.5-29.9</w:t>
            </w:r>
          </w:p>
          <w:p w14:paraId="12DDB5D0" w14:textId="77777777" w:rsidR="00F13169" w:rsidRDefault="00F13169" w:rsidP="001C4621">
            <w:pPr>
              <w:pStyle w:val="TableTextS5"/>
              <w:ind w:left="170" w:hanging="170"/>
              <w:rPr>
                <w:color w:val="000000"/>
                <w:lang w:val="en-AU"/>
              </w:rPr>
            </w:pPr>
            <w:r>
              <w:rPr>
                <w:color w:val="000000"/>
                <w:lang w:val="en-AU"/>
              </w:rPr>
              <w:t>FIXED-SATELLITE</w:t>
            </w:r>
            <w:r>
              <w:rPr>
                <w:color w:val="000000"/>
                <w:lang w:val="en-AU"/>
              </w:rPr>
              <w:br/>
              <w:t>(Earth-to-space</w:t>
            </w:r>
            <w:proofErr w:type="gramStart"/>
            <w:r>
              <w:rPr>
                <w:color w:val="000000"/>
                <w:lang w:val="en-AU"/>
              </w:rPr>
              <w:t xml:space="preserve">)  </w:t>
            </w:r>
            <w:r>
              <w:rPr>
                <w:rStyle w:val="Artref"/>
                <w:color w:val="000000"/>
                <w:lang w:val="en-AU"/>
              </w:rPr>
              <w:t>5.484A</w:t>
            </w:r>
            <w:proofErr w:type="gramEnd"/>
            <w:r>
              <w:rPr>
                <w:color w:val="000000"/>
                <w:lang w:val="en-AU"/>
              </w:rPr>
              <w:t xml:space="preserve">  </w:t>
            </w:r>
            <w:r>
              <w:rPr>
                <w:rStyle w:val="Artref"/>
                <w:color w:val="000000"/>
                <w:lang w:val="en-AU"/>
              </w:rPr>
              <w:t>5.516B</w:t>
            </w:r>
            <w:r>
              <w:rPr>
                <w:color w:val="000000"/>
              </w:rPr>
              <w:t xml:space="preserve">  </w:t>
            </w:r>
            <w:r>
              <w:rPr>
                <w:rStyle w:val="Artref"/>
                <w:color w:val="000000"/>
                <w:lang w:val="en-AU"/>
              </w:rPr>
              <w:t>5.539</w:t>
            </w:r>
            <w:r w:rsidR="00A232B4">
              <w:rPr>
                <w:rStyle w:val="Artref"/>
                <w:color w:val="000000"/>
                <w:lang w:val="en-AU"/>
              </w:rPr>
              <w:t xml:space="preserve">   ADD 5.5X  ADD 5.A15</w:t>
            </w:r>
          </w:p>
          <w:p w14:paraId="5E949C11" w14:textId="77777777" w:rsidR="00F13169" w:rsidRDefault="00F13169" w:rsidP="001C4621">
            <w:pPr>
              <w:pStyle w:val="TableTextS5"/>
              <w:spacing w:before="0"/>
              <w:ind w:left="170" w:hanging="170"/>
              <w:rPr>
                <w:color w:val="000000"/>
                <w:lang w:val="en-AU"/>
              </w:rPr>
            </w:pPr>
            <w:r>
              <w:rPr>
                <w:color w:val="000000"/>
                <w:lang w:val="en-AU"/>
              </w:rPr>
              <w:t>Earth exploration-satellite</w:t>
            </w:r>
            <w:r>
              <w:rPr>
                <w:color w:val="000000"/>
                <w:lang w:val="en-AU"/>
              </w:rPr>
              <w:br/>
              <w:t>(Earth-to-space</w:t>
            </w:r>
            <w:proofErr w:type="gramStart"/>
            <w:r>
              <w:rPr>
                <w:color w:val="000000"/>
                <w:lang w:val="en-AU"/>
              </w:rPr>
              <w:t xml:space="preserve">)  </w:t>
            </w:r>
            <w:r>
              <w:rPr>
                <w:rStyle w:val="Artref"/>
                <w:color w:val="000000"/>
                <w:lang w:val="en-AU"/>
              </w:rPr>
              <w:t>5.541</w:t>
            </w:r>
            <w:proofErr w:type="gramEnd"/>
          </w:p>
          <w:p w14:paraId="0634182A" w14:textId="77777777" w:rsidR="00F13169" w:rsidRDefault="00F13169" w:rsidP="001C4621">
            <w:pPr>
              <w:pStyle w:val="TableTextS5"/>
              <w:spacing w:before="0"/>
              <w:rPr>
                <w:color w:val="000000"/>
                <w:lang w:val="en-AU"/>
              </w:rPr>
            </w:pPr>
            <w:r>
              <w:rPr>
                <w:color w:val="000000"/>
                <w:lang w:val="en-AU"/>
              </w:rPr>
              <w:t xml:space="preserve">Mobile-satellite (Earth-to-space) </w:t>
            </w:r>
          </w:p>
        </w:tc>
      </w:tr>
      <w:tr w:rsidR="00F13169" w14:paraId="4C4AC0C7" w14:textId="77777777" w:rsidTr="001C4621">
        <w:trPr>
          <w:cantSplit/>
        </w:trPr>
        <w:tc>
          <w:tcPr>
            <w:tcW w:w="3101" w:type="dxa"/>
            <w:tcBorders>
              <w:top w:val="nil"/>
              <w:left w:val="single" w:sz="4" w:space="0" w:color="auto"/>
              <w:bottom w:val="single" w:sz="4" w:space="0" w:color="auto"/>
              <w:right w:val="single" w:sz="4" w:space="0" w:color="auto"/>
            </w:tcBorders>
            <w:hideMark/>
          </w:tcPr>
          <w:p w14:paraId="7D8D910C" w14:textId="77777777" w:rsidR="00F13169" w:rsidRDefault="00F13169" w:rsidP="001C4621">
            <w:pPr>
              <w:pStyle w:val="TableTextS5"/>
              <w:spacing w:after="20"/>
              <w:rPr>
                <w:color w:val="000000"/>
                <w:lang w:val="en-AU"/>
              </w:rPr>
            </w:pPr>
            <w:r>
              <w:rPr>
                <w:color w:val="000000"/>
                <w:lang w:val="en-AU"/>
              </w:rPr>
              <w:br/>
            </w:r>
            <w:proofErr w:type="gramStart"/>
            <w:r>
              <w:rPr>
                <w:rStyle w:val="Artref"/>
                <w:color w:val="000000"/>
                <w:lang w:val="en-AU"/>
              </w:rPr>
              <w:t>5.540</w:t>
            </w:r>
            <w:r>
              <w:rPr>
                <w:color w:val="000000"/>
                <w:lang w:val="en-AU"/>
              </w:rPr>
              <w:t xml:space="preserve">  </w:t>
            </w:r>
            <w:r>
              <w:rPr>
                <w:rStyle w:val="Artref"/>
                <w:color w:val="000000"/>
                <w:lang w:val="en-AU"/>
              </w:rPr>
              <w:t>5.542</w:t>
            </w:r>
            <w:proofErr w:type="gramEnd"/>
          </w:p>
        </w:tc>
        <w:tc>
          <w:tcPr>
            <w:tcW w:w="3101" w:type="dxa"/>
            <w:tcBorders>
              <w:top w:val="nil"/>
              <w:left w:val="single" w:sz="4" w:space="0" w:color="auto"/>
              <w:bottom w:val="single" w:sz="4" w:space="0" w:color="auto"/>
              <w:right w:val="single" w:sz="4" w:space="0" w:color="auto"/>
            </w:tcBorders>
            <w:hideMark/>
          </w:tcPr>
          <w:p w14:paraId="3B02664E" w14:textId="77777777" w:rsidR="00F13169" w:rsidRDefault="00F13169" w:rsidP="001C4621">
            <w:pPr>
              <w:pStyle w:val="TableTextS5"/>
              <w:spacing w:after="20"/>
              <w:rPr>
                <w:color w:val="000000"/>
                <w:lang w:val="en-AU"/>
              </w:rPr>
            </w:pPr>
            <w:proofErr w:type="gramStart"/>
            <w:r>
              <w:rPr>
                <w:rStyle w:val="Artref"/>
                <w:color w:val="000000"/>
                <w:lang w:val="en-AU"/>
              </w:rPr>
              <w:t>5.525</w:t>
            </w:r>
            <w:r>
              <w:rPr>
                <w:color w:val="000000"/>
                <w:lang w:val="en-AU"/>
              </w:rPr>
              <w:t xml:space="preserve">  </w:t>
            </w:r>
            <w:r>
              <w:rPr>
                <w:rStyle w:val="Artref"/>
                <w:color w:val="000000"/>
                <w:lang w:val="en-AU"/>
              </w:rPr>
              <w:t>5.526</w:t>
            </w:r>
            <w:proofErr w:type="gramEnd"/>
            <w:r>
              <w:rPr>
                <w:color w:val="000000"/>
                <w:lang w:val="en-AU"/>
              </w:rPr>
              <w:t xml:space="preserve">  </w:t>
            </w:r>
            <w:r>
              <w:rPr>
                <w:rStyle w:val="Artref"/>
                <w:color w:val="000000"/>
                <w:lang w:val="en-AU"/>
              </w:rPr>
              <w:t>5.527</w:t>
            </w:r>
            <w:r>
              <w:rPr>
                <w:color w:val="000000"/>
                <w:lang w:val="en-AU"/>
              </w:rPr>
              <w:t xml:space="preserve">  </w:t>
            </w:r>
            <w:r>
              <w:rPr>
                <w:rStyle w:val="Artref"/>
                <w:color w:val="000000"/>
                <w:lang w:val="en-AU"/>
              </w:rPr>
              <w:t>5.529</w:t>
            </w:r>
            <w:r>
              <w:rPr>
                <w:color w:val="000000"/>
                <w:lang w:val="en-AU"/>
              </w:rPr>
              <w:t xml:space="preserve">  </w:t>
            </w:r>
            <w:r>
              <w:rPr>
                <w:rStyle w:val="Artref"/>
                <w:color w:val="000000"/>
                <w:lang w:val="en-AU"/>
              </w:rPr>
              <w:t>5.540</w:t>
            </w:r>
            <w:r>
              <w:rPr>
                <w:color w:val="000000"/>
                <w:lang w:val="en-AU"/>
              </w:rPr>
              <w:t xml:space="preserve"> </w:t>
            </w:r>
          </w:p>
        </w:tc>
        <w:tc>
          <w:tcPr>
            <w:tcW w:w="3102" w:type="dxa"/>
            <w:tcBorders>
              <w:top w:val="nil"/>
              <w:left w:val="single" w:sz="4" w:space="0" w:color="auto"/>
              <w:bottom w:val="single" w:sz="4" w:space="0" w:color="auto"/>
              <w:right w:val="single" w:sz="4" w:space="0" w:color="auto"/>
            </w:tcBorders>
            <w:hideMark/>
          </w:tcPr>
          <w:p w14:paraId="661B9C5E" w14:textId="77777777" w:rsidR="00F13169" w:rsidRDefault="00F13169" w:rsidP="001C4621">
            <w:pPr>
              <w:pStyle w:val="TableTextS5"/>
              <w:spacing w:after="20"/>
              <w:rPr>
                <w:color w:val="000000"/>
                <w:lang w:val="en-AU"/>
              </w:rPr>
            </w:pPr>
            <w:r>
              <w:rPr>
                <w:color w:val="000000"/>
                <w:lang w:val="en-AU"/>
              </w:rPr>
              <w:br/>
            </w:r>
            <w:proofErr w:type="gramStart"/>
            <w:r>
              <w:rPr>
                <w:rStyle w:val="Artref"/>
                <w:color w:val="000000"/>
                <w:lang w:val="en-AU"/>
              </w:rPr>
              <w:t>5.540</w:t>
            </w:r>
            <w:r>
              <w:rPr>
                <w:color w:val="000000"/>
                <w:lang w:val="en-AU"/>
              </w:rPr>
              <w:t xml:space="preserve">  </w:t>
            </w:r>
            <w:r>
              <w:rPr>
                <w:rStyle w:val="Artref"/>
                <w:color w:val="000000"/>
                <w:lang w:val="en-AU"/>
              </w:rPr>
              <w:t>5.542</w:t>
            </w:r>
            <w:proofErr w:type="gramEnd"/>
          </w:p>
        </w:tc>
      </w:tr>
    </w:tbl>
    <w:p w14:paraId="6AD26B15" w14:textId="77777777" w:rsidR="00F13169" w:rsidRDefault="00F13169" w:rsidP="00366C76">
      <w:pPr>
        <w:pStyle w:val="Listabc"/>
        <w:numPr>
          <w:ilvl w:val="0"/>
          <w:numId w:val="0"/>
        </w:numPr>
        <w:ind w:left="360" w:hanging="360"/>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9303"/>
      </w:tblGrid>
      <w:tr w:rsidR="00F13169" w14:paraId="1CC2B568" w14:textId="77777777" w:rsidTr="001C4621">
        <w:trPr>
          <w:cantSplit/>
        </w:trPr>
        <w:tc>
          <w:tcPr>
            <w:tcW w:w="9303" w:type="dxa"/>
            <w:tcBorders>
              <w:top w:val="single" w:sz="4" w:space="0" w:color="auto"/>
              <w:left w:val="single" w:sz="4" w:space="0" w:color="auto"/>
              <w:bottom w:val="single" w:sz="4" w:space="0" w:color="auto"/>
              <w:right w:val="single" w:sz="4" w:space="0" w:color="auto"/>
            </w:tcBorders>
            <w:hideMark/>
          </w:tcPr>
          <w:p w14:paraId="2562E7D6" w14:textId="77777777" w:rsidR="00A232B4" w:rsidRDefault="00F13169" w:rsidP="001C4621">
            <w:pPr>
              <w:pStyle w:val="TableTextS5"/>
              <w:rPr>
                <w:rStyle w:val="Artref"/>
                <w:color w:val="000000"/>
                <w:lang w:val="en-AU"/>
              </w:rPr>
            </w:pPr>
            <w:r w:rsidRPr="00D518E2">
              <w:rPr>
                <w:rStyle w:val="Tablefreq"/>
              </w:rPr>
              <w:t>29.9-30</w:t>
            </w:r>
            <w:r w:rsidRPr="00B62B4C">
              <w:tab/>
            </w:r>
            <w:r>
              <w:rPr>
                <w:b/>
                <w:color w:val="000000"/>
                <w:lang w:val="en-AU"/>
              </w:rPr>
              <w:tab/>
            </w:r>
            <w:r>
              <w:rPr>
                <w:color w:val="000000"/>
                <w:lang w:val="en-AU"/>
              </w:rPr>
              <w:t>FIXED-SATELLITE (Earth-to-space</w:t>
            </w:r>
            <w:proofErr w:type="gramStart"/>
            <w:r>
              <w:rPr>
                <w:color w:val="000000"/>
                <w:lang w:val="en-AU"/>
              </w:rPr>
              <w:t xml:space="preserve">)  </w:t>
            </w:r>
            <w:r>
              <w:rPr>
                <w:rStyle w:val="Artref"/>
                <w:color w:val="000000"/>
                <w:lang w:val="en-AU"/>
              </w:rPr>
              <w:t>5.484A</w:t>
            </w:r>
            <w:proofErr w:type="gramEnd"/>
            <w:r>
              <w:rPr>
                <w:color w:val="000000"/>
              </w:rPr>
              <w:t xml:space="preserve">  </w:t>
            </w:r>
            <w:r>
              <w:rPr>
                <w:rStyle w:val="Artref"/>
                <w:color w:val="000000"/>
                <w:lang w:val="en-AU"/>
              </w:rPr>
              <w:t>5.516B</w:t>
            </w:r>
            <w:r>
              <w:rPr>
                <w:color w:val="000000"/>
                <w:lang w:val="en-AU"/>
              </w:rPr>
              <w:t xml:space="preserve">  </w:t>
            </w:r>
            <w:r>
              <w:rPr>
                <w:rStyle w:val="Artref"/>
                <w:color w:val="000000"/>
                <w:lang w:val="en-AU"/>
              </w:rPr>
              <w:t>5.539</w:t>
            </w:r>
            <w:r w:rsidR="00A232B4">
              <w:rPr>
                <w:rStyle w:val="Artref"/>
                <w:color w:val="000000"/>
                <w:lang w:val="en-AU"/>
              </w:rPr>
              <w:t xml:space="preserve">   ADD 5.5X</w:t>
            </w:r>
          </w:p>
          <w:p w14:paraId="5E64C319" w14:textId="77777777" w:rsidR="00F13169" w:rsidRDefault="00A232B4" w:rsidP="001C4621">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r>
            <w:r>
              <w:rPr>
                <w:rStyle w:val="Artref"/>
                <w:color w:val="000000"/>
                <w:lang w:val="en-AU"/>
              </w:rPr>
              <w:t>ADD 5.A15</w:t>
            </w:r>
          </w:p>
          <w:p w14:paraId="5A9D856D" w14:textId="77777777" w:rsidR="00F13169" w:rsidRDefault="00F13169" w:rsidP="001C4621">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t>MOBILE-SATELLITE (Earth-to-space)</w:t>
            </w:r>
          </w:p>
          <w:p w14:paraId="68147D4A" w14:textId="77777777" w:rsidR="00F13169" w:rsidRDefault="00F13169" w:rsidP="001C4621">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t>Earth exploration-satellite (Earth-to-space</w:t>
            </w:r>
            <w:proofErr w:type="gramStart"/>
            <w:r>
              <w:rPr>
                <w:color w:val="000000"/>
                <w:lang w:val="en-AU"/>
              </w:rPr>
              <w:t xml:space="preserve">)  </w:t>
            </w:r>
            <w:r>
              <w:rPr>
                <w:rStyle w:val="Artref"/>
                <w:color w:val="000000"/>
                <w:lang w:val="en-AU"/>
              </w:rPr>
              <w:t>5.541</w:t>
            </w:r>
            <w:proofErr w:type="gramEnd"/>
            <w:r>
              <w:rPr>
                <w:color w:val="000000"/>
                <w:lang w:val="en-AU"/>
              </w:rPr>
              <w:t xml:space="preserve">  </w:t>
            </w:r>
            <w:r>
              <w:rPr>
                <w:rStyle w:val="Artref"/>
                <w:color w:val="000000"/>
                <w:lang w:val="en-AU"/>
              </w:rPr>
              <w:t>5.543</w:t>
            </w:r>
          </w:p>
          <w:p w14:paraId="75175FCA" w14:textId="77777777" w:rsidR="00F13169" w:rsidRDefault="00F13169" w:rsidP="001C4621">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r>
            <w:proofErr w:type="gramStart"/>
            <w:r>
              <w:rPr>
                <w:rStyle w:val="Artref"/>
                <w:color w:val="000000"/>
                <w:lang w:val="en-AU"/>
              </w:rPr>
              <w:t>5.525</w:t>
            </w:r>
            <w:r>
              <w:rPr>
                <w:color w:val="000000"/>
                <w:lang w:val="en-AU"/>
              </w:rPr>
              <w:t xml:space="preserve">  </w:t>
            </w:r>
            <w:r>
              <w:rPr>
                <w:rStyle w:val="Artref"/>
                <w:color w:val="000000"/>
                <w:lang w:val="en-AU"/>
              </w:rPr>
              <w:t>5.526</w:t>
            </w:r>
            <w:proofErr w:type="gramEnd"/>
            <w:r>
              <w:rPr>
                <w:color w:val="000000"/>
                <w:lang w:val="en-AU"/>
              </w:rPr>
              <w:t xml:space="preserve">  </w:t>
            </w:r>
            <w:r>
              <w:rPr>
                <w:rStyle w:val="Artref"/>
                <w:color w:val="000000"/>
                <w:lang w:val="en-AU"/>
              </w:rPr>
              <w:t>5.527</w:t>
            </w:r>
            <w:r>
              <w:rPr>
                <w:color w:val="000000"/>
                <w:lang w:val="en-AU"/>
              </w:rPr>
              <w:t xml:space="preserve">  </w:t>
            </w:r>
            <w:r>
              <w:rPr>
                <w:rStyle w:val="Artref"/>
                <w:color w:val="000000"/>
                <w:lang w:val="en-AU"/>
              </w:rPr>
              <w:t>5.538</w:t>
            </w:r>
            <w:r>
              <w:rPr>
                <w:color w:val="000000"/>
                <w:lang w:val="en-AU"/>
              </w:rPr>
              <w:t xml:space="preserve">  </w:t>
            </w:r>
            <w:r>
              <w:rPr>
                <w:rStyle w:val="Artref"/>
                <w:color w:val="000000"/>
                <w:lang w:val="en-AU"/>
              </w:rPr>
              <w:t>5.540</w:t>
            </w:r>
            <w:r>
              <w:rPr>
                <w:color w:val="000000"/>
                <w:lang w:val="en-AU"/>
              </w:rPr>
              <w:t xml:space="preserve">  </w:t>
            </w:r>
            <w:r>
              <w:rPr>
                <w:rStyle w:val="Artref"/>
                <w:color w:val="000000"/>
                <w:lang w:val="en-AU"/>
              </w:rPr>
              <w:t>5.542</w:t>
            </w:r>
          </w:p>
        </w:tc>
      </w:tr>
    </w:tbl>
    <w:p w14:paraId="74B61558" w14:textId="77777777" w:rsidR="00F13169" w:rsidRDefault="00F13169" w:rsidP="00366C76">
      <w:pPr>
        <w:pStyle w:val="Listabc"/>
        <w:numPr>
          <w:ilvl w:val="0"/>
          <w:numId w:val="0"/>
        </w:numPr>
        <w:ind w:left="360" w:hanging="360"/>
      </w:pPr>
    </w:p>
    <w:p w14:paraId="085DC483" w14:textId="77777777" w:rsidR="001E2645" w:rsidRDefault="001E2645" w:rsidP="003E45F9">
      <w:pPr>
        <w:pStyle w:val="Note2"/>
        <w:rPr>
          <w:rStyle w:val="Artdef"/>
          <w:b w:val="0"/>
        </w:rPr>
      </w:pPr>
      <w:r>
        <w:rPr>
          <w:rStyle w:val="Artdef"/>
        </w:rPr>
        <w:t>5.A15</w:t>
      </w:r>
      <w:r>
        <w:rPr>
          <w:rStyle w:val="Artdef"/>
        </w:rPr>
        <w:tab/>
      </w:r>
      <w:r w:rsidRPr="001E2645">
        <w:rPr>
          <w:rStyle w:val="Artdef"/>
          <w:b w:val="0"/>
        </w:rPr>
        <w:t xml:space="preserve">Resolution </w:t>
      </w:r>
      <w:r>
        <w:rPr>
          <w:rStyle w:val="Artdef"/>
        </w:rPr>
        <w:t xml:space="preserve">155(WRC-15) </w:t>
      </w:r>
      <w:r w:rsidRPr="001E2645">
        <w:rPr>
          <w:rStyle w:val="Artdef"/>
          <w:b w:val="0"/>
        </w:rPr>
        <w:t xml:space="preserve">shall apply </w:t>
      </w:r>
      <w:r w:rsidRPr="00A232B4">
        <w:rPr>
          <w:rStyle w:val="Artdef"/>
          <w:b w:val="0"/>
          <w:sz w:val="16"/>
        </w:rPr>
        <w:t>(WRC-15)</w:t>
      </w:r>
    </w:p>
    <w:p w14:paraId="10488CAA" w14:textId="77777777" w:rsidR="00856397" w:rsidRDefault="00856397" w:rsidP="003E45F9">
      <w:pPr>
        <w:pStyle w:val="Note2"/>
        <w:rPr>
          <w:rStyle w:val="Artdef"/>
        </w:rPr>
      </w:pPr>
      <w:r w:rsidRPr="00856397">
        <w:rPr>
          <w:b/>
        </w:rPr>
        <w:t>5.5X</w:t>
      </w:r>
      <w:r>
        <w:t xml:space="preserve"> The operation of earth stations in motion communicating with the FSS is subject to Resolution </w:t>
      </w:r>
      <w:r w:rsidR="00A232B4" w:rsidRPr="00A232B4">
        <w:rPr>
          <w:b/>
        </w:rPr>
        <w:t>156</w:t>
      </w:r>
      <w:r w:rsidRPr="00A232B4">
        <w:rPr>
          <w:b/>
        </w:rPr>
        <w:t xml:space="preserve"> (WRC-15)</w:t>
      </w:r>
      <w:r>
        <w:t xml:space="preserve">. </w:t>
      </w:r>
      <w:r w:rsidRPr="00A232B4">
        <w:rPr>
          <w:sz w:val="16"/>
        </w:rPr>
        <w:t>(WRC-15)</w:t>
      </w:r>
    </w:p>
    <w:p w14:paraId="4A491CA4" w14:textId="77777777" w:rsidR="003E45F9" w:rsidRDefault="003E45F9" w:rsidP="003E45F9">
      <w:pPr>
        <w:pStyle w:val="Note2"/>
        <w:rPr>
          <w:rStyle w:val="Artdef"/>
        </w:rPr>
      </w:pPr>
      <w:r w:rsidRPr="007915C9">
        <w:rPr>
          <w:rStyle w:val="Artdef"/>
        </w:rPr>
        <w:t>5.457A</w:t>
      </w:r>
      <w:r w:rsidRPr="007915C9">
        <w:rPr>
          <w:rStyle w:val="Artdef"/>
        </w:rPr>
        <w:tab/>
      </w:r>
      <w:r>
        <w:rPr>
          <w:lang w:val="en-AU"/>
        </w:rPr>
        <w:t>In the bands 5</w:t>
      </w:r>
      <w:r w:rsidRPr="007162B5">
        <w:t> </w:t>
      </w:r>
      <w:r>
        <w:rPr>
          <w:lang w:val="en-AU"/>
        </w:rPr>
        <w:t>925-6</w:t>
      </w:r>
      <w:r w:rsidRPr="007162B5">
        <w:t> </w:t>
      </w:r>
      <w:r>
        <w:rPr>
          <w:lang w:val="en-AU"/>
        </w:rPr>
        <w:t xml:space="preserve">425 MHz and 14-14.5 GHz, earth stations located on board vessels may </w:t>
      </w:r>
      <w:r w:rsidRPr="007915C9">
        <w:t>communicate</w:t>
      </w:r>
      <w:r>
        <w:rPr>
          <w:lang w:val="en-AU"/>
        </w:rPr>
        <w:t xml:space="preserve"> with space stations of the fixed-satellite service. Such use shall be in accordance with Resolution </w:t>
      </w:r>
      <w:r>
        <w:rPr>
          <w:b/>
          <w:bCs/>
          <w:lang w:val="en-AU"/>
        </w:rPr>
        <w:t>902</w:t>
      </w:r>
      <w:r w:rsidRPr="004A3091">
        <w:t xml:space="preserve"> </w:t>
      </w:r>
      <w:r w:rsidRPr="00420617">
        <w:rPr>
          <w:b/>
          <w:bCs/>
        </w:rPr>
        <w:t>(WRC</w:t>
      </w:r>
      <w:r w:rsidRPr="00420617">
        <w:rPr>
          <w:b/>
          <w:bCs/>
        </w:rPr>
        <w:noBreakHyphen/>
        <w:t>03)</w:t>
      </w:r>
      <w:r>
        <w:rPr>
          <w:lang w:val="en-AU"/>
        </w:rPr>
        <w:t>.</w:t>
      </w:r>
      <w:r w:rsidRPr="007D4AF2">
        <w:rPr>
          <w:sz w:val="16"/>
        </w:rPr>
        <w:t> </w:t>
      </w:r>
      <w:r w:rsidR="00856397">
        <w:t xml:space="preserve">In the frequency band 5 925-6 425 MHz, earth stations located on board vessels and communicating with space stations of the fixed-satellite service may employ transmit antennas with minimum diameter of 1.2 m and operate without prior agreement of any administration if located at least 330 km away from the low-water mark as officially recognized by the coastal State. All other provisions of Resolution </w:t>
      </w:r>
      <w:r w:rsidR="00856397" w:rsidRPr="00856397">
        <w:rPr>
          <w:b/>
        </w:rPr>
        <w:t>902 (WRC-03)</w:t>
      </w:r>
      <w:r w:rsidR="00856397">
        <w:t xml:space="preserve"> shall apply.</w:t>
      </w:r>
      <w:r w:rsidRPr="007D4AF2">
        <w:rPr>
          <w:sz w:val="16"/>
        </w:rPr>
        <w:t>    (WRC-</w:t>
      </w:r>
      <w:r w:rsidR="00856397">
        <w:rPr>
          <w:sz w:val="16"/>
        </w:rPr>
        <w:t>15</w:t>
      </w:r>
      <w:r w:rsidRPr="007D4AF2">
        <w:rPr>
          <w:sz w:val="16"/>
        </w:rPr>
        <w:t>)</w:t>
      </w:r>
    </w:p>
    <w:p w14:paraId="71DC92F8" w14:textId="77777777" w:rsidR="003E45F9" w:rsidRDefault="003E45F9" w:rsidP="003E45F9">
      <w:pPr>
        <w:pStyle w:val="Note2"/>
        <w:rPr>
          <w:rStyle w:val="Artdef"/>
        </w:rPr>
      </w:pPr>
      <w:r w:rsidRPr="004046E7">
        <w:rPr>
          <w:rStyle w:val="Artdef"/>
        </w:rPr>
        <w:t>5.457B</w:t>
      </w:r>
      <w:r w:rsidRPr="004046E7">
        <w:rPr>
          <w:rStyle w:val="Artdef"/>
        </w:rPr>
        <w:tab/>
      </w:r>
      <w:r w:rsidRPr="004046E7">
        <w:t>In the bands 5 925-6 425</w:t>
      </w:r>
      <w:r>
        <w:t> MHz</w:t>
      </w:r>
      <w:r w:rsidRPr="004046E7">
        <w:t xml:space="preserve"> and 14-14.5 GHz, earth stations located on board vessels may operate with the characteristics and under the conditions contained in Resolution </w:t>
      </w:r>
      <w:r w:rsidRPr="004046E7">
        <w:rPr>
          <w:b/>
          <w:bCs/>
        </w:rPr>
        <w:t>902</w:t>
      </w:r>
      <w:r w:rsidRPr="004046E7">
        <w:t xml:space="preserve"> </w:t>
      </w:r>
      <w:r w:rsidRPr="004046E7">
        <w:rPr>
          <w:b/>
          <w:bCs/>
        </w:rPr>
        <w:t>(</w:t>
      </w:r>
      <w:r>
        <w:rPr>
          <w:b/>
          <w:bCs/>
        </w:rPr>
        <w:t>WRC</w:t>
      </w:r>
      <w:r>
        <w:rPr>
          <w:b/>
          <w:bCs/>
        </w:rPr>
        <w:noBreakHyphen/>
      </w:r>
      <w:r w:rsidRPr="004046E7">
        <w:rPr>
          <w:b/>
          <w:bCs/>
        </w:rPr>
        <w:t>03)</w:t>
      </w:r>
      <w:r w:rsidRPr="004046E7">
        <w:t xml:space="preserve"> in Algeria, Saudi Arabia, Bahrain, Comoros, Djibouti, Egypt, United Arab Emirates, Jordan, Kuwait, Libya, Morocco, Mauritania, Oman, Qatar, the Syrian Arab Republic, Sudan, Tunisia and Yemen, in the maritime mobile-satellite service on a secondary basis. Such use shall be in accordance with Resolution </w:t>
      </w:r>
      <w:r w:rsidRPr="004046E7">
        <w:rPr>
          <w:b/>
          <w:bCs/>
        </w:rPr>
        <w:t>902 (</w:t>
      </w:r>
      <w:r>
        <w:rPr>
          <w:b/>
          <w:bCs/>
        </w:rPr>
        <w:t>WRC</w:t>
      </w:r>
      <w:r>
        <w:rPr>
          <w:b/>
          <w:bCs/>
        </w:rPr>
        <w:noBreakHyphen/>
      </w:r>
      <w:r w:rsidRPr="004046E7">
        <w:rPr>
          <w:b/>
          <w:bCs/>
        </w:rPr>
        <w:t>03)</w:t>
      </w:r>
      <w:r w:rsidRPr="004046E7">
        <w:t>.</w:t>
      </w:r>
      <w:r>
        <w:rPr>
          <w:sz w:val="16"/>
        </w:rPr>
        <w:t>  </w:t>
      </w:r>
      <w:r w:rsidRPr="004046E7">
        <w:rPr>
          <w:sz w:val="16"/>
        </w:rPr>
        <w:t>  (</w:t>
      </w:r>
      <w:r>
        <w:rPr>
          <w:sz w:val="16"/>
        </w:rPr>
        <w:t>WRC</w:t>
      </w:r>
      <w:r>
        <w:rPr>
          <w:sz w:val="16"/>
        </w:rPr>
        <w:noBreakHyphen/>
      </w:r>
      <w:r w:rsidRPr="004046E7">
        <w:rPr>
          <w:sz w:val="16"/>
        </w:rPr>
        <w:t>12)</w:t>
      </w:r>
    </w:p>
    <w:p w14:paraId="35FF3AAA" w14:textId="77777777" w:rsidR="00F13169" w:rsidRPr="00EC683E" w:rsidRDefault="00F13169" w:rsidP="00F13169">
      <w:pPr>
        <w:pStyle w:val="Note2"/>
      </w:pPr>
      <w:r w:rsidRPr="007915C9">
        <w:rPr>
          <w:rStyle w:val="Artdef"/>
        </w:rPr>
        <w:t>5.484</w:t>
      </w:r>
      <w:r w:rsidRPr="007915C9">
        <w:rPr>
          <w:rStyle w:val="Artdef"/>
        </w:rPr>
        <w:tab/>
      </w:r>
      <w:r>
        <w:rPr>
          <w:lang w:val="en-AU"/>
        </w:rPr>
        <w:t>In Region 1, the use of the band 10.7</w:t>
      </w:r>
      <w:r w:rsidRPr="00EC683E">
        <w:t>-</w:t>
      </w:r>
      <w:r>
        <w:rPr>
          <w:lang w:val="en-AU"/>
        </w:rPr>
        <w:t>11.7 GHz by the fixed-satellite service (Earth-to-space) is limited to feeder links for the broadcasting-satellite service.</w:t>
      </w:r>
    </w:p>
    <w:p w14:paraId="1B7A6E4B" w14:textId="77777777" w:rsidR="00F13169" w:rsidRDefault="00F13169" w:rsidP="00F13169">
      <w:pPr>
        <w:pStyle w:val="Note2"/>
        <w:rPr>
          <w:sz w:val="16"/>
        </w:rPr>
      </w:pPr>
      <w:r w:rsidRPr="007915C9">
        <w:rPr>
          <w:rStyle w:val="Artdef"/>
        </w:rPr>
        <w:t>5.484A</w:t>
      </w:r>
      <w:r w:rsidRPr="007915C9">
        <w:rPr>
          <w:rStyle w:val="Artdef"/>
        </w:rPr>
        <w:tab/>
      </w:r>
      <w:r>
        <w:rPr>
          <w:lang w:val="en-US"/>
        </w:rPr>
        <w:t>The use of the bands 10.95-11.2 GHz (space-to-Earth), 11.45-11.7 GHz (space-to-Earth), 11.7-12.2 GHz (space-to-Earth) in Region 2, 12.2-12.75 GHz (space-to-Earth) in Region 3, 12.5-12.75 GHz (space-to-Earth) in Region 1, 13.75-14.5 GHz (Earth-to-space), 17.8-18.6 GHz (space-to-Earth), 19.7-20.2 GHz (space-to-Earth), 27.5-28.6 GHz (Earth-to-space), 29.5-30 GHz (Earth-to-</w:t>
      </w:r>
      <w:r w:rsidRPr="008C7634">
        <w:t>space</w:t>
      </w:r>
      <w:r>
        <w:rPr>
          <w:lang w:val="en-US"/>
        </w:rPr>
        <w:t xml:space="preserve">) by a non-geostationary-satellite system in the fixed-satellite service is subject to application of the provisions of No. </w:t>
      </w:r>
      <w:r w:rsidRPr="00C11011">
        <w:rPr>
          <w:rStyle w:val="ArtrefBold"/>
        </w:rPr>
        <w:t>9.12</w:t>
      </w:r>
      <w:r>
        <w:rPr>
          <w:lang w:val="en-US"/>
        </w:rPr>
        <w:t xml:space="preserve"> for coordination with other non-geostationary-satellite systems in the fixed-satellite service. Non-geostationary-satellite systems in the fixed-satellite service shall not claim protection from geostationary-satellite networks in the fixed-satellite service operating in accordance with the Radio Regulations, irrespective of the dates of receipt by the Bureau of the complete coordination or notification information, as appropriate, for the non-geostationary-satellite systems in the fixed-satellite service and of the complete coordination or notification information, as appropriate, for the geostationary-satellite networks, and No. </w:t>
      </w:r>
      <w:r w:rsidRPr="00C11011">
        <w:rPr>
          <w:rStyle w:val="ArtrefBold"/>
        </w:rPr>
        <w:t>5.43A</w:t>
      </w:r>
      <w:r>
        <w:rPr>
          <w:lang w:val="en-US"/>
        </w:rPr>
        <w:t xml:space="preserve"> does not apply. Non-geostationary-satellite systems in the fixed-satellite service in the above bands shall be operated in such a way that any unacceptable interference that may occur during their operation shall be rapidly eliminated.</w:t>
      </w:r>
      <w:r w:rsidRPr="007D4AF2">
        <w:rPr>
          <w:sz w:val="16"/>
        </w:rPr>
        <w:t>     (WRC</w:t>
      </w:r>
      <w:r w:rsidRPr="007D4AF2">
        <w:rPr>
          <w:sz w:val="16"/>
        </w:rPr>
        <w:noBreakHyphen/>
        <w:t>2000)</w:t>
      </w:r>
    </w:p>
    <w:p w14:paraId="42E5E141" w14:textId="77777777" w:rsidR="00F13169" w:rsidRDefault="00F13169" w:rsidP="00F13169">
      <w:pPr>
        <w:pStyle w:val="Note2"/>
        <w:rPr>
          <w:lang w:val="en-AU"/>
        </w:rPr>
      </w:pPr>
      <w:r w:rsidRPr="007915C9">
        <w:rPr>
          <w:rStyle w:val="Artdef"/>
        </w:rPr>
        <w:t>5.485</w:t>
      </w:r>
      <w:r w:rsidRPr="007915C9">
        <w:rPr>
          <w:rStyle w:val="Artdef"/>
        </w:rPr>
        <w:tab/>
      </w:r>
      <w:r>
        <w:rPr>
          <w:lang w:val="en-AU"/>
        </w:rPr>
        <w:t>In Region 2, in the band 11.7</w:t>
      </w:r>
      <w:r w:rsidRPr="00EC683E">
        <w:t>-</w:t>
      </w:r>
      <w:r>
        <w:rPr>
          <w:lang w:val="en-AU"/>
        </w:rPr>
        <w:t xml:space="preserve">12.2 GHz, transponders on space stations in the fixed-satellite service may be used additionally for transmissions in the broadcasting-satellite service, provided that such transmissions do not have a </w:t>
      </w:r>
      <w:r>
        <w:rPr>
          <w:lang w:val="en-AU"/>
        </w:rPr>
        <w:lastRenderedPageBreak/>
        <w:t xml:space="preserve">maximum </w:t>
      </w:r>
      <w:proofErr w:type="spellStart"/>
      <w:r>
        <w:rPr>
          <w:lang w:val="en-AU"/>
        </w:rPr>
        <w:t>e.i.r.p</w:t>
      </w:r>
      <w:proofErr w:type="spellEnd"/>
      <w:r>
        <w:rPr>
          <w:lang w:val="en-AU"/>
        </w:rPr>
        <w:t xml:space="preserve">. greater than 53 </w:t>
      </w:r>
      <w:proofErr w:type="spellStart"/>
      <w:r>
        <w:rPr>
          <w:lang w:val="en-AU"/>
        </w:rPr>
        <w:t>dBW</w:t>
      </w:r>
      <w:proofErr w:type="spellEnd"/>
      <w:r>
        <w:rPr>
          <w:lang w:val="en-AU"/>
        </w:rPr>
        <w:t xml:space="preserve"> per television channel and do not cause greater interference or require more protection from interference than the coordinated fixed-satellite service frequency assignments. With respect to the space services, this band shall be used principally for the fixed-satellite service.</w:t>
      </w:r>
    </w:p>
    <w:p w14:paraId="07FF4253" w14:textId="77777777" w:rsidR="00F13169" w:rsidRDefault="00F13169" w:rsidP="00F13169">
      <w:pPr>
        <w:pStyle w:val="Note2"/>
        <w:rPr>
          <w:lang w:val="en-AU"/>
        </w:rPr>
      </w:pPr>
      <w:r w:rsidRPr="007915C9">
        <w:rPr>
          <w:rStyle w:val="Artdef"/>
        </w:rPr>
        <w:t>5.487</w:t>
      </w:r>
      <w:r w:rsidRPr="007915C9">
        <w:rPr>
          <w:rStyle w:val="Artdef"/>
        </w:rPr>
        <w:tab/>
      </w:r>
      <w:r>
        <w:rPr>
          <w:lang w:val="en-US"/>
        </w:rPr>
        <w:t>In the band 11.7</w:t>
      </w:r>
      <w:r w:rsidRPr="00EC683E">
        <w:t>-</w:t>
      </w:r>
      <w:r>
        <w:rPr>
          <w:lang w:val="en-US"/>
        </w:rPr>
        <w:t>12.5 GHz in Regions 1 and 3, the fixed, fixed-satellite, mobile, except aeronautical mobile, and broadcasting services, in accordance with their respective allocations, shall not cause harmful interference to, or claim protection from, broadcasting-satellite stations operating in accordance with the Regions 1 and 3 Plan in Appendix </w:t>
      </w:r>
      <w:r w:rsidRPr="00063D41">
        <w:rPr>
          <w:rStyle w:val="ApprefBold"/>
        </w:rPr>
        <w:t>30</w:t>
      </w:r>
      <w:r>
        <w:rPr>
          <w:lang w:val="en-US"/>
        </w:rPr>
        <w:t>.</w:t>
      </w:r>
      <w:r w:rsidRPr="00432F3B">
        <w:rPr>
          <w:sz w:val="16"/>
        </w:rPr>
        <w:t>     (WRC-03)</w:t>
      </w:r>
    </w:p>
    <w:p w14:paraId="66A0171B" w14:textId="77777777" w:rsidR="00F13169" w:rsidRDefault="00F13169" w:rsidP="00F13169">
      <w:pPr>
        <w:pStyle w:val="Note2"/>
        <w:rPr>
          <w:lang w:val="en-AU"/>
        </w:rPr>
      </w:pPr>
      <w:r w:rsidRPr="007915C9">
        <w:rPr>
          <w:rStyle w:val="Artdef"/>
        </w:rPr>
        <w:t>5.488</w:t>
      </w:r>
      <w:r w:rsidRPr="007915C9">
        <w:rPr>
          <w:rStyle w:val="Artdef"/>
        </w:rPr>
        <w:tab/>
      </w:r>
      <w:r>
        <w:rPr>
          <w:lang w:val="en-US"/>
        </w:rPr>
        <w:t>The use of the band 11.7</w:t>
      </w:r>
      <w:r w:rsidRPr="00EC683E">
        <w:t>-</w:t>
      </w:r>
      <w:r>
        <w:rPr>
          <w:lang w:val="en-US"/>
        </w:rPr>
        <w:t xml:space="preserve">12.2 GHz by geostationary-satellite networks in the fixed-satellite service </w:t>
      </w:r>
      <w:r w:rsidRPr="005847C0">
        <w:t>in</w:t>
      </w:r>
      <w:r>
        <w:rPr>
          <w:lang w:val="en-US"/>
        </w:rPr>
        <w:t xml:space="preserve"> Region 2 is subject to application of the provisions of No. </w:t>
      </w:r>
      <w:r w:rsidRPr="00C11011">
        <w:rPr>
          <w:rStyle w:val="ArtrefBold"/>
        </w:rPr>
        <w:t>9.14</w:t>
      </w:r>
      <w:r>
        <w:rPr>
          <w:lang w:val="en-US"/>
        </w:rPr>
        <w:t xml:space="preserve"> for coordination with stations of terrestrial services in Regions 1, 2 and 3. For the use of the band 12.2-12.7 GHz by the broadcasting-satellite service in Region 2, see Appendix </w:t>
      </w:r>
      <w:r w:rsidRPr="00063D41">
        <w:rPr>
          <w:rStyle w:val="ApprefBold"/>
        </w:rPr>
        <w:t>30</w:t>
      </w:r>
      <w:r>
        <w:rPr>
          <w:lang w:val="en-US"/>
        </w:rPr>
        <w:t>.</w:t>
      </w:r>
      <w:r w:rsidRPr="00432F3B">
        <w:rPr>
          <w:sz w:val="16"/>
        </w:rPr>
        <w:t>     (WRC-03)</w:t>
      </w:r>
    </w:p>
    <w:p w14:paraId="26A3666A" w14:textId="77777777" w:rsidR="00F13169" w:rsidRDefault="00F13169" w:rsidP="00F13169">
      <w:pPr>
        <w:pStyle w:val="Note2"/>
        <w:rPr>
          <w:lang w:val="en-AU"/>
        </w:rPr>
      </w:pPr>
      <w:r w:rsidRPr="007915C9">
        <w:rPr>
          <w:rStyle w:val="Artdef"/>
        </w:rPr>
        <w:t>5.489</w:t>
      </w:r>
      <w:r w:rsidRPr="007915C9">
        <w:rPr>
          <w:rStyle w:val="Artdef"/>
        </w:rPr>
        <w:tab/>
      </w:r>
      <w:r>
        <w:rPr>
          <w:i/>
          <w:lang w:val="en-AU"/>
        </w:rPr>
        <w:t>Additional allocation:  </w:t>
      </w:r>
      <w:r>
        <w:rPr>
          <w:lang w:val="en-AU"/>
        </w:rPr>
        <w:t>in Peru, the band 12.1</w:t>
      </w:r>
      <w:r w:rsidRPr="00EC683E">
        <w:t>-</w:t>
      </w:r>
      <w:r>
        <w:rPr>
          <w:lang w:val="en-AU"/>
        </w:rPr>
        <w:t xml:space="preserve">12.2 GHz is also allocated to the fixed service on a </w:t>
      </w:r>
      <w:r w:rsidRPr="005847C0">
        <w:t>primary</w:t>
      </w:r>
      <w:r>
        <w:rPr>
          <w:lang w:val="en-AU"/>
        </w:rPr>
        <w:t xml:space="preserve"> basis.</w:t>
      </w:r>
    </w:p>
    <w:p w14:paraId="659CB0CB" w14:textId="77777777" w:rsidR="00F13169" w:rsidRDefault="00F13169" w:rsidP="00856397">
      <w:pPr>
        <w:pStyle w:val="Note2"/>
        <w:rPr>
          <w:rStyle w:val="Artdef"/>
        </w:rPr>
      </w:pPr>
      <w:r w:rsidRPr="004046E7">
        <w:rPr>
          <w:rStyle w:val="Artdef"/>
        </w:rPr>
        <w:t>5.494</w:t>
      </w:r>
      <w:r w:rsidRPr="004046E7">
        <w:rPr>
          <w:rStyle w:val="Artdef"/>
        </w:rPr>
        <w:tab/>
      </w:r>
      <w:r w:rsidR="00856397">
        <w:t xml:space="preserve">Additional allocation: in Algeria, Saudi Arabia, Bahrain, Cameroon, the Central African Rep., Congo (Rep. of the), Côte d’Ivoire, Djibouti, Egypt, the United Arab Emirates, Eritrea, Ethiopia, Gabon, Ghana, Guinea, Iraq, Israel, Jordan, Kuwait, Lebanon, Libya, Madagascar, Mali, Morocco, Mongolia, Nigeria, Oman, Qatar, the Syrian Arab Republic, the Dem. Rep. of the Congo, Somalia, Sudan, South Sudan, Chad, Togo and Yemen, the frequency band 12.5-12.75 GHz is also allocated to the fixed and mobile, except aeronautical mobile, services on a primary basis. </w:t>
      </w:r>
      <w:r w:rsidR="00856397" w:rsidRPr="00856397">
        <w:rPr>
          <w:sz w:val="16"/>
        </w:rPr>
        <w:t>(WRC-15)</w:t>
      </w:r>
    </w:p>
    <w:p w14:paraId="4737561B" w14:textId="77777777" w:rsidR="00F13169" w:rsidRPr="004046E7" w:rsidRDefault="00F13169" w:rsidP="00856397">
      <w:pPr>
        <w:pStyle w:val="Note2"/>
      </w:pPr>
      <w:r w:rsidRPr="004046E7">
        <w:rPr>
          <w:rStyle w:val="Artdef"/>
        </w:rPr>
        <w:t>5.495</w:t>
      </w:r>
      <w:r w:rsidRPr="004046E7">
        <w:rPr>
          <w:rStyle w:val="Artdef"/>
        </w:rPr>
        <w:tab/>
      </w:r>
      <w:r w:rsidR="00856397">
        <w:t xml:space="preserve">Additional allocation: in France, Greece, Monaco, Montenegro, Uganda, Romania and Tunisia, the frequency band 12.5-12.75 GHz is also allocated to the fixed and mobile, except aeronautical mobile, services on a secondary basis. </w:t>
      </w:r>
      <w:r w:rsidR="00856397" w:rsidRPr="00856397">
        <w:rPr>
          <w:sz w:val="16"/>
        </w:rPr>
        <w:t>(WRC-15)</w:t>
      </w:r>
    </w:p>
    <w:p w14:paraId="30EF150A" w14:textId="77777777" w:rsidR="00F13169" w:rsidRDefault="00F13169" w:rsidP="00F13169">
      <w:pPr>
        <w:pStyle w:val="Note2"/>
        <w:rPr>
          <w:lang w:val="en-AU"/>
        </w:rPr>
      </w:pPr>
      <w:r w:rsidRPr="007915C9">
        <w:rPr>
          <w:rStyle w:val="Artdef"/>
        </w:rPr>
        <w:t>5.496</w:t>
      </w:r>
      <w:r w:rsidRPr="007915C9">
        <w:rPr>
          <w:rStyle w:val="Artdef"/>
        </w:rPr>
        <w:tab/>
      </w:r>
      <w:r w:rsidRPr="00EC683E">
        <w:rPr>
          <w:i/>
          <w:iCs/>
          <w:color w:val="000000"/>
        </w:rPr>
        <w:t>Additional allocation:  </w:t>
      </w:r>
      <w:r>
        <w:rPr>
          <w:lang w:val="en-US"/>
        </w:rPr>
        <w:t xml:space="preserve">in Austria, Azerbaijan, Kyrgyzstan and Turkmenistan, the band 12.5-12.75 GHz is also allocated to the fixed service and the mobile, except aeronautical mobile, service on a primary basis. However, stations in these services shall not cause harmful interference to fixed-satellite service earth stations of countries in Region 1 other than those listed in this footnote. </w:t>
      </w:r>
      <w:r w:rsidRPr="005847C0">
        <w:t>Coordination</w:t>
      </w:r>
      <w:r>
        <w:rPr>
          <w:lang w:val="en-US"/>
        </w:rPr>
        <w:t xml:space="preserve"> of these earth stations is not required with stations of the fixed and mobile services of the countries listed in this footnote. The power flux-density limit at the Earth’s surface given in Table </w:t>
      </w:r>
      <w:r>
        <w:rPr>
          <w:b/>
          <w:bCs/>
          <w:lang w:val="en-US"/>
        </w:rPr>
        <w:t>21-4</w:t>
      </w:r>
      <w:r>
        <w:rPr>
          <w:lang w:val="en-US"/>
        </w:rPr>
        <w:t xml:space="preserve"> of Article </w:t>
      </w:r>
      <w:r w:rsidRPr="00C11011">
        <w:rPr>
          <w:rStyle w:val="ArtrefBold"/>
        </w:rPr>
        <w:t>21</w:t>
      </w:r>
      <w:r>
        <w:rPr>
          <w:lang w:val="en-US"/>
        </w:rPr>
        <w:t>, for the fixed-satellite service shall apply on the territory of the countries listed in this footnote.</w:t>
      </w:r>
      <w:r w:rsidRPr="00432F3B">
        <w:rPr>
          <w:sz w:val="16"/>
        </w:rPr>
        <w:t>     (WRC</w:t>
      </w:r>
      <w:r w:rsidRPr="00432F3B">
        <w:rPr>
          <w:sz w:val="16"/>
        </w:rPr>
        <w:noBreakHyphen/>
        <w:t>2000)</w:t>
      </w:r>
    </w:p>
    <w:p w14:paraId="5F06E232" w14:textId="77777777" w:rsidR="003E45F9" w:rsidRPr="00EB1F40" w:rsidRDefault="003E45F9" w:rsidP="003E45F9">
      <w:pPr>
        <w:pStyle w:val="Note2"/>
      </w:pPr>
      <w:r w:rsidRPr="005847C0">
        <w:rPr>
          <w:rStyle w:val="Artdef"/>
        </w:rPr>
        <w:t>5.504A</w:t>
      </w:r>
      <w:r w:rsidRPr="00054C4D">
        <w:rPr>
          <w:rStyle w:val="Artdef"/>
        </w:rPr>
        <w:tab/>
      </w:r>
      <w:r>
        <w:rPr>
          <w:lang w:val="en-AU"/>
        </w:rPr>
        <w:t xml:space="preserve">In the band 14-14.5 GHz, aircraft earth stations in the secondary aeronautical mobile-satellite </w:t>
      </w:r>
      <w:r w:rsidRPr="00F52854">
        <w:t>service</w:t>
      </w:r>
      <w:r>
        <w:rPr>
          <w:lang w:val="en-AU"/>
        </w:rPr>
        <w:t xml:space="preserve"> may also communicate with space stations in the fixed-satellite service. The provisions of Nos. </w:t>
      </w:r>
      <w:r w:rsidRPr="00C11011">
        <w:rPr>
          <w:rStyle w:val="ArtrefBold"/>
        </w:rPr>
        <w:t>5.29</w:t>
      </w:r>
      <w:r>
        <w:rPr>
          <w:lang w:val="en-AU"/>
        </w:rPr>
        <w:t xml:space="preserve">, </w:t>
      </w:r>
      <w:r w:rsidRPr="00C11011">
        <w:rPr>
          <w:rStyle w:val="ArtrefBold"/>
        </w:rPr>
        <w:t>5.30</w:t>
      </w:r>
      <w:r>
        <w:rPr>
          <w:lang w:val="en-AU"/>
        </w:rPr>
        <w:t xml:space="preserve"> and </w:t>
      </w:r>
      <w:r w:rsidRPr="00C11011">
        <w:rPr>
          <w:rStyle w:val="ArtrefBold"/>
        </w:rPr>
        <w:t>5.31</w:t>
      </w:r>
      <w:r>
        <w:rPr>
          <w:lang w:val="en-AU"/>
        </w:rPr>
        <w:t xml:space="preserve"> apply.</w:t>
      </w:r>
      <w:r w:rsidRPr="00432F3B">
        <w:rPr>
          <w:sz w:val="16"/>
        </w:rPr>
        <w:t>     (WRC-03)</w:t>
      </w:r>
    </w:p>
    <w:p w14:paraId="26206F88" w14:textId="77777777" w:rsidR="003E45F9" w:rsidRPr="00856397" w:rsidRDefault="003E45F9" w:rsidP="00856397">
      <w:pPr>
        <w:pStyle w:val="Note2"/>
        <w:rPr>
          <w:sz w:val="18"/>
        </w:rPr>
      </w:pPr>
      <w:r w:rsidRPr="005847C0">
        <w:rPr>
          <w:rStyle w:val="Artdef"/>
        </w:rPr>
        <w:t>5.504B</w:t>
      </w:r>
      <w:r w:rsidRPr="00054C4D">
        <w:rPr>
          <w:rStyle w:val="Artdef"/>
        </w:rPr>
        <w:tab/>
      </w:r>
      <w:r w:rsidR="00856397">
        <w:t xml:space="preserve">Aircraft earth stations operating in the aeronautical mobile-satellite service in the frequency band 14-14.5 GHz shall comply with the provisions of Annex 1, Part C of Recommendation ITU-R M.1643-0, with respect to any radio astronomy station performing observations in the 14.47-14.5 GHz frequency band located on the territory of Spain, France, India, Italy, the United Kingdom and South Africa. </w:t>
      </w:r>
      <w:r w:rsidR="00856397" w:rsidRPr="00856397">
        <w:rPr>
          <w:sz w:val="16"/>
        </w:rPr>
        <w:t>(WRC-15)</w:t>
      </w:r>
    </w:p>
    <w:p w14:paraId="4563864E" w14:textId="77777777" w:rsidR="003E45F9" w:rsidRPr="00EC683E" w:rsidRDefault="003E45F9" w:rsidP="003E45F9">
      <w:pPr>
        <w:pStyle w:val="Note2"/>
      </w:pPr>
      <w:r w:rsidRPr="005847C0">
        <w:rPr>
          <w:rStyle w:val="Artdef"/>
        </w:rPr>
        <w:t>5.506</w:t>
      </w:r>
      <w:r w:rsidRPr="005847C0">
        <w:rPr>
          <w:rStyle w:val="Artdef"/>
        </w:rPr>
        <w:tab/>
      </w:r>
      <w:r>
        <w:rPr>
          <w:lang w:val="en-AU"/>
        </w:rPr>
        <w:t>The band 14</w:t>
      </w:r>
      <w:r w:rsidRPr="00EC683E">
        <w:t>-</w:t>
      </w:r>
      <w:r>
        <w:rPr>
          <w:lang w:val="en-AU"/>
        </w:rPr>
        <w:t>14.5 GHz may be used, within the fixed-satellite service (Earth-to-space), for feeder links for the broadcasting-satellite service, subject to coordination with other networks in the fixed-satellite service. Such use of feeder links is reserved for countries outside Europe.</w:t>
      </w:r>
    </w:p>
    <w:p w14:paraId="16242645" w14:textId="77777777" w:rsidR="003E45F9" w:rsidRPr="00EB1F40" w:rsidRDefault="003E45F9" w:rsidP="003E45F9">
      <w:pPr>
        <w:pStyle w:val="Note2"/>
      </w:pPr>
      <w:r w:rsidRPr="005847C0">
        <w:rPr>
          <w:rStyle w:val="Artdef"/>
        </w:rPr>
        <w:t>5.506A</w:t>
      </w:r>
      <w:r w:rsidRPr="00054C4D">
        <w:rPr>
          <w:rStyle w:val="Artdef"/>
        </w:rPr>
        <w:tab/>
      </w:r>
      <w:r>
        <w:rPr>
          <w:lang w:val="en-AU"/>
        </w:rPr>
        <w:t xml:space="preserve">In the band 14-14.5 GHz, ship earth stations with an </w:t>
      </w:r>
      <w:proofErr w:type="spellStart"/>
      <w:r>
        <w:rPr>
          <w:lang w:val="en-AU"/>
        </w:rPr>
        <w:t>e.i.r.p</w:t>
      </w:r>
      <w:proofErr w:type="spellEnd"/>
      <w:r>
        <w:rPr>
          <w:lang w:val="en-AU"/>
        </w:rPr>
        <w:t xml:space="preserve">. greater than 21 </w:t>
      </w:r>
      <w:proofErr w:type="spellStart"/>
      <w:r>
        <w:rPr>
          <w:lang w:val="en-AU"/>
        </w:rPr>
        <w:t>dBW</w:t>
      </w:r>
      <w:proofErr w:type="spellEnd"/>
      <w:r>
        <w:rPr>
          <w:lang w:val="en-AU"/>
        </w:rPr>
        <w:t xml:space="preserve"> shall operate under the same conditions as earth stations located on board vessels, as provided in Resolution</w:t>
      </w:r>
      <w:r w:rsidRPr="00B1211B">
        <w:t> </w:t>
      </w:r>
      <w:r>
        <w:rPr>
          <w:b/>
          <w:bCs/>
          <w:lang w:val="en-AU"/>
        </w:rPr>
        <w:t>902</w:t>
      </w:r>
      <w:r>
        <w:rPr>
          <w:b/>
          <w:lang w:val="en-AU"/>
        </w:rPr>
        <w:t xml:space="preserve"> (WRC</w:t>
      </w:r>
      <w:r>
        <w:rPr>
          <w:b/>
          <w:lang w:val="en-AU"/>
        </w:rPr>
        <w:noBreakHyphen/>
        <w:t>03)</w:t>
      </w:r>
      <w:r>
        <w:rPr>
          <w:lang w:val="en-AU"/>
        </w:rPr>
        <w:t>. This footnote shall not apply to ship earth stations for which the complete Appendix </w:t>
      </w:r>
      <w:r w:rsidRPr="00063D41">
        <w:rPr>
          <w:rStyle w:val="ApprefBold"/>
        </w:rPr>
        <w:t>4</w:t>
      </w:r>
      <w:r>
        <w:rPr>
          <w:lang w:val="en-AU"/>
        </w:rPr>
        <w:t xml:space="preserve"> information has been received by the Bureau prior to 5 July 2003. </w:t>
      </w:r>
      <w:r w:rsidRPr="00432F3B">
        <w:rPr>
          <w:sz w:val="16"/>
        </w:rPr>
        <w:t>     (WRC-03)</w:t>
      </w:r>
    </w:p>
    <w:p w14:paraId="03DCE6EF" w14:textId="77777777" w:rsidR="003E45F9" w:rsidRPr="00EB1F40" w:rsidRDefault="003E45F9" w:rsidP="003E45F9">
      <w:pPr>
        <w:pStyle w:val="Note2"/>
      </w:pPr>
      <w:r w:rsidRPr="005847C0">
        <w:rPr>
          <w:rStyle w:val="Artdef"/>
        </w:rPr>
        <w:t>5.506B</w:t>
      </w:r>
      <w:r w:rsidRPr="005847C0">
        <w:rPr>
          <w:rStyle w:val="Artdef"/>
        </w:rPr>
        <w:tab/>
      </w:r>
      <w:r>
        <w:rPr>
          <w:lang w:val="en-AU"/>
        </w:rPr>
        <w:t xml:space="preserve">Earth stations located on board vessels communicating with space stations in the fixed-satellite </w:t>
      </w:r>
      <w:r w:rsidRPr="00F52854">
        <w:t>service</w:t>
      </w:r>
      <w:r>
        <w:rPr>
          <w:lang w:val="en-AU"/>
        </w:rPr>
        <w:t xml:space="preserve"> may operate in the frequency band 14-14.5 GHz without the need f</w:t>
      </w:r>
      <w:r w:rsidR="00856397">
        <w:rPr>
          <w:lang w:val="en-AU"/>
        </w:rPr>
        <w:t>or prior agreement from Cyprus</w:t>
      </w:r>
      <w:r>
        <w:rPr>
          <w:lang w:val="en-AU"/>
        </w:rPr>
        <w:t xml:space="preserve"> and Malta, within the minimum distance given in Resolution </w:t>
      </w:r>
      <w:r>
        <w:rPr>
          <w:b/>
          <w:bCs/>
          <w:lang w:val="en-AU"/>
        </w:rPr>
        <w:t>902</w:t>
      </w:r>
      <w:r>
        <w:rPr>
          <w:b/>
          <w:lang w:val="en-AU"/>
        </w:rPr>
        <w:t xml:space="preserve"> (WRC</w:t>
      </w:r>
      <w:r>
        <w:rPr>
          <w:b/>
          <w:lang w:val="en-AU"/>
        </w:rPr>
        <w:noBreakHyphen/>
        <w:t>03)</w:t>
      </w:r>
      <w:r w:rsidRPr="00B1211B">
        <w:rPr>
          <w:lang w:val="en-AU"/>
        </w:rPr>
        <w:t xml:space="preserve"> from these countries.</w:t>
      </w:r>
      <w:r w:rsidR="00856397">
        <w:rPr>
          <w:sz w:val="16"/>
        </w:rPr>
        <w:t>     (WRC-05</w:t>
      </w:r>
      <w:r w:rsidRPr="00432F3B">
        <w:rPr>
          <w:sz w:val="16"/>
        </w:rPr>
        <w:t>)</w:t>
      </w:r>
    </w:p>
    <w:p w14:paraId="4C940556" w14:textId="77777777" w:rsidR="003E45F9" w:rsidRPr="004046E7" w:rsidRDefault="003E45F9" w:rsidP="003E45F9">
      <w:pPr>
        <w:pStyle w:val="Note2"/>
      </w:pPr>
      <w:r w:rsidRPr="004046E7">
        <w:rPr>
          <w:rStyle w:val="Artdef"/>
        </w:rPr>
        <w:t>5.509A</w:t>
      </w:r>
      <w:r w:rsidRPr="004046E7">
        <w:tab/>
      </w:r>
      <w:r w:rsidR="00856397">
        <w:t xml:space="preserve">In the frequency band 14.3-14.5 GHz, the power flux-density produced on the territory of the countries of Saudi Arabia, Bahrain, Botswana, Cameroon, China, Côte d’Ivoire, Egypt, France, Gabon, Guinea, India, Iran (Islamic Republic of), Italy, Kuwait, Morocco, Nigeria, Oman, the Syrian Arab Republic, the United Kingdom, Sri Lanka, Tunisia and Viet Nam by any aircraft earth station in the aeronautical mobile-satellite service shall not exceed the limits given in Annex 1, Part B of Recommendation ITU-R M.1643-0, unless otherwise specifically agreed by the affected </w:t>
      </w:r>
      <w:r w:rsidR="00856397">
        <w:lastRenderedPageBreak/>
        <w:t>administration(s). The provisions of this footnote in no way derogate the obligations of the aeronautical mobile-satellite service to operate as a secondary service in accordance with No</w:t>
      </w:r>
      <w:r w:rsidR="00856397" w:rsidRPr="00856397">
        <w:rPr>
          <w:b/>
        </w:rPr>
        <w:t>. 5.29</w:t>
      </w:r>
      <w:r w:rsidR="00856397">
        <w:t xml:space="preserve">. </w:t>
      </w:r>
      <w:r w:rsidR="00856397" w:rsidRPr="00856397">
        <w:rPr>
          <w:sz w:val="16"/>
        </w:rPr>
        <w:t>(WRC-15)</w:t>
      </w:r>
    </w:p>
    <w:p w14:paraId="659D9C04" w14:textId="77777777" w:rsidR="003E45F9" w:rsidRPr="00EC683E" w:rsidRDefault="003E45F9" w:rsidP="003E45F9">
      <w:pPr>
        <w:pStyle w:val="Note2"/>
      </w:pPr>
      <w:r w:rsidRPr="005847C0">
        <w:rPr>
          <w:rStyle w:val="Artdef"/>
        </w:rPr>
        <w:t>5.516B</w:t>
      </w:r>
      <w:r w:rsidRPr="005847C0">
        <w:rPr>
          <w:rStyle w:val="Artdef"/>
        </w:rPr>
        <w:tab/>
      </w:r>
      <w:r w:rsidRPr="00F52854">
        <w:t>The</w:t>
      </w:r>
      <w:r>
        <w:rPr>
          <w:lang w:val="en-AU"/>
        </w:rPr>
        <w:t xml:space="preserve"> following bands are identified for use by high-density applications in the fixed-satellite service:</w:t>
      </w:r>
    </w:p>
    <w:p w14:paraId="6A77353E" w14:textId="77777777" w:rsidR="003E45F9" w:rsidRPr="00F52854" w:rsidRDefault="003E45F9" w:rsidP="003E45F9">
      <w:pPr>
        <w:pStyle w:val="Note2"/>
      </w:pPr>
      <w:r>
        <w:tab/>
      </w:r>
      <w:r w:rsidRPr="00F52854">
        <w:tab/>
        <w:t>17.3-17.7 GHz</w:t>
      </w:r>
      <w:r w:rsidRPr="00F52854">
        <w:tab/>
        <w:t>(space-to-Earth) in Region 1,</w:t>
      </w:r>
    </w:p>
    <w:p w14:paraId="7A428C06" w14:textId="77777777" w:rsidR="003E45F9" w:rsidRPr="00F52854" w:rsidRDefault="003E45F9" w:rsidP="003E45F9">
      <w:pPr>
        <w:pStyle w:val="Note2"/>
      </w:pPr>
      <w:r w:rsidRPr="00F52854">
        <w:tab/>
      </w:r>
      <w:r>
        <w:tab/>
      </w:r>
      <w:r w:rsidRPr="00F52854">
        <w:t>18.3-19.3 GHz</w:t>
      </w:r>
      <w:r w:rsidRPr="00F52854">
        <w:tab/>
        <w:t>(space-to-Earth) in Region 2,</w:t>
      </w:r>
    </w:p>
    <w:p w14:paraId="6602AFB9" w14:textId="77777777" w:rsidR="003E45F9" w:rsidRPr="00F52854" w:rsidRDefault="003E45F9" w:rsidP="003E45F9">
      <w:pPr>
        <w:pStyle w:val="Note2"/>
      </w:pPr>
      <w:r>
        <w:tab/>
      </w:r>
      <w:r w:rsidRPr="00F52854">
        <w:tab/>
        <w:t>19.7-20.2 GHz</w:t>
      </w:r>
      <w:r w:rsidRPr="00F52854">
        <w:tab/>
        <w:t>(space-to-Earth) in all Regions,</w:t>
      </w:r>
    </w:p>
    <w:p w14:paraId="101C3BA1" w14:textId="77777777" w:rsidR="003E45F9" w:rsidRPr="00F52854" w:rsidRDefault="003E45F9" w:rsidP="003E45F9">
      <w:pPr>
        <w:pStyle w:val="Note2"/>
      </w:pPr>
      <w:r>
        <w:tab/>
      </w:r>
      <w:r>
        <w:tab/>
        <w:t>39.5-40 GHz</w:t>
      </w:r>
      <w:r w:rsidRPr="00F52854">
        <w:tab/>
      </w:r>
      <w:r>
        <w:tab/>
      </w:r>
      <w:r w:rsidRPr="00F52854">
        <w:t>(space-to-Earth) in Region 1,</w:t>
      </w:r>
    </w:p>
    <w:p w14:paraId="262846CA" w14:textId="77777777" w:rsidR="003E45F9" w:rsidRPr="00F52854" w:rsidRDefault="003E45F9" w:rsidP="003E45F9">
      <w:pPr>
        <w:pStyle w:val="Note2"/>
      </w:pPr>
      <w:r>
        <w:tab/>
      </w:r>
      <w:r>
        <w:tab/>
        <w:t>40-40.5 GHz</w:t>
      </w:r>
      <w:r w:rsidRPr="00F52854">
        <w:tab/>
      </w:r>
      <w:r>
        <w:tab/>
      </w:r>
      <w:r w:rsidRPr="00F52854">
        <w:t>(space-to-Earth) in all Regions,</w:t>
      </w:r>
    </w:p>
    <w:p w14:paraId="723068CE" w14:textId="77777777" w:rsidR="003E45F9" w:rsidRPr="00F52854" w:rsidRDefault="003E45F9" w:rsidP="003E45F9">
      <w:pPr>
        <w:pStyle w:val="Note2"/>
      </w:pPr>
      <w:r>
        <w:tab/>
      </w:r>
      <w:r>
        <w:tab/>
        <w:t>40.5-42 GHz</w:t>
      </w:r>
      <w:r w:rsidRPr="00F52854">
        <w:tab/>
      </w:r>
      <w:r>
        <w:tab/>
      </w:r>
      <w:r w:rsidRPr="00F52854">
        <w:t>(space-to-Earth) in Region 2,</w:t>
      </w:r>
    </w:p>
    <w:p w14:paraId="4631943B" w14:textId="77777777" w:rsidR="003E45F9" w:rsidRPr="00F52854" w:rsidRDefault="003E45F9" w:rsidP="003E45F9">
      <w:pPr>
        <w:pStyle w:val="Note2"/>
      </w:pPr>
      <w:r>
        <w:tab/>
      </w:r>
      <w:r w:rsidRPr="00F52854">
        <w:tab/>
        <w:t>47.5-47.9 GHz</w:t>
      </w:r>
      <w:r w:rsidRPr="00F52854">
        <w:tab/>
        <w:t>(space-to-Earth) in Region 1,</w:t>
      </w:r>
    </w:p>
    <w:p w14:paraId="77107CC3" w14:textId="77777777" w:rsidR="003E45F9" w:rsidRPr="00F52854" w:rsidRDefault="003E45F9" w:rsidP="003E45F9">
      <w:pPr>
        <w:pStyle w:val="Note2"/>
      </w:pPr>
      <w:r w:rsidRPr="00F52854">
        <w:tab/>
      </w:r>
      <w:r>
        <w:tab/>
      </w:r>
      <w:r w:rsidRPr="00F52854">
        <w:t>48.2-48.54 GHz</w:t>
      </w:r>
      <w:r w:rsidRPr="00F52854">
        <w:tab/>
        <w:t>(space-to-Earth) in Region 1,</w:t>
      </w:r>
    </w:p>
    <w:p w14:paraId="4E8F432B" w14:textId="77777777" w:rsidR="003E45F9" w:rsidRPr="00F52854" w:rsidRDefault="003E45F9" w:rsidP="003E45F9">
      <w:pPr>
        <w:pStyle w:val="Note2"/>
      </w:pPr>
      <w:r>
        <w:tab/>
      </w:r>
      <w:r w:rsidRPr="00F52854">
        <w:tab/>
        <w:t>49.44-50.2 GHz</w:t>
      </w:r>
      <w:r w:rsidRPr="00F52854">
        <w:tab/>
        <w:t>(space-to-Earth) in Region 1,</w:t>
      </w:r>
    </w:p>
    <w:p w14:paraId="6910AC0C" w14:textId="77777777" w:rsidR="003E45F9" w:rsidRPr="00F52854" w:rsidRDefault="003E45F9" w:rsidP="003E45F9">
      <w:pPr>
        <w:pStyle w:val="Note2"/>
      </w:pPr>
      <w:r w:rsidRPr="00F52854">
        <w:tab/>
      </w:r>
      <w:r>
        <w:tab/>
      </w:r>
      <w:r w:rsidRPr="00F52854">
        <w:t>and</w:t>
      </w:r>
    </w:p>
    <w:p w14:paraId="3FA549FC" w14:textId="77777777" w:rsidR="003E45F9" w:rsidRPr="00F52854" w:rsidRDefault="003E45F9" w:rsidP="003E45F9">
      <w:pPr>
        <w:pStyle w:val="Note2"/>
      </w:pPr>
      <w:r>
        <w:tab/>
      </w:r>
      <w:r w:rsidRPr="00F52854">
        <w:tab/>
        <w:t>27.5-27.82 GHz</w:t>
      </w:r>
      <w:r w:rsidRPr="00F52854">
        <w:tab/>
        <w:t>(Earth-to-space) in Region 1,</w:t>
      </w:r>
    </w:p>
    <w:p w14:paraId="43142B87" w14:textId="77777777" w:rsidR="003E45F9" w:rsidRPr="00F52854" w:rsidRDefault="003E45F9" w:rsidP="003E45F9">
      <w:pPr>
        <w:pStyle w:val="Note2"/>
      </w:pPr>
      <w:r w:rsidRPr="00F52854">
        <w:tab/>
      </w:r>
      <w:r>
        <w:tab/>
      </w:r>
      <w:r w:rsidRPr="00F52854">
        <w:t>28.35-28.45 GHz</w:t>
      </w:r>
      <w:r w:rsidRPr="00F52854">
        <w:tab/>
        <w:t>(Earth-to-space) in Region 2,</w:t>
      </w:r>
    </w:p>
    <w:p w14:paraId="77D6B1DB" w14:textId="77777777" w:rsidR="003E45F9" w:rsidRPr="00F52854" w:rsidRDefault="003E45F9" w:rsidP="003E45F9">
      <w:pPr>
        <w:pStyle w:val="Note2"/>
      </w:pPr>
      <w:r>
        <w:tab/>
      </w:r>
      <w:r w:rsidRPr="00F52854">
        <w:tab/>
        <w:t>28.45-28.94 GHz</w:t>
      </w:r>
      <w:r w:rsidRPr="00F52854">
        <w:tab/>
        <w:t>(Earth-to-space) in all Regions,</w:t>
      </w:r>
    </w:p>
    <w:p w14:paraId="02721A45" w14:textId="77777777" w:rsidR="003E45F9" w:rsidRPr="00F52854" w:rsidRDefault="003E45F9" w:rsidP="003E45F9">
      <w:pPr>
        <w:pStyle w:val="Note2"/>
      </w:pPr>
      <w:r w:rsidRPr="00F52854">
        <w:tab/>
      </w:r>
      <w:r>
        <w:tab/>
      </w:r>
      <w:r w:rsidRPr="00F52854">
        <w:t>28.94-29.1 GHz</w:t>
      </w:r>
      <w:r w:rsidRPr="00F52854">
        <w:tab/>
        <w:t>(Earth-to-space) in Region 2 and 3,</w:t>
      </w:r>
    </w:p>
    <w:p w14:paraId="6E667858" w14:textId="77777777" w:rsidR="003E45F9" w:rsidRPr="00F52854" w:rsidRDefault="003E45F9" w:rsidP="003E45F9">
      <w:pPr>
        <w:pStyle w:val="Note2"/>
      </w:pPr>
      <w:r>
        <w:tab/>
      </w:r>
      <w:r w:rsidRPr="00F52854">
        <w:tab/>
        <w:t>29.25-29.46 GHz</w:t>
      </w:r>
      <w:r w:rsidRPr="00F52854">
        <w:tab/>
        <w:t>(Earth-to-space) in Region 2,</w:t>
      </w:r>
    </w:p>
    <w:p w14:paraId="6C23B969" w14:textId="77777777" w:rsidR="003E45F9" w:rsidRPr="00F52854" w:rsidRDefault="003E45F9" w:rsidP="003E45F9">
      <w:pPr>
        <w:pStyle w:val="Note2"/>
      </w:pPr>
      <w:r w:rsidRPr="00F52854">
        <w:tab/>
      </w:r>
      <w:r>
        <w:tab/>
      </w:r>
      <w:r w:rsidRPr="00F52854">
        <w:t>29.46-30 GHz</w:t>
      </w:r>
      <w:r w:rsidRPr="00F52854">
        <w:tab/>
        <w:t>(Earth-to-space) in all Regions,</w:t>
      </w:r>
    </w:p>
    <w:p w14:paraId="318CE236" w14:textId="77777777" w:rsidR="003E45F9" w:rsidRPr="00F52854" w:rsidRDefault="003E45F9" w:rsidP="003E45F9">
      <w:pPr>
        <w:pStyle w:val="Note2"/>
      </w:pPr>
      <w:r>
        <w:tab/>
      </w:r>
      <w:r w:rsidRPr="00F52854">
        <w:tab/>
        <w:t>48.2-50.2 GHz</w:t>
      </w:r>
      <w:r w:rsidRPr="00F52854">
        <w:tab/>
        <w:t>(Earth-to-space) in Region 2.</w:t>
      </w:r>
    </w:p>
    <w:p w14:paraId="04CF0F35" w14:textId="77777777" w:rsidR="003E45F9" w:rsidRDefault="003E45F9" w:rsidP="003E45F9">
      <w:pPr>
        <w:pStyle w:val="Note2"/>
        <w:rPr>
          <w:sz w:val="16"/>
        </w:rPr>
      </w:pPr>
      <w:r>
        <w:rPr>
          <w:lang w:val="en-AU"/>
        </w:rPr>
        <w:tab/>
      </w:r>
      <w:r>
        <w:rPr>
          <w:lang w:val="en-AU"/>
        </w:rPr>
        <w:tab/>
        <w:t xml:space="preserve">This identification does not preclude the use of these bands by other fixed-satellite service applications or by other services to which these bands are allocated on a co-primary basis and does not establish priority in these Radio Regulations among users of the bands. </w:t>
      </w:r>
      <w:r w:rsidRPr="00F52854">
        <w:t>Administrations</w:t>
      </w:r>
      <w:r>
        <w:rPr>
          <w:lang w:val="en-AU"/>
        </w:rPr>
        <w:t xml:space="preserve"> should take this into account when considering regulatory provisions in relation to these bands. See Resolution </w:t>
      </w:r>
      <w:r>
        <w:rPr>
          <w:b/>
          <w:bCs/>
          <w:lang w:val="en-AU"/>
        </w:rPr>
        <w:t>143 (WRC</w:t>
      </w:r>
      <w:r>
        <w:rPr>
          <w:b/>
          <w:bCs/>
          <w:lang w:val="en-AU"/>
        </w:rPr>
        <w:noBreakHyphen/>
        <w:t>03)</w:t>
      </w:r>
      <w:r w:rsidRPr="00BA0B65">
        <w:rPr>
          <w:rStyle w:val="FootnoteReference"/>
        </w:rPr>
        <w:footnoteReference w:customMarkFollows="1" w:id="8"/>
        <w:t>*</w:t>
      </w:r>
      <w:r>
        <w:rPr>
          <w:lang w:val="en-AU"/>
        </w:rPr>
        <w:t>.</w:t>
      </w:r>
      <w:r w:rsidRPr="00432F3B">
        <w:rPr>
          <w:sz w:val="16"/>
        </w:rPr>
        <w:t>     (WRC-03)</w:t>
      </w:r>
    </w:p>
    <w:p w14:paraId="168712B6" w14:textId="77777777" w:rsidR="003E45F9" w:rsidRDefault="003E45F9" w:rsidP="003E45F9">
      <w:pPr>
        <w:pStyle w:val="Note2"/>
        <w:rPr>
          <w:sz w:val="16"/>
        </w:rPr>
      </w:pPr>
      <w:r w:rsidRPr="004046E7">
        <w:rPr>
          <w:rStyle w:val="Artdef"/>
        </w:rPr>
        <w:t>5.524</w:t>
      </w:r>
      <w:r w:rsidRPr="004046E7">
        <w:rPr>
          <w:rStyle w:val="Artdef"/>
        </w:rPr>
        <w:tab/>
      </w:r>
      <w:r w:rsidR="00A232B4">
        <w:t xml:space="preserve">Additional allocation: in Afghanistan, Algeria, Saudi Arabia, Bahrain, Brunei Darussalam, Cameroon, China, Congo (Rep. of the), Costa Rica, Egypt, the United Arab Emirates, Gabon, Guatemala, Guinea, India, Iran (Islamic Republic of), Iraq, Israel, Japan, Jordan, Kuwait, Lebanon, Malaysia, Mali, Morocco, Mauritania, Nepal, Nigeria, Oman, Pakistan, the Philippines, Qatar, the Syrian Arab Republic, the Dem. Rep. of the Congo, the Dem. People’s Rep. of Korea, Singapore, Somalia, Sudan, South Sudan, Chad, Togo and Tunisia, the frequency band 19.7-21.2 GHz is also allocated to the fixed and mobile services on a primary basis. This additional use shall not impose any limitation on the power flux-density of space stations in the fixed-satellite service in the frequency band 19.7-21.2 GHz and of space stations in the mobile-satellite service in the frequency band 19.7-20.2 GHz where the allocation to the mobile-satellite service is on a primary basis in the latter frequency band. </w:t>
      </w:r>
      <w:r w:rsidR="00A232B4" w:rsidRPr="00A232B4">
        <w:rPr>
          <w:sz w:val="16"/>
        </w:rPr>
        <w:t>(WRC-15)</w:t>
      </w:r>
    </w:p>
    <w:p w14:paraId="56E59B45" w14:textId="77777777" w:rsidR="003E45F9" w:rsidRPr="00EC683E" w:rsidRDefault="003E45F9" w:rsidP="003E45F9">
      <w:pPr>
        <w:pStyle w:val="Note2"/>
      </w:pPr>
      <w:r w:rsidRPr="005847C0">
        <w:rPr>
          <w:rStyle w:val="Artdef"/>
        </w:rPr>
        <w:t>5.525</w:t>
      </w:r>
      <w:r w:rsidRPr="005847C0">
        <w:rPr>
          <w:rStyle w:val="Artdef"/>
        </w:rPr>
        <w:tab/>
      </w:r>
      <w:r>
        <w:rPr>
          <w:lang w:val="en-AU"/>
        </w:rPr>
        <w:t>In order to facilitate interregional coordination between networks in the mobile-satellite and fixed-satellite services, carriers in the mobile-satellite service that are most susceptible to interference shall, to the extent practicable, be located in the higher parts of the bands 19.7</w:t>
      </w:r>
      <w:r w:rsidRPr="00EC683E">
        <w:t>-</w:t>
      </w:r>
      <w:r>
        <w:rPr>
          <w:lang w:val="en-AU"/>
        </w:rPr>
        <w:t>20.2 GHz and 29.5</w:t>
      </w:r>
      <w:r w:rsidRPr="00EC683E">
        <w:t>-</w:t>
      </w:r>
      <w:r>
        <w:rPr>
          <w:lang w:val="en-AU"/>
        </w:rPr>
        <w:t>30 GHz.</w:t>
      </w:r>
    </w:p>
    <w:p w14:paraId="41828706" w14:textId="77777777" w:rsidR="003E45F9" w:rsidRDefault="003E45F9" w:rsidP="003E45F9">
      <w:pPr>
        <w:pStyle w:val="Note2"/>
        <w:rPr>
          <w:lang w:val="en-AU"/>
        </w:rPr>
      </w:pPr>
      <w:r w:rsidRPr="005847C0">
        <w:rPr>
          <w:rStyle w:val="Artdef"/>
        </w:rPr>
        <w:t>5.526</w:t>
      </w:r>
      <w:r w:rsidRPr="005847C0">
        <w:rPr>
          <w:rStyle w:val="Artdef"/>
        </w:rPr>
        <w:tab/>
      </w:r>
      <w:r>
        <w:rPr>
          <w:lang w:val="en-AU"/>
        </w:rPr>
        <w:t>In the bands 19.7</w:t>
      </w:r>
      <w:r w:rsidRPr="00EC683E">
        <w:t>-</w:t>
      </w:r>
      <w:r>
        <w:rPr>
          <w:lang w:val="en-AU"/>
        </w:rPr>
        <w:t>20.2 GHz and 29.5</w:t>
      </w:r>
      <w:r w:rsidRPr="00EC683E">
        <w:t>-</w:t>
      </w:r>
      <w:r>
        <w:rPr>
          <w:lang w:val="en-AU"/>
        </w:rPr>
        <w:t>30 GHz in Region 2, and in the bands 20.1</w:t>
      </w:r>
      <w:r w:rsidRPr="00EC683E">
        <w:t>-</w:t>
      </w:r>
      <w:r>
        <w:rPr>
          <w:lang w:val="en-AU"/>
        </w:rPr>
        <w:t>20.2 GHz and 29.9</w:t>
      </w:r>
      <w:r w:rsidRPr="00EC683E">
        <w:t>-</w:t>
      </w:r>
      <w:r>
        <w:rPr>
          <w:lang w:val="en-AU"/>
        </w:rPr>
        <w:t xml:space="preserve">30 GHz in Regions 1 and 3, networks which are both in the fixed-satellite service and in the </w:t>
      </w:r>
      <w:r w:rsidRPr="00586C75">
        <w:t>mobile</w:t>
      </w:r>
      <w:r>
        <w:rPr>
          <w:lang w:val="en-AU"/>
        </w:rPr>
        <w:t>-satellite service may include links between earth stations at specified or unspecified points or while in motion, through one or more satellites for point-to-point and point-to-multipoint communications.</w:t>
      </w:r>
    </w:p>
    <w:p w14:paraId="4782CCAB" w14:textId="77777777" w:rsidR="003E45F9" w:rsidRDefault="003E45F9" w:rsidP="003E45F9">
      <w:pPr>
        <w:pStyle w:val="Note2"/>
        <w:rPr>
          <w:lang w:val="en-AU"/>
        </w:rPr>
      </w:pPr>
      <w:r w:rsidRPr="005847C0">
        <w:rPr>
          <w:rStyle w:val="Artdef"/>
        </w:rPr>
        <w:t>5.527</w:t>
      </w:r>
      <w:r w:rsidRPr="005847C0">
        <w:rPr>
          <w:rStyle w:val="Artdef"/>
        </w:rPr>
        <w:tab/>
      </w:r>
      <w:r>
        <w:rPr>
          <w:lang w:val="en-AU"/>
        </w:rPr>
        <w:t>In the bands 19.7</w:t>
      </w:r>
      <w:r w:rsidRPr="00EC683E">
        <w:t>-</w:t>
      </w:r>
      <w:r>
        <w:rPr>
          <w:lang w:val="en-AU"/>
        </w:rPr>
        <w:t>20.2 GHz and 29.5</w:t>
      </w:r>
      <w:r w:rsidRPr="00EC683E">
        <w:t>-</w:t>
      </w:r>
      <w:r>
        <w:rPr>
          <w:lang w:val="en-AU"/>
        </w:rPr>
        <w:t>30 GHz, the provisions of No. </w:t>
      </w:r>
      <w:r w:rsidRPr="002813BA">
        <w:rPr>
          <w:rStyle w:val="Artref"/>
          <w:b/>
          <w:bCs/>
        </w:rPr>
        <w:t>4.10</w:t>
      </w:r>
      <w:r>
        <w:rPr>
          <w:lang w:val="en-AU"/>
        </w:rPr>
        <w:t xml:space="preserve"> do not apply with respect to </w:t>
      </w:r>
      <w:r w:rsidRPr="00586C75">
        <w:t>the</w:t>
      </w:r>
      <w:r>
        <w:rPr>
          <w:lang w:val="en-AU"/>
        </w:rPr>
        <w:t xml:space="preserve"> mobile-satellite service.</w:t>
      </w:r>
    </w:p>
    <w:p w14:paraId="7FF28DA4" w14:textId="77777777" w:rsidR="003E45F9" w:rsidRDefault="003E45F9" w:rsidP="003E45F9">
      <w:pPr>
        <w:pStyle w:val="Note2"/>
        <w:rPr>
          <w:lang w:val="en-AU"/>
        </w:rPr>
      </w:pPr>
      <w:r w:rsidRPr="005847C0">
        <w:rPr>
          <w:rStyle w:val="Artdef"/>
        </w:rPr>
        <w:lastRenderedPageBreak/>
        <w:t>5.528</w:t>
      </w:r>
      <w:r w:rsidRPr="005847C0">
        <w:rPr>
          <w:rStyle w:val="Artdef"/>
        </w:rPr>
        <w:tab/>
      </w:r>
      <w:r>
        <w:rPr>
          <w:lang w:val="en-AU"/>
        </w:rPr>
        <w:t>The allocation to the mobile-satellite service is intended for use by networks which use narrow spot-beam antennas and other advanced technology at the space stations. Administrations operating systems in the mobile-satellite service in the band 19.7</w:t>
      </w:r>
      <w:r w:rsidRPr="00EC683E">
        <w:t>-</w:t>
      </w:r>
      <w:r>
        <w:rPr>
          <w:lang w:val="en-AU"/>
        </w:rPr>
        <w:t>20.1 GHz in Region 2 and in the band 20.1</w:t>
      </w:r>
      <w:r w:rsidRPr="00EC683E">
        <w:t>-</w:t>
      </w:r>
      <w:r>
        <w:rPr>
          <w:lang w:val="en-AU"/>
        </w:rPr>
        <w:t>20.2 GHz shall take all practicable steps to ensure the continued availability of these bands for administrations operating fixed and mobile systems in accordance with the provisions of No. </w:t>
      </w:r>
      <w:r w:rsidRPr="002813BA">
        <w:rPr>
          <w:rStyle w:val="Artref"/>
          <w:b/>
          <w:bCs/>
        </w:rPr>
        <w:t>5.524</w:t>
      </w:r>
      <w:r>
        <w:rPr>
          <w:lang w:val="en-AU"/>
        </w:rPr>
        <w:t>.</w:t>
      </w:r>
    </w:p>
    <w:p w14:paraId="1730BE66" w14:textId="77777777" w:rsidR="003E45F9" w:rsidRDefault="003E45F9" w:rsidP="003E45F9">
      <w:pPr>
        <w:pStyle w:val="Note2"/>
        <w:rPr>
          <w:lang w:val="en-AU"/>
        </w:rPr>
      </w:pPr>
      <w:r w:rsidRPr="005847C0">
        <w:rPr>
          <w:rStyle w:val="Artdef"/>
        </w:rPr>
        <w:t>5.529</w:t>
      </w:r>
      <w:r w:rsidRPr="005847C0">
        <w:rPr>
          <w:rStyle w:val="Artdef"/>
        </w:rPr>
        <w:tab/>
      </w:r>
      <w:r>
        <w:rPr>
          <w:lang w:val="en-AU"/>
        </w:rPr>
        <w:t>The use of the bands 19.7</w:t>
      </w:r>
      <w:r w:rsidRPr="00EC683E">
        <w:t>-</w:t>
      </w:r>
      <w:r>
        <w:rPr>
          <w:lang w:val="en-AU"/>
        </w:rPr>
        <w:t>20.1 GHz and 29.5</w:t>
      </w:r>
      <w:r w:rsidRPr="00EC683E">
        <w:t>-</w:t>
      </w:r>
      <w:r>
        <w:rPr>
          <w:lang w:val="en-AU"/>
        </w:rPr>
        <w:t xml:space="preserve">29.9 GHz by the mobile-satellite service in Region 2 is </w:t>
      </w:r>
      <w:r w:rsidRPr="00586C75">
        <w:t>limited</w:t>
      </w:r>
      <w:r>
        <w:rPr>
          <w:lang w:val="en-AU"/>
        </w:rPr>
        <w:t xml:space="preserve"> to satellite networks which are both in the fixed-satellite service and in the mobile-satellite service as described in No. </w:t>
      </w:r>
      <w:r w:rsidRPr="002813BA">
        <w:rPr>
          <w:rStyle w:val="Artref"/>
          <w:b/>
          <w:bCs/>
        </w:rPr>
        <w:t>5.526</w:t>
      </w:r>
      <w:r>
        <w:rPr>
          <w:lang w:val="en-AU"/>
        </w:rPr>
        <w:t>.</w:t>
      </w:r>
    </w:p>
    <w:p w14:paraId="4404FF3C" w14:textId="77777777" w:rsidR="003E45F9" w:rsidRDefault="003E45F9" w:rsidP="003E45F9">
      <w:pPr>
        <w:pStyle w:val="Note2"/>
        <w:rPr>
          <w:lang w:val="en-AU"/>
        </w:rPr>
      </w:pPr>
      <w:r w:rsidRPr="005847C0">
        <w:rPr>
          <w:rStyle w:val="Artdef"/>
        </w:rPr>
        <w:t>5.539</w:t>
      </w:r>
      <w:r w:rsidRPr="005847C0">
        <w:rPr>
          <w:rStyle w:val="Artdef"/>
        </w:rPr>
        <w:tab/>
      </w:r>
      <w:r>
        <w:rPr>
          <w:lang w:val="en-AU"/>
        </w:rPr>
        <w:t>The band 27.5</w:t>
      </w:r>
      <w:r w:rsidRPr="00EC683E">
        <w:t>-</w:t>
      </w:r>
      <w:r>
        <w:rPr>
          <w:lang w:val="en-AU"/>
        </w:rPr>
        <w:t xml:space="preserve">30 GHz may be used by the fixed-satellite service (Earth-to-space) for the provision of </w:t>
      </w:r>
      <w:r w:rsidRPr="00586C75">
        <w:t>feeder</w:t>
      </w:r>
      <w:r>
        <w:rPr>
          <w:lang w:val="en-AU"/>
        </w:rPr>
        <w:t xml:space="preserve"> links for the broadcasting-satellite service.</w:t>
      </w:r>
    </w:p>
    <w:p w14:paraId="0EC072C6" w14:textId="77777777" w:rsidR="003E45F9" w:rsidRDefault="003E45F9" w:rsidP="003E45F9">
      <w:pPr>
        <w:pStyle w:val="Note2"/>
        <w:rPr>
          <w:lang w:val="en-AU"/>
        </w:rPr>
      </w:pPr>
      <w:r w:rsidRPr="005847C0">
        <w:rPr>
          <w:rStyle w:val="Artdef"/>
        </w:rPr>
        <w:t>5.540</w:t>
      </w:r>
      <w:r w:rsidRPr="005847C0">
        <w:rPr>
          <w:rStyle w:val="Artdef"/>
        </w:rPr>
        <w:tab/>
      </w:r>
      <w:r>
        <w:rPr>
          <w:i/>
          <w:lang w:val="en-AU"/>
        </w:rPr>
        <w:t>Additional allocation:  </w:t>
      </w:r>
      <w:r>
        <w:rPr>
          <w:lang w:val="en-AU"/>
        </w:rPr>
        <w:t>the band 27.501</w:t>
      </w:r>
      <w:r w:rsidRPr="00EC683E">
        <w:t>-</w:t>
      </w:r>
      <w:r>
        <w:rPr>
          <w:lang w:val="en-AU"/>
        </w:rPr>
        <w:t xml:space="preserve">29.999 GHz is also allocated to the fixed-satellite </w:t>
      </w:r>
      <w:r w:rsidRPr="00586C75">
        <w:t>service</w:t>
      </w:r>
      <w:r>
        <w:rPr>
          <w:lang w:val="en-AU"/>
        </w:rPr>
        <w:t xml:space="preserve"> (space-to-Earth) on a secondary basis for beacon transmissions intended for up-link power control.</w:t>
      </w:r>
    </w:p>
    <w:p w14:paraId="07FFBE78" w14:textId="77777777" w:rsidR="001E2645" w:rsidRDefault="001E2645" w:rsidP="001E2645">
      <w:pPr>
        <w:pStyle w:val="Note2"/>
        <w:rPr>
          <w:sz w:val="16"/>
        </w:rPr>
      </w:pPr>
      <w:r w:rsidRPr="004046E7">
        <w:rPr>
          <w:rStyle w:val="Artdef"/>
        </w:rPr>
        <w:t>5.542</w:t>
      </w:r>
      <w:r w:rsidRPr="004046E7">
        <w:rPr>
          <w:rStyle w:val="Artdef"/>
        </w:rPr>
        <w:tab/>
      </w:r>
      <w:r w:rsidRPr="00B77549">
        <w:rPr>
          <w:i/>
          <w:iCs/>
        </w:rPr>
        <w:t>Additional allocation: </w:t>
      </w:r>
      <w:r w:rsidRPr="006B6C62">
        <w:t> </w:t>
      </w:r>
      <w:r w:rsidRPr="004046E7">
        <w:t xml:space="preserve">in Algeria, Saudi Arabia, Bahrain, Brunei Darussalam, Cameroon, China, Congo (Rep. of the), Egypt, the United Arab Emirates, Eritrea, Ethiopia, Guinea, India, Iran (Islamic Republic of), </w:t>
      </w:r>
      <w:r>
        <w:t>Iraq</w:t>
      </w:r>
      <w:r w:rsidRPr="004046E7">
        <w:t>, Japan, Jordan, Kuwait, Lebanon, Malaysia, Mali, Morocco, Mauritania, Nepal, Oman, Pakistan, Philippines, Qatar, the Syrian Arab Republic, the Dem. People’s Rep. of Korea, Somalia, Sudan, South Sudan, Sri Lanka and Chad, the band 29.5-31 GHz is also allocated to the fixed and mobile services on a secondary basis. The power limits specified in Nos. </w:t>
      </w:r>
      <w:r w:rsidRPr="004046E7">
        <w:rPr>
          <w:rStyle w:val="ArtrefBold"/>
        </w:rPr>
        <w:t>21.3</w:t>
      </w:r>
      <w:r w:rsidRPr="004046E7">
        <w:t xml:space="preserve"> and </w:t>
      </w:r>
      <w:r w:rsidRPr="004046E7">
        <w:rPr>
          <w:rStyle w:val="ArtrefBold"/>
        </w:rPr>
        <w:t>21.5</w:t>
      </w:r>
      <w:r w:rsidRPr="004046E7">
        <w:t xml:space="preserve"> shall apply.</w:t>
      </w:r>
      <w:r>
        <w:rPr>
          <w:sz w:val="16"/>
        </w:rPr>
        <w:t>  </w:t>
      </w:r>
      <w:r w:rsidRPr="004046E7">
        <w:rPr>
          <w:sz w:val="16"/>
        </w:rPr>
        <w:t>  (</w:t>
      </w:r>
      <w:r>
        <w:rPr>
          <w:sz w:val="16"/>
        </w:rPr>
        <w:t>WRC</w:t>
      </w:r>
      <w:r>
        <w:rPr>
          <w:sz w:val="16"/>
        </w:rPr>
        <w:noBreakHyphen/>
      </w:r>
      <w:r w:rsidRPr="004046E7">
        <w:rPr>
          <w:sz w:val="16"/>
        </w:rPr>
        <w:t>12)</w:t>
      </w:r>
    </w:p>
    <w:p w14:paraId="793ABF55" w14:textId="77777777" w:rsidR="00AC2031" w:rsidRDefault="00AC2031" w:rsidP="00366C76">
      <w:pPr>
        <w:pStyle w:val="Listabc"/>
        <w:numPr>
          <w:ilvl w:val="0"/>
          <w:numId w:val="0"/>
        </w:numPr>
        <w:ind w:left="360" w:hanging="360"/>
      </w:pPr>
    </w:p>
    <w:p w14:paraId="5DCB137E" w14:textId="77777777" w:rsidR="00770160" w:rsidRDefault="00770160">
      <w:pPr>
        <w:spacing w:before="600"/>
        <w:jc w:val="center"/>
      </w:pPr>
      <w:r>
        <w:t>— END —</w:t>
      </w:r>
    </w:p>
    <w:p w14:paraId="52B7AD1A" w14:textId="77777777" w:rsidR="00A12CBA" w:rsidRDefault="00770160">
      <w:pPr>
        <w:spacing w:before="600"/>
        <w:jc w:val="center"/>
      </w:pPr>
      <w:r>
        <w:br w:type="page"/>
      </w:r>
    </w:p>
    <w:sectPr w:rsidR="00A12CBA">
      <w:headerReference w:type="even" r:id="rId12"/>
      <w:headerReference w:type="default" r:id="rId13"/>
      <w:headerReference w:type="first" r:id="rId14"/>
      <w:footerReference w:type="first" r:id="rId15"/>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1CD25" w14:textId="77777777" w:rsidR="00094384" w:rsidRDefault="00094384">
      <w:r>
        <w:separator/>
      </w:r>
    </w:p>
  </w:endnote>
  <w:endnote w:type="continuationSeparator" w:id="0">
    <w:p w14:paraId="54E25FE3" w14:textId="77777777" w:rsidR="00094384" w:rsidRDefault="00094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C24AE" w14:textId="77777777" w:rsidR="001C4621" w:rsidRDefault="001C4621">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8D6CC9">
      <w:rPr>
        <w:noProof/>
        <w:sz w:val="18"/>
        <w:lang w:val="fr-FR"/>
      </w:rPr>
      <w:t>19</w:t>
    </w:r>
    <w:r>
      <w:rPr>
        <w:sz w:val="18"/>
        <w:lang w:val="en-US"/>
      </w:rPr>
      <w:fldChar w:fldCharType="end"/>
    </w:r>
    <w:r>
      <w:rPr>
        <w:sz w:val="18"/>
        <w:lang w:val="fr-FR"/>
      </w:rPr>
      <w:t xml:space="preserve"> pages)</w:t>
    </w:r>
  </w:p>
  <w:p w14:paraId="7237EFE3" w14:textId="77777777" w:rsidR="001C4621" w:rsidRDefault="001C4621">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8D6CC9">
      <w:rPr>
        <w:noProof/>
        <w:sz w:val="18"/>
        <w:lang w:val="en-US"/>
      </w:rPr>
      <w:t>FSMP-WG02-WP20_uas.docx</w:t>
    </w:r>
    <w:r>
      <w:rPr>
        <w:sz w:val="18"/>
        <w:lang w:val="en-US"/>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8A099" w14:textId="77777777" w:rsidR="00094384" w:rsidRDefault="00094384">
      <w:r>
        <w:separator/>
      </w:r>
    </w:p>
  </w:footnote>
  <w:footnote w:type="continuationSeparator" w:id="0">
    <w:p w14:paraId="1BF0ED22" w14:textId="77777777" w:rsidR="00094384" w:rsidRDefault="00094384">
      <w:r>
        <w:continuationSeparator/>
      </w:r>
    </w:p>
  </w:footnote>
  <w:footnote w:id="1">
    <w:p w14:paraId="3FBBDA10" w14:textId="77777777" w:rsidR="001C4621" w:rsidRPr="0086330B" w:rsidRDefault="001C4621">
      <w:pPr>
        <w:pStyle w:val="FootnoteText"/>
        <w:rPr>
          <w:sz w:val="20"/>
        </w:rPr>
      </w:pPr>
      <w:r>
        <w:rPr>
          <w:rStyle w:val="FootnoteReference"/>
        </w:rPr>
        <w:footnoteRef/>
      </w:r>
      <w:r>
        <w:t xml:space="preserve"> </w:t>
      </w:r>
      <w:r w:rsidRPr="0086330B">
        <w:rPr>
          <w:sz w:val="20"/>
        </w:rPr>
        <w:t>AM(R)S, AMS(R)S, ARNS</w:t>
      </w:r>
    </w:p>
  </w:footnote>
  <w:footnote w:id="2">
    <w:p w14:paraId="24A975ED" w14:textId="77777777" w:rsidR="001C4621" w:rsidRDefault="001C4621">
      <w:pPr>
        <w:pStyle w:val="FootnoteText"/>
      </w:pPr>
      <w:r w:rsidRPr="0086330B">
        <w:rPr>
          <w:rStyle w:val="FootnoteReference"/>
          <w:sz w:val="20"/>
        </w:rPr>
        <w:footnoteRef/>
      </w:r>
      <w:r w:rsidRPr="0086330B">
        <w:rPr>
          <w:sz w:val="20"/>
        </w:rPr>
        <w:t xml:space="preserve"> Including ATC relay</w:t>
      </w:r>
    </w:p>
  </w:footnote>
  <w:footnote w:id="3">
    <w:p w14:paraId="141DBDF9" w14:textId="77777777" w:rsidR="001C4621" w:rsidRPr="004F594E" w:rsidRDefault="001C4621">
      <w:pPr>
        <w:pStyle w:val="FootnoteText"/>
        <w:rPr>
          <w:sz w:val="18"/>
          <w:szCs w:val="18"/>
        </w:rPr>
      </w:pPr>
      <w:r>
        <w:rPr>
          <w:rStyle w:val="FootnoteReference"/>
        </w:rPr>
        <w:footnoteRef/>
      </w:r>
      <w:r>
        <w:t xml:space="preserve"> </w:t>
      </w:r>
      <w:r w:rsidRPr="004F594E">
        <w:rPr>
          <w:sz w:val="18"/>
          <w:szCs w:val="18"/>
        </w:rPr>
        <w:t>The airspace may well either be within the State responsible for that air traffic control service or delegated airspace from one or more other States.</w:t>
      </w:r>
    </w:p>
  </w:footnote>
  <w:footnote w:id="4">
    <w:p w14:paraId="540DA7C3" w14:textId="77777777" w:rsidR="001C4621" w:rsidRDefault="001C4621">
      <w:pPr>
        <w:pStyle w:val="FootnoteText"/>
      </w:pPr>
      <w:r w:rsidRPr="004F594E">
        <w:rPr>
          <w:rStyle w:val="FootnoteReference"/>
          <w:szCs w:val="18"/>
        </w:rPr>
        <w:footnoteRef/>
      </w:r>
      <w:r w:rsidRPr="004F594E">
        <w:rPr>
          <w:sz w:val="18"/>
          <w:szCs w:val="18"/>
        </w:rPr>
        <w:t xml:space="preserve"> Such information may require knowledge about the situation in adjacent States</w:t>
      </w:r>
    </w:p>
  </w:footnote>
  <w:footnote w:id="5">
    <w:p w14:paraId="2AE9C76C" w14:textId="77777777" w:rsidR="00BB2693" w:rsidRDefault="00BB2693" w:rsidP="00BB2693">
      <w:pPr>
        <w:pStyle w:val="FootnoteText"/>
      </w:pPr>
      <w:r w:rsidRPr="004F594E">
        <w:rPr>
          <w:rStyle w:val="FootnoteReference"/>
          <w:szCs w:val="18"/>
        </w:rPr>
        <w:footnoteRef/>
      </w:r>
      <w:r w:rsidRPr="004F594E">
        <w:rPr>
          <w:sz w:val="18"/>
          <w:szCs w:val="18"/>
        </w:rPr>
        <w:t xml:space="preserve"> Such information may require knowledge about the situation in adjacent States</w:t>
      </w:r>
    </w:p>
  </w:footnote>
  <w:footnote w:id="6">
    <w:p w14:paraId="65943D12" w14:textId="77777777" w:rsidR="001C4621" w:rsidRDefault="001C4621" w:rsidP="00F53717">
      <w:pPr>
        <w:pStyle w:val="FootnoteText"/>
      </w:pPr>
      <w:r>
        <w:rPr>
          <w:rStyle w:val="FootnoteReference"/>
        </w:rPr>
        <w:t>*</w:t>
      </w:r>
      <w:r>
        <w:t xml:space="preserve"> </w:t>
      </w:r>
      <w:r w:rsidRPr="00CD4405">
        <w:tab/>
      </w:r>
      <w:r>
        <w:rPr>
          <w:szCs w:val="24"/>
          <w:lang w:val="en-US"/>
        </w:rPr>
        <w:t>May also be used consistent with international standards and practices approved by the responsible civil aviation authority.</w:t>
      </w:r>
    </w:p>
  </w:footnote>
  <w:footnote w:id="7">
    <w:p w14:paraId="02F7B648" w14:textId="77777777" w:rsidR="001C4621" w:rsidRDefault="001C4621" w:rsidP="00F53717">
      <w:pPr>
        <w:pStyle w:val="FootnoteText"/>
      </w:pPr>
      <w:r>
        <w:rPr>
          <w:rStyle w:val="FootnoteReference"/>
        </w:rPr>
        <w:t>*</w:t>
      </w:r>
      <w:r>
        <w:tab/>
      </w:r>
      <w:r>
        <w:rPr>
          <w:szCs w:val="24"/>
          <w:lang w:val="en-US"/>
        </w:rPr>
        <w:t>May also be used consistent with international standards and practices approved by the responsible civil aviation authority.</w:t>
      </w:r>
    </w:p>
  </w:footnote>
  <w:footnote w:id="8">
    <w:p w14:paraId="74189A5B" w14:textId="77777777" w:rsidR="001C4621" w:rsidRDefault="001C4621" w:rsidP="003E45F9">
      <w:pPr>
        <w:pStyle w:val="FootnoteText"/>
        <w:rPr>
          <w:lang w:val="en-US"/>
        </w:rPr>
      </w:pPr>
      <w:r>
        <w:rPr>
          <w:rStyle w:val="FootnoteReference"/>
        </w:rPr>
        <w:t>*</w:t>
      </w:r>
      <w:r>
        <w:t xml:space="preserve"> </w:t>
      </w:r>
      <w:r>
        <w:rPr>
          <w:lang w:val="en-US"/>
        </w:rPr>
        <w:tab/>
      </w:r>
      <w:r>
        <w:rPr>
          <w:i/>
          <w:iCs/>
          <w:color w:val="000000"/>
          <w:lang w:val="en-AU"/>
        </w:rPr>
        <w:t>Note by the Secretariat:</w:t>
      </w:r>
      <w:r>
        <w:rPr>
          <w:color w:val="000000"/>
          <w:lang w:val="en-AU"/>
        </w:rPr>
        <w:t>  This Resolution was revised by WRC-07.</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D860D" w14:textId="77777777" w:rsidR="001C4621" w:rsidRDefault="001C4621" w:rsidP="00725205">
    <w:pPr>
      <w:tabs>
        <w:tab w:val="center" w:pos="4876"/>
      </w:tabs>
      <w:spacing w:after="600"/>
    </w:pPr>
    <w:r>
      <w:t>FSMP</w:t>
    </w:r>
    <w:r w:rsidR="008D6CC9">
      <w:t>-WG/2 WP/20</w:t>
    </w:r>
    <w:r>
      <w:tab/>
      <w:t xml:space="preserve">- </w:t>
    </w:r>
    <w:r>
      <w:rPr>
        <w:rStyle w:val="PageNumber"/>
      </w:rPr>
      <w:fldChar w:fldCharType="begin"/>
    </w:r>
    <w:r>
      <w:rPr>
        <w:rStyle w:val="PageNumber"/>
      </w:rPr>
      <w:instrText xml:space="preserve"> PAGE </w:instrText>
    </w:r>
    <w:r>
      <w:rPr>
        <w:rStyle w:val="PageNumber"/>
      </w:rPr>
      <w:fldChar w:fldCharType="separate"/>
    </w:r>
    <w:r w:rsidR="008D6CC9">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F8943" w14:textId="77777777" w:rsidR="001C4621" w:rsidRDefault="001C4621" w:rsidP="00725205">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8D6CC9">
      <w:rPr>
        <w:rStyle w:val="PageNumber"/>
        <w:noProof/>
      </w:rPr>
      <w:t>3</w:t>
    </w:r>
    <w:r>
      <w:rPr>
        <w:rStyle w:val="PageNumber"/>
      </w:rPr>
      <w:fldChar w:fldCharType="end"/>
    </w:r>
    <w:r>
      <w:rPr>
        <w:rStyle w:val="PageNumber"/>
      </w:rPr>
      <w:t xml:space="preserve"> -</w:t>
    </w:r>
    <w:r>
      <w:rPr>
        <w:rStyle w:val="PageNumber"/>
      </w:rPr>
      <w:tab/>
    </w:r>
    <w:r>
      <w:t>FSMP</w:t>
    </w:r>
    <w:r w:rsidR="008D6CC9">
      <w:t xml:space="preserve">-WG/2 </w:t>
    </w:r>
    <w:r>
      <w:t>WP/</w:t>
    </w:r>
    <w:r w:rsidR="008D6CC9">
      <w:t>20</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1C4621" w14:paraId="3934B0C2" w14:textId="77777777" w:rsidTr="00664C07">
      <w:trPr>
        <w:trHeight w:val="1790"/>
      </w:trPr>
      <w:tc>
        <w:tcPr>
          <w:tcW w:w="1915" w:type="dxa"/>
          <w:shd w:val="clear" w:color="auto" w:fill="FFFFFF"/>
        </w:tcPr>
        <w:p w14:paraId="0168C32A" w14:textId="77777777" w:rsidR="001C4621" w:rsidRDefault="001C4621" w:rsidP="00664C07">
          <w:bookmarkStart w:id="2" w:name="logo"/>
          <w:r w:rsidRPr="00484298">
            <w:rPr>
              <w:noProof/>
              <w:lang w:val="en-US"/>
            </w:rPr>
            <w:drawing>
              <wp:inline distT="0" distB="0" distL="0" distR="0" wp14:anchorId="588D8A4A" wp14:editId="48FF27B4">
                <wp:extent cx="1085850" cy="8763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2"/>
        </w:p>
      </w:tc>
      <w:tc>
        <w:tcPr>
          <w:tcW w:w="3895" w:type="dxa"/>
          <w:shd w:val="clear" w:color="auto" w:fill="FFFFFF"/>
          <w:tcMar>
            <w:right w:w="0" w:type="dxa"/>
          </w:tcMar>
        </w:tcPr>
        <w:p w14:paraId="2B13C6AD" w14:textId="77777777" w:rsidR="001C4621" w:rsidRPr="00066AB7" w:rsidRDefault="001C4621" w:rsidP="00664C07">
          <w:pPr>
            <w:rPr>
              <w:rFonts w:ascii="Arial" w:hAnsi="Arial" w:cs="Arial"/>
              <w:szCs w:val="22"/>
            </w:rPr>
          </w:pPr>
          <w:r w:rsidRPr="00066AB7">
            <w:rPr>
              <w:rFonts w:ascii="Arial" w:hAnsi="Arial" w:cs="Arial"/>
              <w:noProof/>
              <w:szCs w:val="22"/>
              <w:lang w:val="en-US"/>
            </w:rPr>
            <mc:AlternateContent>
              <mc:Choice Requires="wps">
                <w:drawing>
                  <wp:anchor distT="0" distB="0" distL="114300" distR="114300" simplePos="0" relativeHeight="251657728" behindDoc="0" locked="0" layoutInCell="1" allowOverlap="1" wp14:anchorId="7FA2F0AA" wp14:editId="28F7A684">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DE5F86D"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14:paraId="30B998F7" w14:textId="77777777" w:rsidR="001C4621" w:rsidRPr="00066AB7" w:rsidRDefault="001C4621" w:rsidP="00664C07">
          <w:pPr>
            <w:rPr>
              <w:rFonts w:ascii="Arial" w:hAnsi="Arial" w:cs="Arial"/>
              <w:szCs w:val="22"/>
            </w:rPr>
          </w:pPr>
          <w:r w:rsidRPr="00066AB7">
            <w:rPr>
              <w:rFonts w:ascii="Arial" w:hAnsi="Arial" w:cs="Arial"/>
              <w:szCs w:val="22"/>
            </w:rPr>
            <w:t>International Civil Aviation Organization</w:t>
          </w:r>
        </w:p>
        <w:p w14:paraId="5B2E10F6" w14:textId="77777777" w:rsidR="001C4621" w:rsidRPr="00066AB7" w:rsidRDefault="001C4621" w:rsidP="00664C07">
          <w:pPr>
            <w:rPr>
              <w:rFonts w:ascii="Arial" w:hAnsi="Arial" w:cs="Arial"/>
              <w:szCs w:val="22"/>
            </w:rPr>
          </w:pPr>
        </w:p>
        <w:p w14:paraId="114D8BAB" w14:textId="77777777" w:rsidR="001C4621" w:rsidRPr="00066AB7" w:rsidRDefault="001C4621"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6"/>
          </w:tblGrid>
          <w:tr w:rsidR="001C4621" w14:paraId="666120A5" w14:textId="77777777" w:rsidTr="00664C07">
            <w:trPr>
              <w:jc w:val="right"/>
            </w:trPr>
            <w:tc>
              <w:tcPr>
                <w:tcW w:w="0" w:type="auto"/>
              </w:tcPr>
              <w:p w14:paraId="66F3D644" w14:textId="77777777" w:rsidR="001C4621" w:rsidRPr="00066AB7" w:rsidRDefault="001C4621" w:rsidP="008D6CC9">
                <w:pPr>
                  <w:framePr w:hSpace="180" w:wrap="around" w:vAnchor="text" w:hAnchor="text" w:y="1"/>
                  <w:suppressOverlap/>
                  <w:jc w:val="left"/>
                  <w:rPr>
                    <w:szCs w:val="22"/>
                  </w:rPr>
                </w:pPr>
                <w:bookmarkStart w:id="3" w:name="document_no"/>
                <w:r>
                  <w:rPr>
                    <w:szCs w:val="22"/>
                  </w:rPr>
                  <w:t>FSMP</w:t>
                </w:r>
                <w:r w:rsidR="008D6CC9">
                  <w:rPr>
                    <w:szCs w:val="22"/>
                  </w:rPr>
                  <w:t xml:space="preserve">-WG/2 </w:t>
                </w:r>
                <w:r w:rsidRPr="00066AB7">
                  <w:rPr>
                    <w:szCs w:val="22"/>
                  </w:rPr>
                  <w:t>WP/</w:t>
                </w:r>
                <w:r w:rsidR="008D6CC9">
                  <w:rPr>
                    <w:szCs w:val="22"/>
                  </w:rPr>
                  <w:t>20</w:t>
                </w:r>
                <w:bookmarkEnd w:id="3"/>
              </w:p>
              <w:p w14:paraId="336FE2EB" w14:textId="77777777" w:rsidR="008D6CC9" w:rsidRPr="008D6CC9" w:rsidRDefault="008D6CC9" w:rsidP="008D6CC9">
                <w:pPr>
                  <w:framePr w:hSpace="180" w:wrap="around" w:vAnchor="text" w:hAnchor="text" w:y="1"/>
                  <w:suppressOverlap/>
                  <w:jc w:val="left"/>
                  <w:rPr>
                    <w:sz w:val="18"/>
                    <w:szCs w:val="18"/>
                  </w:rPr>
                </w:pPr>
                <w:bookmarkStart w:id="4" w:name="restricted"/>
                <w:bookmarkStart w:id="5" w:name="addendum_corrigendum_appendix"/>
                <w:bookmarkStart w:id="6" w:name="revision_no"/>
                <w:bookmarkStart w:id="7" w:name="revision_date"/>
                <w:bookmarkStart w:id="8" w:name="related_to"/>
                <w:bookmarkStart w:id="9" w:name="info_paper"/>
                <w:bookmarkEnd w:id="4"/>
                <w:bookmarkEnd w:id="5"/>
                <w:bookmarkEnd w:id="6"/>
                <w:bookmarkEnd w:id="7"/>
                <w:bookmarkEnd w:id="8"/>
                <w:bookmarkEnd w:id="9"/>
                <w:r>
                  <w:rPr>
                    <w:sz w:val="18"/>
                    <w:szCs w:val="18"/>
                  </w:rPr>
                  <w:t>2016-02-10</w:t>
                </w:r>
              </w:p>
            </w:tc>
          </w:tr>
          <w:tr w:rsidR="001C4621" w14:paraId="038805B1" w14:textId="77777777" w:rsidTr="00664C07">
            <w:trPr>
              <w:jc w:val="right"/>
            </w:trPr>
            <w:tc>
              <w:tcPr>
                <w:tcW w:w="0" w:type="auto"/>
              </w:tcPr>
              <w:p w14:paraId="372E3A86" w14:textId="77777777" w:rsidR="001C4621" w:rsidRPr="00066AB7" w:rsidRDefault="001C4621" w:rsidP="008D6CC9">
                <w:pPr>
                  <w:framePr w:hSpace="180" w:wrap="around" w:vAnchor="text" w:hAnchor="text" w:y="1"/>
                  <w:suppressOverlap/>
                  <w:jc w:val="left"/>
                  <w:rPr>
                    <w:szCs w:val="22"/>
                  </w:rPr>
                </w:pPr>
              </w:p>
            </w:tc>
          </w:tr>
        </w:tbl>
        <w:p w14:paraId="144F1711" w14:textId="77777777" w:rsidR="001C4621" w:rsidRPr="00066AB7" w:rsidRDefault="001C4621" w:rsidP="00664C07">
          <w:pPr>
            <w:tabs>
              <w:tab w:val="left" w:pos="720"/>
              <w:tab w:val="left" w:pos="1440"/>
              <w:tab w:val="left" w:pos="1800"/>
              <w:tab w:val="left" w:pos="2160"/>
              <w:tab w:val="left" w:pos="2520"/>
              <w:tab w:val="left" w:pos="2880"/>
            </w:tabs>
            <w:ind w:left="4320"/>
            <w:rPr>
              <w:b/>
              <w:sz w:val="18"/>
              <w:szCs w:val="18"/>
            </w:rPr>
          </w:pPr>
        </w:p>
      </w:tc>
    </w:tr>
  </w:tbl>
  <w:p w14:paraId="356DC431" w14:textId="77777777" w:rsidR="001C4621" w:rsidRDefault="001C4621" w:rsidP="00F1687B">
    <w:pPr>
      <w:pStyle w:val="3para"/>
      <w:numPr>
        <w:ilvl w:val="0"/>
        <w:numId w:val="0"/>
      </w:numPr>
      <w:tabs>
        <w:tab w:val="left" w:pos="6480"/>
      </w:tabs>
      <w:spacing w:after="0"/>
      <w:outlineLvl w:val="9"/>
      <w:rPr>
        <w:b/>
      </w:rPr>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nsid w:val="1D3950FF"/>
    <w:multiLevelType w:val="hybridMultilevel"/>
    <w:tmpl w:val="22B045F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3">
    <w:nsid w:val="34BF38DA"/>
    <w:multiLevelType w:val="hybridMultilevel"/>
    <w:tmpl w:val="C6BCD27C"/>
    <w:lvl w:ilvl="0" w:tplc="F6969E42">
      <w:start w:val="1"/>
      <w:numFmt w:val="decimal"/>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5">
    <w:nsid w:val="5A860E59"/>
    <w:multiLevelType w:val="hybridMultilevel"/>
    <w:tmpl w:val="3788C2A0"/>
    <w:lvl w:ilvl="0" w:tplc="2BE8D06E">
      <w:start w:val="4"/>
      <w:numFmt w:val="decimal"/>
      <w:lvlText w:val="%1."/>
      <w:lvlJc w:val="left"/>
      <w:pPr>
        <w:ind w:left="1440" w:hanging="72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7">
    <w:nsid w:val="6B5869C6"/>
    <w:multiLevelType w:val="hybridMultilevel"/>
    <w:tmpl w:val="CB9239F0"/>
    <w:lvl w:ilvl="0" w:tplc="19F6726A">
      <w:start w:val="5"/>
      <w:numFmt w:val="bullet"/>
      <w:lvlText w:val="-"/>
      <w:lvlJc w:val="left"/>
      <w:pPr>
        <w:ind w:left="1636" w:hanging="360"/>
      </w:pPr>
      <w:rPr>
        <w:rFonts w:ascii="Times New Roman" w:eastAsia="SimSun" w:hAnsi="Times New Roman" w:hint="default"/>
      </w:rPr>
    </w:lvl>
    <w:lvl w:ilvl="1" w:tplc="08090003" w:tentative="1">
      <w:start w:val="1"/>
      <w:numFmt w:val="bullet"/>
      <w:lvlText w:val="o"/>
      <w:lvlJc w:val="left"/>
      <w:pPr>
        <w:ind w:left="2356" w:hanging="360"/>
      </w:pPr>
      <w:rPr>
        <w:rFonts w:ascii="Courier New" w:hAnsi="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8">
    <w:nsid w:val="6CE97BBE"/>
    <w:multiLevelType w:val="multilevel"/>
    <w:tmpl w:val="074EAB7E"/>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9">
    <w:nsid w:val="7FD150A6"/>
    <w:multiLevelType w:val="hybridMultilevel"/>
    <w:tmpl w:val="5F6880B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num>
  <w:num w:numId="8">
    <w:abstractNumId w:val="9"/>
  </w:num>
  <w:num w:numId="9">
    <w:abstractNumId w:val="7"/>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60"/>
    <w:rsid w:val="000273D2"/>
    <w:rsid w:val="0004677E"/>
    <w:rsid w:val="00094384"/>
    <w:rsid w:val="000B4280"/>
    <w:rsid w:val="000C2D98"/>
    <w:rsid w:val="000D26D5"/>
    <w:rsid w:val="000D6DA8"/>
    <w:rsid w:val="00193256"/>
    <w:rsid w:val="00193819"/>
    <w:rsid w:val="001C4621"/>
    <w:rsid w:val="001C58D5"/>
    <w:rsid w:val="001D1C21"/>
    <w:rsid w:val="001E1486"/>
    <w:rsid w:val="001E2645"/>
    <w:rsid w:val="001F7895"/>
    <w:rsid w:val="002247A5"/>
    <w:rsid w:val="002379C0"/>
    <w:rsid w:val="002A4E3D"/>
    <w:rsid w:val="002C7EBD"/>
    <w:rsid w:val="00366C76"/>
    <w:rsid w:val="003A34E1"/>
    <w:rsid w:val="003B375C"/>
    <w:rsid w:val="003D7FD8"/>
    <w:rsid w:val="003E45F9"/>
    <w:rsid w:val="00466346"/>
    <w:rsid w:val="004735BC"/>
    <w:rsid w:val="0049280E"/>
    <w:rsid w:val="004D59BC"/>
    <w:rsid w:val="004F594E"/>
    <w:rsid w:val="00563DB3"/>
    <w:rsid w:val="005949EA"/>
    <w:rsid w:val="005E7886"/>
    <w:rsid w:val="0060644D"/>
    <w:rsid w:val="00613ACF"/>
    <w:rsid w:val="00625E2A"/>
    <w:rsid w:val="00664C07"/>
    <w:rsid w:val="00676D91"/>
    <w:rsid w:val="007070EF"/>
    <w:rsid w:val="00712394"/>
    <w:rsid w:val="00725205"/>
    <w:rsid w:val="00725B25"/>
    <w:rsid w:val="007625A2"/>
    <w:rsid w:val="00770160"/>
    <w:rsid w:val="007A0C13"/>
    <w:rsid w:val="00856397"/>
    <w:rsid w:val="00860FB4"/>
    <w:rsid w:val="0086330B"/>
    <w:rsid w:val="00897B82"/>
    <w:rsid w:val="008B54C4"/>
    <w:rsid w:val="008D6CC9"/>
    <w:rsid w:val="008D747D"/>
    <w:rsid w:val="00920C27"/>
    <w:rsid w:val="00951F12"/>
    <w:rsid w:val="009A518B"/>
    <w:rsid w:val="009B2279"/>
    <w:rsid w:val="009D5A7F"/>
    <w:rsid w:val="00A03CFF"/>
    <w:rsid w:val="00A12B00"/>
    <w:rsid w:val="00A12CBA"/>
    <w:rsid w:val="00A232A8"/>
    <w:rsid w:val="00A232B4"/>
    <w:rsid w:val="00A25092"/>
    <w:rsid w:val="00A41CB4"/>
    <w:rsid w:val="00A466E1"/>
    <w:rsid w:val="00A53025"/>
    <w:rsid w:val="00AC2031"/>
    <w:rsid w:val="00AC2634"/>
    <w:rsid w:val="00B20DED"/>
    <w:rsid w:val="00B82112"/>
    <w:rsid w:val="00BB2693"/>
    <w:rsid w:val="00C00322"/>
    <w:rsid w:val="00C16CE3"/>
    <w:rsid w:val="00C75C66"/>
    <w:rsid w:val="00CF72A2"/>
    <w:rsid w:val="00D4479B"/>
    <w:rsid w:val="00D6339D"/>
    <w:rsid w:val="00D64593"/>
    <w:rsid w:val="00DD75C0"/>
    <w:rsid w:val="00DF76D3"/>
    <w:rsid w:val="00E478B3"/>
    <w:rsid w:val="00E60D3D"/>
    <w:rsid w:val="00E710E7"/>
    <w:rsid w:val="00E77340"/>
    <w:rsid w:val="00ED62FF"/>
    <w:rsid w:val="00ED77AE"/>
    <w:rsid w:val="00F04861"/>
    <w:rsid w:val="00F13169"/>
    <w:rsid w:val="00F1687B"/>
    <w:rsid w:val="00F3371E"/>
    <w:rsid w:val="00F53717"/>
    <w:rsid w:val="00F549DA"/>
    <w:rsid w:val="00F625B5"/>
    <w:rsid w:val="00F716F2"/>
    <w:rsid w:val="00F91FCE"/>
    <w:rsid w:val="00FB0867"/>
    <w:rsid w:val="00FC28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E25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lang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Blockquote">
    <w:name w:val="Blockquote"/>
    <w:basedOn w:val="Normal"/>
    <w:pPr>
      <w:spacing w:after="240"/>
      <w:ind w:left="1440"/>
      <w:jc w:val="center"/>
    </w:pPr>
    <w:rPr>
      <w:b/>
      <w:sz w:val="24"/>
      <w:lang w:val="en-US"/>
    </w:rPr>
  </w:style>
  <w:style w:type="character" w:styleId="FootnoteReference">
    <w:name w:val="footnote reference"/>
    <w:aliases w:val="Appel note de bas de p,Footnote Reference/"/>
    <w:basedOn w:val="DefaultParagraphFont"/>
    <w:rsid w:val="00F53717"/>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F53717"/>
    <w:pPr>
      <w:keepLines/>
      <w:tabs>
        <w:tab w:val="left" w:pos="255"/>
        <w:tab w:val="left" w:pos="1134"/>
        <w:tab w:val="left" w:pos="1871"/>
        <w:tab w:val="left" w:pos="2268"/>
      </w:tabs>
      <w:overflowPunct w:val="0"/>
      <w:autoSpaceDE w:val="0"/>
      <w:autoSpaceDN w:val="0"/>
      <w:adjustRightInd w:val="0"/>
      <w:spacing w:before="120"/>
      <w:jc w:val="left"/>
      <w:textAlignment w:val="baseline"/>
    </w:pPr>
    <w:rPr>
      <w:sz w:val="24"/>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F53717"/>
    <w:rPr>
      <w:sz w:val="24"/>
      <w:lang w:eastAsia="en-US"/>
    </w:rPr>
  </w:style>
  <w:style w:type="character" w:customStyle="1" w:styleId="Artref">
    <w:name w:val="Art_ref"/>
    <w:basedOn w:val="DefaultParagraphFont"/>
    <w:rsid w:val="00AC2031"/>
  </w:style>
  <w:style w:type="character" w:customStyle="1" w:styleId="Tablefreq">
    <w:name w:val="Table_freq"/>
    <w:basedOn w:val="DefaultParagraphFont"/>
    <w:rsid w:val="00AC2031"/>
    <w:rPr>
      <w:b/>
      <w:color w:val="auto"/>
      <w:sz w:val="20"/>
    </w:rPr>
  </w:style>
  <w:style w:type="paragraph" w:customStyle="1" w:styleId="TableTextS5">
    <w:name w:val="Table_TextS5"/>
    <w:basedOn w:val="Normal"/>
    <w:rsid w:val="00AC2031"/>
    <w:pPr>
      <w:tabs>
        <w:tab w:val="left" w:pos="170"/>
        <w:tab w:val="left" w:pos="567"/>
        <w:tab w:val="left" w:pos="737"/>
        <w:tab w:val="left" w:pos="2977"/>
        <w:tab w:val="left" w:pos="3266"/>
      </w:tabs>
      <w:overflowPunct w:val="0"/>
      <w:autoSpaceDE w:val="0"/>
      <w:autoSpaceDN w:val="0"/>
      <w:adjustRightInd w:val="0"/>
      <w:spacing w:before="40" w:after="40"/>
      <w:jc w:val="left"/>
      <w:textAlignment w:val="baseline"/>
    </w:pPr>
    <w:rPr>
      <w:sz w:val="20"/>
    </w:rPr>
  </w:style>
  <w:style w:type="paragraph" w:customStyle="1" w:styleId="Tablehead">
    <w:name w:val="Table_head"/>
    <w:basedOn w:val="Normal"/>
    <w:rsid w:val="00AC2031"/>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rPr>
  </w:style>
  <w:style w:type="character" w:customStyle="1" w:styleId="Artdef">
    <w:name w:val="Art_def"/>
    <w:basedOn w:val="DefaultParagraphFont"/>
    <w:rsid w:val="00F13169"/>
    <w:rPr>
      <w:rFonts w:ascii="Times New Roman" w:hAnsi="Times New Roman"/>
      <w:b/>
    </w:rPr>
  </w:style>
  <w:style w:type="character" w:customStyle="1" w:styleId="ArtrefBold">
    <w:name w:val="Art_ref + Bold"/>
    <w:basedOn w:val="Artref"/>
    <w:rsid w:val="00F13169"/>
    <w:rPr>
      <w:b/>
      <w:bCs/>
      <w:color w:val="auto"/>
    </w:rPr>
  </w:style>
  <w:style w:type="paragraph" w:customStyle="1" w:styleId="Note2">
    <w:name w:val="Note2"/>
    <w:basedOn w:val="Note"/>
    <w:link w:val="Note2Char"/>
    <w:qFormat/>
    <w:rsid w:val="00F13169"/>
    <w:pPr>
      <w:tabs>
        <w:tab w:val="left" w:pos="284"/>
        <w:tab w:val="left" w:pos="1134"/>
        <w:tab w:val="left" w:pos="1871"/>
        <w:tab w:val="left" w:pos="2268"/>
      </w:tabs>
      <w:overflowPunct w:val="0"/>
      <w:autoSpaceDE w:val="0"/>
      <w:autoSpaceDN w:val="0"/>
      <w:adjustRightInd w:val="0"/>
      <w:spacing w:before="80"/>
      <w:textAlignment w:val="baseline"/>
    </w:pPr>
    <w:rPr>
      <w:i w:val="0"/>
      <w:sz w:val="20"/>
      <w:szCs w:val="16"/>
    </w:rPr>
  </w:style>
  <w:style w:type="character" w:customStyle="1" w:styleId="Note2Char">
    <w:name w:val="Note2 Char"/>
    <w:basedOn w:val="DefaultParagraphFont"/>
    <w:link w:val="Note2"/>
    <w:rsid w:val="00F13169"/>
    <w:rPr>
      <w:szCs w:val="16"/>
      <w:lang w:eastAsia="en-US"/>
    </w:rPr>
  </w:style>
  <w:style w:type="character" w:customStyle="1" w:styleId="ApprefBold">
    <w:name w:val="App_ref + Bold"/>
    <w:basedOn w:val="DefaultParagraphFont"/>
    <w:qFormat/>
    <w:rsid w:val="00F13169"/>
    <w:rPr>
      <w:b/>
      <w:bCs/>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lang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Blockquote">
    <w:name w:val="Blockquote"/>
    <w:basedOn w:val="Normal"/>
    <w:pPr>
      <w:spacing w:after="240"/>
      <w:ind w:left="1440"/>
      <w:jc w:val="center"/>
    </w:pPr>
    <w:rPr>
      <w:b/>
      <w:sz w:val="24"/>
      <w:lang w:val="en-US"/>
    </w:rPr>
  </w:style>
  <w:style w:type="character" w:styleId="FootnoteReference">
    <w:name w:val="footnote reference"/>
    <w:aliases w:val="Appel note de bas de p,Footnote Reference/"/>
    <w:basedOn w:val="DefaultParagraphFont"/>
    <w:rsid w:val="00F53717"/>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F53717"/>
    <w:pPr>
      <w:keepLines/>
      <w:tabs>
        <w:tab w:val="left" w:pos="255"/>
        <w:tab w:val="left" w:pos="1134"/>
        <w:tab w:val="left" w:pos="1871"/>
        <w:tab w:val="left" w:pos="2268"/>
      </w:tabs>
      <w:overflowPunct w:val="0"/>
      <w:autoSpaceDE w:val="0"/>
      <w:autoSpaceDN w:val="0"/>
      <w:adjustRightInd w:val="0"/>
      <w:spacing w:before="120"/>
      <w:jc w:val="left"/>
      <w:textAlignment w:val="baseline"/>
    </w:pPr>
    <w:rPr>
      <w:sz w:val="24"/>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F53717"/>
    <w:rPr>
      <w:sz w:val="24"/>
      <w:lang w:eastAsia="en-US"/>
    </w:rPr>
  </w:style>
  <w:style w:type="character" w:customStyle="1" w:styleId="Artref">
    <w:name w:val="Art_ref"/>
    <w:basedOn w:val="DefaultParagraphFont"/>
    <w:rsid w:val="00AC2031"/>
  </w:style>
  <w:style w:type="character" w:customStyle="1" w:styleId="Tablefreq">
    <w:name w:val="Table_freq"/>
    <w:basedOn w:val="DefaultParagraphFont"/>
    <w:rsid w:val="00AC2031"/>
    <w:rPr>
      <w:b/>
      <w:color w:val="auto"/>
      <w:sz w:val="20"/>
    </w:rPr>
  </w:style>
  <w:style w:type="paragraph" w:customStyle="1" w:styleId="TableTextS5">
    <w:name w:val="Table_TextS5"/>
    <w:basedOn w:val="Normal"/>
    <w:rsid w:val="00AC2031"/>
    <w:pPr>
      <w:tabs>
        <w:tab w:val="left" w:pos="170"/>
        <w:tab w:val="left" w:pos="567"/>
        <w:tab w:val="left" w:pos="737"/>
        <w:tab w:val="left" w:pos="2977"/>
        <w:tab w:val="left" w:pos="3266"/>
      </w:tabs>
      <w:overflowPunct w:val="0"/>
      <w:autoSpaceDE w:val="0"/>
      <w:autoSpaceDN w:val="0"/>
      <w:adjustRightInd w:val="0"/>
      <w:spacing w:before="40" w:after="40"/>
      <w:jc w:val="left"/>
      <w:textAlignment w:val="baseline"/>
    </w:pPr>
    <w:rPr>
      <w:sz w:val="20"/>
    </w:rPr>
  </w:style>
  <w:style w:type="paragraph" w:customStyle="1" w:styleId="Tablehead">
    <w:name w:val="Table_head"/>
    <w:basedOn w:val="Normal"/>
    <w:rsid w:val="00AC2031"/>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rPr>
  </w:style>
  <w:style w:type="character" w:customStyle="1" w:styleId="Artdef">
    <w:name w:val="Art_def"/>
    <w:basedOn w:val="DefaultParagraphFont"/>
    <w:rsid w:val="00F13169"/>
    <w:rPr>
      <w:rFonts w:ascii="Times New Roman" w:hAnsi="Times New Roman"/>
      <w:b/>
    </w:rPr>
  </w:style>
  <w:style w:type="character" w:customStyle="1" w:styleId="ArtrefBold">
    <w:name w:val="Art_ref + Bold"/>
    <w:basedOn w:val="Artref"/>
    <w:rsid w:val="00F13169"/>
    <w:rPr>
      <w:b/>
      <w:bCs/>
      <w:color w:val="auto"/>
    </w:rPr>
  </w:style>
  <w:style w:type="paragraph" w:customStyle="1" w:styleId="Note2">
    <w:name w:val="Note2"/>
    <w:basedOn w:val="Note"/>
    <w:link w:val="Note2Char"/>
    <w:qFormat/>
    <w:rsid w:val="00F13169"/>
    <w:pPr>
      <w:tabs>
        <w:tab w:val="left" w:pos="284"/>
        <w:tab w:val="left" w:pos="1134"/>
        <w:tab w:val="left" w:pos="1871"/>
        <w:tab w:val="left" w:pos="2268"/>
      </w:tabs>
      <w:overflowPunct w:val="0"/>
      <w:autoSpaceDE w:val="0"/>
      <w:autoSpaceDN w:val="0"/>
      <w:adjustRightInd w:val="0"/>
      <w:spacing w:before="80"/>
      <w:textAlignment w:val="baseline"/>
    </w:pPr>
    <w:rPr>
      <w:i w:val="0"/>
      <w:sz w:val="20"/>
      <w:szCs w:val="16"/>
    </w:rPr>
  </w:style>
  <w:style w:type="character" w:customStyle="1" w:styleId="Note2Char">
    <w:name w:val="Note2 Char"/>
    <w:basedOn w:val="DefaultParagraphFont"/>
    <w:link w:val="Note2"/>
    <w:rsid w:val="00F13169"/>
    <w:rPr>
      <w:szCs w:val="16"/>
      <w:lang w:eastAsia="en-US"/>
    </w:rPr>
  </w:style>
  <w:style w:type="character" w:customStyle="1" w:styleId="ApprefBold">
    <w:name w:val="App_ref + Bold"/>
    <w:basedOn w:val="DefaultParagraphFont"/>
    <w:qFormat/>
    <w:rsid w:val="00F13169"/>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7e6e688bb715f4c10374fa379bfaaa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92ECD-8EB0-634F-9294-42F5CB05695B}"/>
</file>

<file path=customXml/itemProps2.xml><?xml version="1.0" encoding="utf-8"?>
<ds:datastoreItem xmlns:ds="http://schemas.openxmlformats.org/officeDocument/2006/customXml" ds:itemID="{58935C20-4399-4226-A12E-56593F294005}"/>
</file>

<file path=customXml/itemProps3.xml><?xml version="1.0" encoding="utf-8"?>
<ds:datastoreItem xmlns:ds="http://schemas.openxmlformats.org/officeDocument/2006/customXml" ds:itemID="{286874F4-ABAD-48A8-B6E0-9840D11064CC}"/>
</file>

<file path=customXml/itemProps4.xml><?xml version="1.0" encoding="utf-8"?>
<ds:datastoreItem xmlns:ds="http://schemas.openxmlformats.org/officeDocument/2006/customXml" ds:itemID="{2E575E16-F5FA-40A1-8E03-24C4C237CE9E}"/>
</file>

<file path=docProps/app.xml><?xml version="1.0" encoding="utf-8"?>
<Properties xmlns="http://schemas.openxmlformats.org/officeDocument/2006/extended-properties" xmlns:vt="http://schemas.openxmlformats.org/officeDocument/2006/docPropsVTypes">
  <Template>\My Documents\Web Sites\ATMRPP\Templates\ATMRPP_WG_WHL_1.dot</Template>
  <TotalTime>268</TotalTime>
  <Pages>19</Pages>
  <Words>6910</Words>
  <Characters>39391</Characters>
  <Application>Microsoft Macintosh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46209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Loftur Jonasson</cp:lastModifiedBy>
  <cp:revision>5</cp:revision>
  <cp:lastPrinted>2005-03-16T13:26:00Z</cp:lastPrinted>
  <dcterms:created xsi:type="dcterms:W3CDTF">2016-02-10T15:44:00Z</dcterms:created>
  <dcterms:modified xsi:type="dcterms:W3CDTF">2016-02-11T00:40:00Z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